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jc w:val="center"/>
        <w:ind w:left="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26035</wp:posOffset>
            </wp:positionH>
            <wp:positionV relativeFrom="paragraph">
              <wp:posOffset>-10795</wp:posOffset>
            </wp:positionV>
            <wp:extent cx="144780" cy="1962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" cy="196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80" w:hanging="272"/>
        <w:spacing w:after="0" w:line="187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5494655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4156075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-1684020</wp:posOffset>
            </wp:positionH>
            <wp:positionV relativeFrom="paragraph">
              <wp:posOffset>20955</wp:posOffset>
            </wp:positionV>
            <wp:extent cx="7323455" cy="48939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93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00"/>
            <w:col w:w="888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Kapoor Rohit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EXLS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6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01/26/2007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CFO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  <w:vMerge w:val="restart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jc w:val="center"/>
              <w:ind w:left="5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5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01/26/2007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per share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1-for-1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25 percent of the shares of restricted stock vest on January 26, 2008 and an additional 25 percent vest on each anniversary of January 26, 2008.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Not applicable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(4) Mr. Oseni is the Company's Head of Administration and Accounts.</w:t>
      </w:r>
    </w:p>
    <w:p>
      <w:pPr>
        <w:ind w:left="6860"/>
        <w:spacing w:after="0" w:line="19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01/30/2007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665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65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(4)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3479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9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-84455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4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30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2019-12-16T15:04:04Z</dcterms:created>
  <dcterms:modified xsi:type="dcterms:W3CDTF">2019-12-16T15:04:04Z</dcterms:modified>
</cp:coreProperties>
</file>