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6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52"/>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21590</wp:posOffset>
            </wp:positionV>
            <wp:extent cx="7322820" cy="6449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4969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Gupta Sanjay</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jc w:val="center"/>
        <w:ind w:right="288"/>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0000FF"/>
        </w:rPr>
        <w:t>02/03/2012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8" w:right="640" w:firstLine="8"/>
        <w:spacing w:after="0" w:line="25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2"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52"/>
        <w:spacing w:after="0"/>
        <w:rPr>
          <w:sz w:val="20"/>
          <w:szCs w:val="20"/>
          <w:color w:val="auto"/>
        </w:rPr>
      </w:pPr>
      <w:r>
        <w:rPr>
          <w:rFonts w:ascii="Arial" w:cs="Arial" w:eastAsia="Arial" w:hAnsi="Arial"/>
          <w:sz w:val="18"/>
          <w:szCs w:val="18"/>
          <w:color w:val="0000FF"/>
        </w:rPr>
        <w:t>Global Head of HR</w:t>
      </w:r>
    </w:p>
    <w:p>
      <w:pPr>
        <w:spacing w:after="0" w:line="325" w:lineRule="exact"/>
        <w:rPr>
          <w:sz w:val="24"/>
          <w:szCs w:val="24"/>
          <w:color w:val="auto"/>
        </w:rPr>
      </w:pPr>
    </w:p>
    <w:p>
      <w:pPr>
        <w:sectPr>
          <w:pgSz w:w="11900" w:h="16838" w:orient="portrait"/>
          <w:cols w:equalWidth="0" w:num="3">
            <w:col w:w="3340" w:space="720"/>
            <w:col w:w="3268" w:space="720"/>
            <w:col w:w="3472"/>
          </w:cols>
          <w:pgMar w:left="240" w:top="226"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6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7"/>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4"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5"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7" w:lineRule="exact"/>
        <w:rPr>
          <w:sz w:val="24"/>
          <w:szCs w:val="24"/>
          <w:color w:val="auto"/>
        </w:rPr>
      </w:pPr>
    </w:p>
    <w:p>
      <w:pPr>
        <w:sectPr>
          <w:pgSz w:w="11900" w:h="16838" w:orient="portrait"/>
          <w:cols w:equalWidth="0" w:num="2">
            <w:col w:w="3900" w:space="160"/>
            <w:col w:w="746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02/03/2012</w:t>
            </w:r>
          </w:p>
        </w:tc>
        <w:tc>
          <w:tcPr>
            <w:tcW w:w="1140" w:type="dxa"/>
            <w:vAlign w:val="bottom"/>
          </w:tcPr>
          <w:p>
            <w:pPr>
              <w:spacing w:after="0"/>
              <w:rPr>
                <w:sz w:val="23"/>
                <w:szCs w:val="23"/>
                <w:color w:val="auto"/>
              </w:rPr>
            </w:pPr>
          </w:p>
        </w:tc>
        <w:tc>
          <w:tcPr>
            <w:tcW w:w="820" w:type="dxa"/>
            <w:vAlign w:val="bottom"/>
          </w:tcPr>
          <w:p>
            <w:pPr>
              <w:jc w:val="center"/>
              <w:ind w:right="316"/>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8"/>
                <w:szCs w:val="18"/>
                <w:color w:val="0000FF"/>
                <w:w w:val="93"/>
              </w:rPr>
              <w:t>616</w:t>
            </w:r>
          </w:p>
        </w:tc>
        <w:tc>
          <w:tcPr>
            <w:tcW w:w="540" w:type="dxa"/>
            <w:vAlign w:val="bottom"/>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ind w:left="340"/>
              <w:spacing w:after="0"/>
              <w:rPr>
                <w:sz w:val="20"/>
                <w:szCs w:val="20"/>
                <w:color w:val="auto"/>
              </w:rPr>
            </w:pPr>
            <w:r>
              <w:rPr>
                <w:rFonts w:ascii="Arial" w:cs="Arial" w:eastAsia="Arial" w:hAnsi="Arial"/>
                <w:sz w:val="18"/>
                <w:szCs w:val="18"/>
                <w:color w:val="0000FF"/>
              </w:rPr>
              <w:t>14,685</w:t>
            </w:r>
          </w:p>
        </w:tc>
        <w:tc>
          <w:tcPr>
            <w:tcW w:w="960" w:type="dxa"/>
            <w:vAlign w:val="bottom"/>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02/03/2012</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6"/>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3"/>
              </w:rPr>
              <w:t>192</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24.37</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14,493</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02/04/2012</w:t>
            </w:r>
          </w:p>
        </w:tc>
        <w:tc>
          <w:tcPr>
            <w:tcW w:w="1140" w:type="dxa"/>
            <w:vAlign w:val="bottom"/>
          </w:tcPr>
          <w:p>
            <w:pPr>
              <w:spacing w:after="0"/>
              <w:rPr>
                <w:sz w:val="23"/>
                <w:szCs w:val="23"/>
                <w:color w:val="auto"/>
              </w:rPr>
            </w:pPr>
          </w:p>
        </w:tc>
        <w:tc>
          <w:tcPr>
            <w:tcW w:w="820" w:type="dxa"/>
            <w:vAlign w:val="bottom"/>
          </w:tcPr>
          <w:p>
            <w:pPr>
              <w:jc w:val="center"/>
              <w:ind w:right="316"/>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8"/>
                <w:szCs w:val="18"/>
                <w:color w:val="0000FF"/>
                <w:w w:val="88"/>
              </w:rPr>
              <w:t>1,000</w:t>
            </w:r>
          </w:p>
        </w:tc>
        <w:tc>
          <w:tcPr>
            <w:tcW w:w="540" w:type="dxa"/>
            <w:vAlign w:val="bottom"/>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Pr>
          <w:p>
            <w:pPr>
              <w:jc w:val="center"/>
              <w:spacing w:after="0"/>
              <w:rPr>
                <w:sz w:val="20"/>
                <w:szCs w:val="20"/>
                <w:color w:val="auto"/>
              </w:rPr>
            </w:pPr>
            <w:r>
              <w:rPr>
                <w:rFonts w:ascii="Arial" w:cs="Arial" w:eastAsia="Arial" w:hAnsi="Arial"/>
                <w:sz w:val="11"/>
                <w:szCs w:val="11"/>
                <w:color w:val="008000"/>
              </w:rPr>
              <w:t>(3)</w:t>
            </w:r>
          </w:p>
        </w:tc>
        <w:tc>
          <w:tcPr>
            <w:tcW w:w="1160" w:type="dxa"/>
            <w:vAlign w:val="bottom"/>
          </w:tcPr>
          <w:p>
            <w:pPr>
              <w:ind w:left="340"/>
              <w:spacing w:after="0"/>
              <w:rPr>
                <w:sz w:val="20"/>
                <w:szCs w:val="20"/>
                <w:color w:val="auto"/>
              </w:rPr>
            </w:pPr>
            <w:r>
              <w:rPr>
                <w:rFonts w:ascii="Arial" w:cs="Arial" w:eastAsia="Arial" w:hAnsi="Arial"/>
                <w:sz w:val="18"/>
                <w:szCs w:val="18"/>
                <w:color w:val="0000FF"/>
              </w:rPr>
              <w:t>15,493</w:t>
            </w:r>
          </w:p>
        </w:tc>
        <w:tc>
          <w:tcPr>
            <w:tcW w:w="960" w:type="dxa"/>
            <w:vAlign w:val="bottom"/>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02/04/2012</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6"/>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3"/>
              </w:rPr>
              <w:t>310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24.525</w:t>
            </w:r>
            <w:r>
              <w:rPr>
                <w:rFonts w:ascii="Arial" w:cs="Arial" w:eastAsia="Arial" w:hAnsi="Arial"/>
                <w:sz w:val="22"/>
                <w:szCs w:val="22"/>
                <w:color w:val="008000"/>
                <w:w w:val="84"/>
                <w:vertAlign w:val="superscript"/>
              </w:rPr>
              <w:t>(4)</w:t>
            </w:r>
          </w:p>
        </w:tc>
        <w:tc>
          <w:tcPr>
            <w:tcW w:w="11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15,183</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8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3"/>
                <w:szCs w:val="13"/>
                <w:color w:val="0000FF"/>
              </w:rPr>
              <w:t>Stock,</w:t>
            </w:r>
          </w:p>
        </w:tc>
        <w:tc>
          <w:tcPr>
            <w:tcW w:w="580" w:type="dxa"/>
            <w:vAlign w:val="bottom"/>
            <w:vMerge w:val="restart"/>
          </w:tcPr>
          <w:p>
            <w:pPr>
              <w:jc w:val="right"/>
              <w:ind w:right="112"/>
              <w:spacing w:after="0"/>
              <w:rPr>
                <w:sz w:val="20"/>
                <w:szCs w:val="20"/>
                <w:color w:val="auto"/>
              </w:rPr>
            </w:pPr>
            <w:r>
              <w:rPr>
                <w:rFonts w:ascii="Arial" w:cs="Arial" w:eastAsia="Arial" w:hAnsi="Arial"/>
                <w:sz w:val="18"/>
                <w:szCs w:val="18"/>
                <w:color w:val="0000FF"/>
              </w:rPr>
              <w:t>616</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line="14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20" w:type="dxa"/>
            <w:vAlign w:val="bottom"/>
            <w:vMerge w:val="restart"/>
          </w:tcPr>
          <w:p>
            <w:pPr>
              <w:jc w:val="right"/>
              <w:ind w:right="177"/>
              <w:spacing w:after="0" w:line="149" w:lineRule="exact"/>
              <w:rPr>
                <w:sz w:val="20"/>
                <w:szCs w:val="20"/>
                <w:color w:val="auto"/>
              </w:rPr>
            </w:pPr>
            <w:r>
              <w:rPr>
                <w:rFonts w:ascii="Arial" w:cs="Arial" w:eastAsia="Arial" w:hAnsi="Arial"/>
                <w:sz w:val="13"/>
                <w:szCs w:val="13"/>
                <w:color w:val="0000FF"/>
              </w:rPr>
              <w:t>02/03/2012</w:t>
            </w:r>
          </w:p>
        </w:tc>
        <w:tc>
          <w:tcPr>
            <w:tcW w:w="1140" w:type="dxa"/>
            <w:vAlign w:val="bottom"/>
          </w:tcPr>
          <w:p>
            <w:pPr>
              <w:spacing w:after="0"/>
              <w:rPr>
                <w:sz w:val="5"/>
                <w:szCs w:val="5"/>
                <w:color w:val="auto"/>
              </w:rPr>
            </w:pPr>
          </w:p>
        </w:tc>
        <w:tc>
          <w:tcPr>
            <w:tcW w:w="840" w:type="dxa"/>
            <w:vAlign w:val="bottom"/>
            <w:vMerge w:val="restart"/>
          </w:tcPr>
          <w:p>
            <w:pPr>
              <w:ind w:left="160"/>
              <w:spacing w:after="0" w:line="149" w:lineRule="exact"/>
              <w:rPr>
                <w:sz w:val="20"/>
                <w:szCs w:val="20"/>
                <w:color w:val="auto"/>
              </w:rPr>
            </w:pPr>
            <w:r>
              <w:rPr>
                <w:rFonts w:ascii="Arial" w:cs="Arial" w:eastAsia="Arial" w:hAnsi="Arial"/>
                <w:sz w:val="13"/>
                <w:szCs w:val="13"/>
                <w:color w:val="0000FF"/>
              </w:rPr>
              <w:t>M</w:t>
            </w:r>
          </w:p>
        </w:tc>
        <w:tc>
          <w:tcPr>
            <w:tcW w:w="760" w:type="dxa"/>
            <w:vAlign w:val="bottom"/>
            <w:vMerge w:val="restart"/>
          </w:tcPr>
          <w:p>
            <w:pPr>
              <w:jc w:val="right"/>
              <w:ind w:right="58"/>
              <w:spacing w:after="0" w:line="149" w:lineRule="exact"/>
              <w:rPr>
                <w:sz w:val="20"/>
                <w:szCs w:val="20"/>
                <w:color w:val="auto"/>
              </w:rPr>
            </w:pPr>
            <w:r>
              <w:rPr>
                <w:rFonts w:ascii="Arial" w:cs="Arial" w:eastAsia="Arial" w:hAnsi="Arial"/>
                <w:sz w:val="13"/>
                <w:szCs w:val="13"/>
                <w:color w:val="0000FF"/>
              </w:rPr>
              <w:t>616</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100"/>
              <w:spacing w:after="0" w:line="149" w:lineRule="exact"/>
              <w:rPr>
                <w:sz w:val="20"/>
                <w:szCs w:val="20"/>
                <w:color w:val="auto"/>
              </w:rPr>
            </w:pPr>
            <w:r>
              <w:rPr>
                <w:rFonts w:ascii="Arial" w:cs="Arial" w:eastAsia="Arial" w:hAnsi="Arial"/>
                <w:sz w:val="13"/>
                <w:szCs w:val="13"/>
                <w:color w:val="0000FF"/>
              </w:rPr>
              <w:t>par value</w:t>
            </w:r>
          </w:p>
        </w:tc>
        <w:tc>
          <w:tcPr>
            <w:tcW w:w="580" w:type="dxa"/>
            <w:vAlign w:val="bottom"/>
            <w:vMerge w:val="continue"/>
          </w:tcPr>
          <w:p>
            <w:pPr>
              <w:spacing w:after="0"/>
              <w:rPr>
                <w:sz w:val="5"/>
                <w:szCs w:val="5"/>
                <w:color w:val="auto"/>
              </w:rPr>
            </w:pPr>
          </w:p>
        </w:tc>
        <w:tc>
          <w:tcPr>
            <w:tcW w:w="720" w:type="dxa"/>
            <w:vAlign w:val="bottom"/>
            <w:vMerge w:val="restart"/>
          </w:tcPr>
          <w:p>
            <w:pPr>
              <w:ind w:left="300"/>
              <w:spacing w:after="0" w:line="14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3"/>
                <w:szCs w:val="13"/>
                <w:color w:val="0000FF"/>
              </w:rPr>
              <w:t>3,684</w:t>
            </w:r>
          </w:p>
        </w:tc>
        <w:tc>
          <w:tcPr>
            <w:tcW w:w="760" w:type="dxa"/>
            <w:vAlign w:val="bottom"/>
            <w:vMerge w:val="restart"/>
          </w:tcPr>
          <w:p>
            <w:pPr>
              <w:ind w:left="340"/>
              <w:spacing w:after="0" w:line="149"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3"/>
                <w:szCs w:val="13"/>
                <w:color w:val="0000FF"/>
              </w:rPr>
              <w:t>$0.001</w:t>
            </w: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Arial" w:cs="Arial" w:eastAsia="Arial" w:hAnsi="Arial"/>
                <w:sz w:val="13"/>
                <w:szCs w:val="13"/>
                <w:color w:val="0000FF"/>
              </w:rPr>
              <w:t>per share</w:t>
            </w: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tcPr>
          <w:p>
            <w:pPr>
              <w:ind w:left="160"/>
              <w:spacing w:after="0" w:line="149" w:lineRule="exact"/>
              <w:rPr>
                <w:sz w:val="20"/>
                <w:szCs w:val="20"/>
                <w:color w:val="auto"/>
              </w:rPr>
            </w:pPr>
            <w:r>
              <w:rPr>
                <w:rFonts w:ascii="Arial" w:cs="Arial" w:eastAsia="Arial" w:hAnsi="Arial"/>
                <w:sz w:val="13"/>
                <w:szCs w:val="13"/>
                <w:color w:val="0000FF"/>
              </w:rPr>
              <w:t>Stock,</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line="14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20" w:type="dxa"/>
            <w:vAlign w:val="bottom"/>
            <w:vMerge w:val="restart"/>
          </w:tcPr>
          <w:p>
            <w:pPr>
              <w:jc w:val="right"/>
              <w:ind w:right="177"/>
              <w:spacing w:after="0" w:line="149" w:lineRule="exact"/>
              <w:rPr>
                <w:sz w:val="20"/>
                <w:szCs w:val="20"/>
                <w:color w:val="auto"/>
              </w:rPr>
            </w:pPr>
            <w:r>
              <w:rPr>
                <w:rFonts w:ascii="Arial" w:cs="Arial" w:eastAsia="Arial" w:hAnsi="Arial"/>
                <w:sz w:val="13"/>
                <w:szCs w:val="13"/>
                <w:color w:val="0000FF"/>
              </w:rPr>
              <w:t>02/04/2012</w:t>
            </w:r>
          </w:p>
        </w:tc>
        <w:tc>
          <w:tcPr>
            <w:tcW w:w="1140" w:type="dxa"/>
            <w:vAlign w:val="bottom"/>
          </w:tcPr>
          <w:p>
            <w:pPr>
              <w:spacing w:after="0"/>
              <w:rPr>
                <w:sz w:val="5"/>
                <w:szCs w:val="5"/>
                <w:color w:val="auto"/>
              </w:rPr>
            </w:pPr>
          </w:p>
        </w:tc>
        <w:tc>
          <w:tcPr>
            <w:tcW w:w="840" w:type="dxa"/>
            <w:vAlign w:val="bottom"/>
            <w:vMerge w:val="restart"/>
          </w:tcPr>
          <w:p>
            <w:pPr>
              <w:ind w:left="160"/>
              <w:spacing w:after="0" w:line="149" w:lineRule="exact"/>
              <w:rPr>
                <w:sz w:val="20"/>
                <w:szCs w:val="20"/>
                <w:color w:val="auto"/>
              </w:rPr>
            </w:pPr>
            <w:r>
              <w:rPr>
                <w:rFonts w:ascii="Arial" w:cs="Arial" w:eastAsia="Arial" w:hAnsi="Arial"/>
                <w:sz w:val="13"/>
                <w:szCs w:val="13"/>
                <w:color w:val="0000FF"/>
              </w:rPr>
              <w:t>M</w:t>
            </w:r>
          </w:p>
        </w:tc>
        <w:tc>
          <w:tcPr>
            <w:tcW w:w="760" w:type="dxa"/>
            <w:vAlign w:val="bottom"/>
            <w:vMerge w:val="restart"/>
          </w:tcPr>
          <w:p>
            <w:pPr>
              <w:jc w:val="right"/>
              <w:spacing w:after="0" w:line="149" w:lineRule="exact"/>
              <w:rPr>
                <w:sz w:val="20"/>
                <w:szCs w:val="20"/>
                <w:color w:val="auto"/>
              </w:rPr>
            </w:pPr>
            <w:r>
              <w:rPr>
                <w:rFonts w:ascii="Arial" w:cs="Arial" w:eastAsia="Arial" w:hAnsi="Arial"/>
                <w:sz w:val="13"/>
                <w:szCs w:val="13"/>
                <w:color w:val="0000FF"/>
              </w:rPr>
              <w:t>1,000</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100"/>
              <w:spacing w:after="0" w:line="149" w:lineRule="exact"/>
              <w:rPr>
                <w:sz w:val="20"/>
                <w:szCs w:val="20"/>
                <w:color w:val="auto"/>
              </w:rPr>
            </w:pPr>
            <w:r>
              <w:rPr>
                <w:rFonts w:ascii="Arial" w:cs="Arial" w:eastAsia="Arial" w:hAnsi="Arial"/>
                <w:sz w:val="13"/>
                <w:szCs w:val="13"/>
                <w:color w:val="0000FF"/>
              </w:rPr>
              <w:t>par value</w:t>
            </w:r>
          </w:p>
        </w:tc>
        <w:tc>
          <w:tcPr>
            <w:tcW w:w="580" w:type="dxa"/>
            <w:vAlign w:val="bottom"/>
            <w:vMerge w:val="continue"/>
          </w:tcPr>
          <w:p>
            <w:pPr>
              <w:spacing w:after="0"/>
              <w:rPr>
                <w:sz w:val="5"/>
                <w:szCs w:val="5"/>
                <w:color w:val="auto"/>
              </w:rPr>
            </w:pPr>
          </w:p>
        </w:tc>
        <w:tc>
          <w:tcPr>
            <w:tcW w:w="720" w:type="dxa"/>
            <w:vAlign w:val="bottom"/>
            <w:vMerge w:val="restart"/>
          </w:tcPr>
          <w:p>
            <w:pPr>
              <w:ind w:left="300"/>
              <w:spacing w:after="0" w:line="14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3"/>
                <w:szCs w:val="13"/>
                <w:color w:val="0000FF"/>
              </w:rPr>
              <w:t>3,500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$0.001</w:t>
            </w: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3"/>
          <w:szCs w:val="13"/>
          <w:color w:val="0000FF"/>
        </w:rPr>
        <w:t>per share</w:t>
      </w:r>
    </w:p>
    <w:p>
      <w:pPr>
        <w:spacing w:after="0" w:line="10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4"/>
          <w:szCs w:val="24"/>
          <w:color w:val="auto"/>
        </w:rPr>
      </w:pPr>
    </w:p>
    <w:p>
      <w:pPr>
        <w:ind w:left="40" w:right="26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As of February 3, 2012, ExlService Holdings, Inc. (the "Company") issued 616 shares of common stock, par value $0.001 per share ("Common Stock"), to the reporting person upon the vesting of shares of restricted stock previously granted to the reporting person</w:t>
      </w:r>
    </w:p>
    <w:p>
      <w:pPr>
        <w:spacing w:after="0" w:line="9" w:lineRule="exact"/>
        <w:rPr>
          <w:rFonts w:ascii="Arial" w:cs="Arial" w:eastAsia="Arial" w:hAnsi="Arial"/>
          <w:sz w:val="13"/>
          <w:szCs w:val="13"/>
          <w:color w:val="008000"/>
        </w:rPr>
      </w:pPr>
    </w:p>
    <w:p>
      <w:pPr>
        <w:ind w:left="40" w:right="48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restricted stock reported in this report vested on February 3, 2012.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spacing w:after="0" w:line="9" w:lineRule="exact"/>
        <w:rPr>
          <w:rFonts w:ascii="Arial" w:cs="Arial" w:eastAsia="Arial" w:hAnsi="Arial"/>
          <w:sz w:val="13"/>
          <w:szCs w:val="13"/>
          <w:color w:val="008000"/>
        </w:rPr>
      </w:pPr>
    </w:p>
    <w:p>
      <w:pPr>
        <w:ind w:left="40" w:right="16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As of February 4, 2012, ExlService Holdings, Inc. (the "Company") issued 1,000 shares of common stock, par value $0.001 per share ("Common Stock"), to the reporting person upon the vesting of shares of restricted stock previously granted to the reporting person.</w:t>
      </w:r>
    </w:p>
    <w:p>
      <w:pPr>
        <w:spacing w:after="0" w:line="9" w:lineRule="exact"/>
        <w:rPr>
          <w:rFonts w:ascii="Arial" w:cs="Arial" w:eastAsia="Arial" w:hAnsi="Arial"/>
          <w:sz w:val="13"/>
          <w:szCs w:val="13"/>
          <w:color w:val="008000"/>
        </w:rPr>
      </w:pPr>
    </w:p>
    <w:p>
      <w:pPr>
        <w:ind w:left="40" w:right="48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restricted stock reported in this report vested on February 4, 2012.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spacing w:after="0" w:line="9" w:lineRule="exact"/>
        <w:rPr>
          <w:rFonts w:ascii="Arial" w:cs="Arial" w:eastAsia="Arial" w:hAnsi="Arial"/>
          <w:sz w:val="13"/>
          <w:szCs w:val="13"/>
          <w:color w:val="008000"/>
        </w:rPr>
      </w:pPr>
    </w:p>
    <w:p>
      <w:pPr>
        <w:ind w:left="40" w:right="18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616 shares of restricted stock vested on February 3, 2012; an additional 967 shares of restricted stock will vest on February 3, 2013; another 1,317 shares of restricted stock will vest on February 3, 2014; and the remaining 1,400 shares of restricted stock will vest on February 3, 2015.</w:t>
      </w:r>
    </w:p>
    <w:p>
      <w:pPr>
        <w:spacing w:after="0" w:line="9" w:lineRule="exact"/>
        <w:rPr>
          <w:rFonts w:ascii="Arial" w:cs="Arial" w:eastAsia="Arial" w:hAnsi="Arial"/>
          <w:sz w:val="13"/>
          <w:szCs w:val="13"/>
          <w:color w:val="008000"/>
        </w:rPr>
      </w:pPr>
    </w:p>
    <w:p>
      <w:pPr>
        <w:ind w:left="40" w:right="64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1,000 shares of restricted stock vested on February 4, 2012; an additional 1,500 shares of restricted stock will vest on February 4, 2013; and the remaining 2,000 shares of restricted stock will vest on February 4, 2014.</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860"/>
        <w:spacing w:after="0" w:line="186" w:lineRule="auto"/>
        <w:rPr>
          <w:sz w:val="20"/>
          <w:szCs w:val="20"/>
          <w:color w:val="auto"/>
        </w:rPr>
      </w:pPr>
      <w:r>
        <w:rPr>
          <w:rFonts w:ascii="Arial" w:cs="Arial" w:eastAsia="Arial" w:hAnsi="Arial"/>
          <w:sz w:val="18"/>
          <w:szCs w:val="18"/>
          <w:color w:val="0000FF"/>
        </w:rPr>
        <w:t xml:space="preserve">/s/ Lazbart Oseni, Attorney-in-  </w:t>
      </w:r>
      <w:r>
        <w:rPr>
          <w:rFonts w:ascii="Arial" w:cs="Arial" w:eastAsia="Arial" w:hAnsi="Arial"/>
          <w:sz w:val="35"/>
          <w:szCs w:val="35"/>
          <w:color w:val="0000FF"/>
          <w:vertAlign w:val="subscript"/>
        </w:rPr>
        <w:t>02/07/2012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-28575</wp:posOffset>
            </wp:positionV>
            <wp:extent cx="13728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287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-22860</wp:posOffset>
            </wp:positionV>
            <wp:extent cx="191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-91440</wp:posOffset>
            </wp:positionV>
            <wp:extent cx="5073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7365" cy="8255"/>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680" w:firstLine="8"/>
        <w:spacing w:after="0" w:line="323"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2019-12-16T15:12:24Z</dcterms:created>
  <dcterms:modified xsi:type="dcterms:W3CDTF">2019-12-16T15:12:24Z</dcterms:modified>
</cp:coreProperties>
</file>