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 2018</w:t>
      </w:r>
    </w:p>
    <w:p>
      <w:pPr>
        <w:spacing w:after="0" w:line="27" w:lineRule="exact"/>
        <w:rPr>
          <w:sz w:val="24"/>
          <w:szCs w:val="24"/>
          <w:color w:val="auto"/>
        </w:rPr>
      </w:pPr>
    </w:p>
    <w:p>
      <w:pPr>
        <w:ind w:left="9060"/>
        <w:spacing w:after="0"/>
        <w:rPr>
          <w:sz w:val="20"/>
          <w:szCs w:val="20"/>
          <w:color w:val="auto"/>
        </w:rPr>
      </w:pPr>
      <w:r>
        <w:rPr>
          <w:rFonts w:ascii="Arial" w:cs="Arial" w:eastAsia="Arial" w:hAnsi="Arial"/>
          <w:sz w:val="16"/>
          <w:szCs w:val="16"/>
          <w:b w:val="1"/>
          <w:bCs w:val="1"/>
          <w:color w:val="auto"/>
        </w:rPr>
        <w:t>Registration No. 333-________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142240</wp:posOffset>
            </wp:positionV>
            <wp:extent cx="1646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154940</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30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right"/>
              <w:ind w:right="15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3080" w:type="dxa"/>
            <w:vAlign w:val="bottom"/>
          </w:tcPr>
          <w:p>
            <w:pPr>
              <w:jc w:val="center"/>
              <w:ind w:right="50"/>
              <w:spacing w:after="0"/>
              <w:rPr>
                <w:sz w:val="20"/>
                <w:szCs w:val="20"/>
                <w:color w:val="auto"/>
              </w:rPr>
            </w:pPr>
            <w:r>
              <w:rPr>
                <w:rFonts w:ascii="Arial" w:cs="Arial" w:eastAsia="Arial" w:hAnsi="Arial"/>
                <w:sz w:val="18"/>
                <w:szCs w:val="18"/>
                <w:color w:val="auto"/>
                <w:w w:val="93"/>
              </w:rPr>
              <w:t>(State or other jurisdiction of</w:t>
            </w:r>
          </w:p>
        </w:tc>
        <w:tc>
          <w:tcPr>
            <w:tcW w:w="4880" w:type="dxa"/>
            <w:vAlign w:val="bottom"/>
          </w:tcPr>
          <w:p>
            <w:pPr>
              <w:jc w:val="center"/>
              <w:ind w:left="3430"/>
              <w:spacing w:after="0"/>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right="50"/>
              <w:spacing w:after="0"/>
              <w:rPr>
                <w:sz w:val="20"/>
                <w:szCs w:val="20"/>
                <w:color w:val="auto"/>
              </w:rPr>
            </w:pPr>
            <w:r>
              <w:rPr>
                <w:rFonts w:ascii="Arial" w:cs="Arial" w:eastAsia="Arial" w:hAnsi="Arial"/>
                <w:sz w:val="18"/>
                <w:szCs w:val="18"/>
                <w:color w:val="auto"/>
                <w:w w:val="93"/>
              </w:rPr>
              <w:t>incorporation or organization)</w:t>
            </w:r>
          </w:p>
        </w:tc>
        <w:tc>
          <w:tcPr>
            <w:tcW w:w="4880" w:type="dxa"/>
            <w:vAlign w:val="bottom"/>
          </w:tcPr>
          <w:p>
            <w:pPr>
              <w:jc w:val="center"/>
              <w:ind w:left="345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30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280 Park Avenue, 38</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4880" w:type="dxa"/>
            <w:vAlign w:val="bottom"/>
          </w:tcPr>
          <w:p>
            <w:pPr>
              <w:spacing w:after="0"/>
              <w:rPr>
                <w:sz w:val="24"/>
                <w:szCs w:val="24"/>
                <w:color w:val="auto"/>
              </w:rPr>
            </w:pPr>
          </w:p>
        </w:tc>
      </w:tr>
      <w:tr>
        <w:trPr>
          <w:trHeight w:val="220"/>
        </w:trPr>
        <w:tc>
          <w:tcPr>
            <w:tcW w:w="30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370"/>
              <w:spacing w:after="0"/>
              <w:rPr>
                <w:sz w:val="20"/>
                <w:szCs w:val="20"/>
                <w:color w:val="auto"/>
              </w:rPr>
            </w:pPr>
            <w:r>
              <w:rPr>
                <w:rFonts w:ascii="Arial" w:cs="Arial" w:eastAsia="Arial" w:hAnsi="Arial"/>
                <w:sz w:val="18"/>
                <w:szCs w:val="18"/>
                <w:b w:val="1"/>
                <w:bCs w:val="1"/>
                <w:color w:val="auto"/>
              </w:rPr>
              <w:t>10017</w:t>
            </w:r>
          </w:p>
        </w:tc>
      </w:tr>
      <w:tr>
        <w:trPr>
          <w:trHeight w:val="230"/>
        </w:trPr>
        <w:tc>
          <w:tcPr>
            <w:tcW w:w="30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3430"/>
              <w:spacing w:after="0"/>
              <w:rPr>
                <w:sz w:val="20"/>
                <w:szCs w:val="20"/>
                <w:color w:val="auto"/>
              </w:rPr>
            </w:pPr>
            <w:r>
              <w:rPr>
                <w:rFonts w:ascii="Arial" w:cs="Arial" w:eastAsia="Arial" w:hAnsi="Arial"/>
                <w:sz w:val="18"/>
                <w:szCs w:val="18"/>
                <w:color w:val="auto"/>
                <w:w w:val="94"/>
              </w:rPr>
              <w:t>(Zip Code)</w:t>
            </w:r>
          </w:p>
        </w:tc>
      </w:tr>
      <w:tr>
        <w:trPr>
          <w:trHeight w:val="418"/>
        </w:trPr>
        <w:tc>
          <w:tcPr>
            <w:tcW w:w="3080" w:type="dxa"/>
            <w:vAlign w:val="bottom"/>
          </w:tcPr>
          <w:p>
            <w:pPr>
              <w:spacing w:after="0"/>
              <w:rPr>
                <w:sz w:val="24"/>
                <w:szCs w:val="24"/>
                <w:color w:val="auto"/>
              </w:rPr>
            </w:pPr>
          </w:p>
        </w:tc>
        <w:tc>
          <w:tcPr>
            <w:tcW w:w="48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0"/>
              </w:rPr>
              <w:t>2018 Omnibus Incentive Plan</w:t>
            </w:r>
          </w:p>
        </w:tc>
      </w:tr>
      <w:tr>
        <w:trPr>
          <w:trHeight w:val="230"/>
        </w:trPr>
        <w:tc>
          <w:tcPr>
            <w:tcW w:w="3080" w:type="dxa"/>
            <w:vAlign w:val="bottom"/>
          </w:tcPr>
          <w:p>
            <w:pPr>
              <w:spacing w:after="0"/>
              <w:rPr>
                <w:sz w:val="20"/>
                <w:szCs w:val="20"/>
                <w:color w:val="auto"/>
              </w:rPr>
            </w:pPr>
          </w:p>
        </w:tc>
        <w:tc>
          <w:tcPr>
            <w:tcW w:w="4880" w:type="dxa"/>
            <w:vAlign w:val="bottom"/>
          </w:tcPr>
          <w:p>
            <w:pPr>
              <w:jc w:val="center"/>
              <w:ind w:right="2210"/>
              <w:spacing w:after="0"/>
              <w:rPr>
                <w:sz w:val="20"/>
                <w:szCs w:val="20"/>
                <w:color w:val="auto"/>
              </w:rPr>
            </w:pPr>
            <w:r>
              <w:rPr>
                <w:rFonts w:ascii="Arial" w:cs="Arial" w:eastAsia="Arial" w:hAnsi="Arial"/>
                <w:sz w:val="18"/>
                <w:szCs w:val="18"/>
                <w:color w:val="auto"/>
                <w:w w:val="94"/>
              </w:rPr>
              <w:t>(Full title of the plan)</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Ajay Ayyappan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Deputy General Counsel and Corporate Secretary</w:t>
      </w:r>
    </w:p>
    <w:p>
      <w:pPr>
        <w:jc w:val="center"/>
        <w:spacing w:after="0" w:line="186" w:lineRule="auto"/>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Older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Rakesh Gopalan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McGuireWoods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548-2122</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14"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6720" w:space="720"/>
            <w:col w:w="3980"/>
          </w:cols>
          <w:pgMar w:left="240" w:top="229" w:right="239" w:bottom="1440" w:gutter="0" w:footer="0" w:header="0"/>
          <w:type w:val="continuous"/>
        </w:sectPr>
      </w:pPr>
    </w:p>
    <w:p>
      <w:pPr>
        <w:spacing w:after="0" w:line="3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CALCULATION OF REGISTRATION FEE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600" w:type="dxa"/>
            <w:vAlign w:val="bottom"/>
            <w:tcBorders>
              <w:top w:val="single" w:sz="8" w:color="auto"/>
            </w:tcBorders>
          </w:tcPr>
          <w:p>
            <w:pPr>
              <w:spacing w:after="0"/>
              <w:rPr>
                <w:sz w:val="20"/>
                <w:szCs w:val="20"/>
                <w:color w:val="auto"/>
              </w:rPr>
            </w:pPr>
          </w:p>
        </w:tc>
      </w:tr>
      <w:tr>
        <w:trPr>
          <w:trHeight w:val="216"/>
        </w:trPr>
        <w:tc>
          <w:tcPr>
            <w:tcW w:w="3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600" w:type="dxa"/>
            <w:vAlign w:val="bottom"/>
          </w:tcPr>
          <w:p>
            <w:pPr>
              <w:spacing w:after="0"/>
              <w:rPr>
                <w:sz w:val="18"/>
                <w:szCs w:val="18"/>
                <w:color w:val="auto"/>
              </w:rPr>
            </w:pPr>
          </w:p>
        </w:tc>
      </w:tr>
      <w:tr>
        <w:trPr>
          <w:trHeight w:val="216"/>
        </w:trPr>
        <w:tc>
          <w:tcPr>
            <w:tcW w:w="390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Title of securities to be</w:t>
            </w:r>
          </w:p>
        </w:tc>
        <w:tc>
          <w:tcPr>
            <w:tcW w:w="22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Amount to be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offering price per</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9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7"/>
              </w:rPr>
              <w:t>registered</w:t>
            </w:r>
          </w:p>
        </w:tc>
        <w:tc>
          <w:tcPr>
            <w:tcW w:w="222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registered (1)</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price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446"/>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222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3,192,319 shares</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$61.03(2)</w:t>
            </w: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$194,827,229(2)</w:t>
            </w:r>
          </w:p>
        </w:tc>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9" w:lineRule="exact"/>
        <w:rPr>
          <w:sz w:val="20"/>
          <w:szCs w:val="20"/>
          <w:color w:val="auto"/>
        </w:rPr>
      </w:pPr>
    </w:p>
    <w:p>
      <w:pPr>
        <w:ind w:left="460" w:right="2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the Registrant’s common stock, par value $0.001 per share (“Common Stock”) which become issuable under 2018 Omnibus Incentive Plan by reason of any stock dividend, stock split, recapitalization or other similar transaction.</w:t>
      </w:r>
    </w:p>
    <w:p>
      <w:pPr>
        <w:spacing w:after="0" w:line="181"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Rules 457(c) and 457(h) of the Securities Act solely for purposes of calculating the aggregate offering price and the amount of the registration fee based upon the average of the high and low prices of ExlService Holdings, Inc.’s Common Stock reported by the NASDAQ Global Select Market on July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ExlService Holdings, Inc. (the “Company” or “registrant”) has prepared this Registration Statement in accordance with the requirements of Form S-8 under the Securities Act of 1933, as amended (the “Securities Act”), to register 3,192,319 shares of its common stock, par value $0.001 per share (“Common Stock”), that are reserved for issuance upon exercise of options granted, or in respect of awards to be granted, under the ExlService Holdings, Inc. 2018 Omnibus Incentive Plan (the “Plan”). The Plan was adopted by the board of directors of the Company on April 12, 2018 and approved by the stockholders of the Company on June 15, 2018. The number of shares registered was calculated based on, as specified under the Plan, 3,175,000 shares of Common Stock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one share of Common Stock for every one share of Common Stock subject to an award granted under the Company’s prior equity compensation plan (the “Prior Plan”) after March 15, 2018 and prior to the Plan’s adoption by the Company’s stockholders,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shares of Common Stock subject to an award under the Prior Plan that expired, was forfeited, or otherwise terminated, or settled in cash, after March 15, 2018.</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9"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The document(s) containing the information specified in Part I of Form S-8 will be sent or given to participants in the Plan as specified by Rule 428(b)(1) under the Securities Act. Such documents are not being filed with the Securities and Exchange Commission, but constitute, along with the documents incorporated by reference into this Registration Statement, a prospectus that meets the requirements of Section 10(a) of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Company Information and Employee Plan Annual Information.</w:t>
      </w:r>
    </w:p>
    <w:p>
      <w:pPr>
        <w:spacing w:after="0" w:line="229" w:lineRule="exact"/>
        <w:rPr>
          <w:sz w:val="20"/>
          <w:szCs w:val="20"/>
          <w:color w:val="auto"/>
        </w:rPr>
      </w:pPr>
    </w:p>
    <w:p>
      <w:pPr>
        <w:ind w:right="300" w:firstLine="648"/>
        <w:spacing w:after="0" w:line="288" w:lineRule="auto"/>
        <w:rPr>
          <w:sz w:val="20"/>
          <w:szCs w:val="20"/>
          <w:color w:val="auto"/>
        </w:rPr>
      </w:pPr>
      <w:r>
        <w:rPr>
          <w:rFonts w:ascii="Arial" w:cs="Arial" w:eastAsia="Arial" w:hAnsi="Arial"/>
          <w:sz w:val="16"/>
          <w:szCs w:val="16"/>
          <w:color w:val="auto"/>
        </w:rPr>
        <w:t>We will furnish without charge to each person to whom the prospectus is delivered, upon the written or oral request of such person, a copy of any and all of the documents incorporated by reference in Item 3 of Part II of this Registration Statement, other than exhibits to such documents (unless such exhibits are specifically incorporated by reference to the information that is incorporated). Those documents are incorporated by reference in the Section</w:t>
      </w:r>
    </w:p>
    <w:p>
      <w:pPr>
        <w:ind w:right="300"/>
        <w:spacing w:after="0" w:line="205" w:lineRule="auto"/>
        <w:rPr>
          <w:sz w:val="20"/>
          <w:szCs w:val="20"/>
          <w:color w:val="auto"/>
        </w:rPr>
      </w:pPr>
      <w:r>
        <w:rPr>
          <w:rFonts w:ascii="Arial" w:cs="Arial" w:eastAsia="Arial" w:hAnsi="Arial"/>
          <w:sz w:val="18"/>
          <w:szCs w:val="18"/>
          <w:color w:val="auto"/>
        </w:rPr>
        <w:t>10(a) prospectus. Requests should be directed to ExlService Holdings, Inc.,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Attention: General Counsel; Telephone number (212) 277-7100.</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documents, which have been filed by the Company with the Commission, are incorporated in this Registration Statement by reference:</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Reports on Form 10-Q for the quarter ended March 31, 2018.</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Reports on Form 8-K filed with the Commission on February 6, 2018, February 23, 2018, February 27, 2018, March 1, 2018, May 1, 2018 (two reports), May 3, 2018, June 20, 2018, July 2, 2018 and August 2, 2018.</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its registration statement filed pursuant to Section 12 of the Exchange Act and all amendments and reports filed for the purpose of updating such description.</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All documents subsequently filed by the Company (other than any portion of such filings that are furnished under applicable SEC rules rather than filed) pursuant to Sections 13(a), 13(c), 14 and 15(d) of the Securities Exchange Act of 1934, as amended,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firstLine="648"/>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Section 145(a) of the Delaware General Corporation Law, or the DGCL, provides, in general, that a corporation has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such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9"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Section 145(b) of the DGCL provides, in general, that a corporation has the power to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any other enterprise,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Company’s amended and restated certificate of incorporation and amended and restated bylaws provide that the Company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the Company refers to as a proceeding, by reason of the fact that he or she, or a person for whom he or she is the legal representative, is or was a director or officer of the Company or, while a director or officer of the Company, is or was serving at the request of the Company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the Company shall be required to indemnify a person in connection with a proceeding (or part thereof) initiated by such person only if the commencement of such proceeding (or part thereof) was authorized by the board of directors.</w:t>
      </w:r>
    </w:p>
    <w:p>
      <w:pPr>
        <w:spacing w:after="0" w:line="182"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54"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Company’s amended and restated certificate of incorporation limits the personal liability of its directors to the fullest extent permitted by section 102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ind w:right="14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maintains directors’ and officers’ liability insurance for its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908" w:right="25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Exhibits.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780"/>
        <w:spacing w:after="0"/>
        <w:rPr>
          <w:sz w:val="20"/>
          <w:szCs w:val="20"/>
          <w:color w:val="auto"/>
        </w:rPr>
      </w:pPr>
      <w:r>
        <w:rPr>
          <w:rFonts w:ascii="Arial" w:cs="Arial" w:eastAsia="Arial" w:hAnsi="Arial"/>
          <w:sz w:val="16"/>
          <w:szCs w:val="16"/>
          <w:b w:val="1"/>
          <w:bCs w:val="1"/>
          <w:color w:val="auto"/>
        </w:rPr>
        <w:t>Description</w:t>
      </w:r>
    </w:p>
    <w:p>
      <w:pPr>
        <w:spacing w:after="0" w:line="222" w:lineRule="exact"/>
        <w:rPr>
          <w:sz w:val="20"/>
          <w:szCs w:val="20"/>
          <w:color w:val="auto"/>
        </w:rPr>
      </w:pPr>
    </w:p>
    <w:p>
      <w:pPr>
        <w:sectPr>
          <w:pgSz w:w="11900" w:h="16838" w:orient="portrait"/>
          <w:cols w:equalWidth="0" w:num="2">
            <w:col w:w="5000" w:space="720"/>
            <w:col w:w="5680"/>
          </w:cols>
          <w:pgMar w:left="240" w:top="908" w:right="259" w:bottom="1440" w:gutter="0" w:footer="0" w:header="0"/>
          <w:type w:val="continuous"/>
        </w:sectPr>
      </w:pPr>
    </w:p>
    <w:p>
      <w:pPr>
        <w:spacing w:after="0" w:line="43" w:lineRule="exact"/>
        <w:rPr>
          <w:sz w:val="20"/>
          <w:szCs w:val="20"/>
          <w:color w:val="auto"/>
        </w:rPr>
      </w:pPr>
    </w:p>
    <w:p>
      <w:pPr>
        <w:ind w:left="920" w:right="140" w:hanging="625"/>
        <w:spacing w:after="0" w:line="277" w:lineRule="auto"/>
        <w:tabs>
          <w:tab w:leader="none" w:pos="900" w:val="left"/>
        </w:tabs>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19">
        <w:r>
          <w:rPr>
            <w:rFonts w:ascii="Arial" w:cs="Arial" w:eastAsia="Arial" w:hAnsi="Arial"/>
            <w:sz w:val="18"/>
            <w:szCs w:val="18"/>
            <w:u w:val="single" w:color="auto"/>
            <w:color w:val="0000EE"/>
          </w:rPr>
          <w:t>Amended and Restated Certificate of Incorporation of the Company (incorporated by reference to Exhibit 3.1 of the Company’s Current Report</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on Form 8-K (File No. 1-33089) filed on October 25, 2006).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rFonts w:ascii="Arial" w:cs="Arial" w:eastAsia="Arial" w:hAnsi="Arial"/>
          <w:sz w:val="18"/>
          <w:szCs w:val="18"/>
          <w:u w:val="single" w:color="auto"/>
          <w:color w:val="0000EE"/>
        </w:rPr>
      </w:pPr>
    </w:p>
    <w:p>
      <w:pPr>
        <w:ind w:left="920" w:hanging="625"/>
        <w:spacing w:after="0" w:line="277" w:lineRule="auto"/>
        <w:tabs>
          <w:tab w:leader="none" w:pos="900" w:val="left"/>
        </w:tabs>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21">
        <w:r>
          <w:rPr>
            <w:rFonts w:ascii="Arial" w:cs="Arial" w:eastAsia="Arial" w:hAnsi="Arial"/>
            <w:sz w:val="18"/>
            <w:szCs w:val="18"/>
            <w:u w:val="single" w:color="auto"/>
            <w:color w:val="0000EE"/>
          </w:rPr>
          <w:t>Fourth Amended and Restated By-laws of the Company (incorporated by reference to Exhibit 3.2 of the Company’s Current Report on Form 8-K</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(File No. 1-33089) filed on February 28, 2017).</w:t>
        </w:r>
      </w:hyperlink>
    </w:p>
    <w:p>
      <w:pPr>
        <w:spacing w:after="0" w:line="170" w:lineRule="exact"/>
        <w:rPr>
          <w:rFonts w:ascii="Arial" w:cs="Arial" w:eastAsia="Arial" w:hAnsi="Arial"/>
          <w:sz w:val="18"/>
          <w:szCs w:val="18"/>
          <w:u w:val="single" w:color="auto"/>
          <w:color w:val="0000EE"/>
        </w:rPr>
      </w:pPr>
    </w:p>
    <w:p>
      <w:pPr>
        <w:ind w:left="260"/>
        <w:spacing w:after="0"/>
        <w:tabs>
          <w:tab w:leader="none" w:pos="900" w:val="left"/>
        </w:tabs>
        <w:rPr>
          <w:sz w:val="20"/>
          <w:szCs w:val="20"/>
          <w:color w:val="auto"/>
        </w:rPr>
      </w:pPr>
      <w:r>
        <w:rPr>
          <w:rFonts w:ascii="Arial" w:cs="Arial" w:eastAsia="Arial" w:hAnsi="Arial"/>
          <w:sz w:val="18"/>
          <w:szCs w:val="18"/>
          <w:u w:val="single" w:color="auto"/>
          <w:color w:val="0000EE"/>
        </w:rPr>
        <w:t>5.1*</w:t>
      </w:r>
      <w:r>
        <w:rPr>
          <w:sz w:val="20"/>
          <w:szCs w:val="20"/>
          <w:color w:val="auto"/>
        </w:rPr>
        <w:tab/>
      </w:r>
      <w:r>
        <w:rPr>
          <w:rFonts w:ascii="Arial" w:cs="Arial" w:eastAsia="Arial" w:hAnsi="Arial"/>
          <w:sz w:val="16"/>
          <w:szCs w:val="16"/>
          <w:u w:val="single" w:color="auto"/>
          <w:color w:val="0000EE"/>
        </w:rPr>
        <w:t>Opinion of McGuireWoods LLP with respect to the legality of the shares of Common Stock being registered hereby.</w:t>
      </w:r>
    </w:p>
    <w:p>
      <w:pPr>
        <w:spacing w:after="0" w:line="225" w:lineRule="exact"/>
        <w:rPr>
          <w:rFonts w:ascii="Arial" w:cs="Arial" w:eastAsia="Arial" w:hAnsi="Arial"/>
          <w:sz w:val="18"/>
          <w:szCs w:val="18"/>
          <w:u w:val="single" w:color="auto"/>
          <w:color w:val="0000EE"/>
        </w:rPr>
      </w:pPr>
    </w:p>
    <w:p>
      <w:pPr>
        <w:ind w:left="220"/>
        <w:spacing w:after="0"/>
        <w:tabs>
          <w:tab w:leader="none" w:pos="900"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6"/>
          <w:szCs w:val="16"/>
          <w:u w:val="single" w:color="auto"/>
          <w:color w:val="0000EE"/>
        </w:rPr>
        <w:t>Consent of Independent Registered Public Accounting Firm, Ernst &amp; Young LLP.</w:t>
      </w:r>
    </w:p>
    <w:p>
      <w:pPr>
        <w:spacing w:after="0" w:line="225" w:lineRule="exact"/>
        <w:rPr>
          <w:rFonts w:ascii="Arial" w:cs="Arial" w:eastAsia="Arial" w:hAnsi="Arial"/>
          <w:sz w:val="18"/>
          <w:szCs w:val="18"/>
          <w:u w:val="single" w:color="auto"/>
          <w:color w:val="0000EE"/>
        </w:rPr>
      </w:pPr>
    </w:p>
    <w:p>
      <w:pPr>
        <w:ind w:left="220"/>
        <w:spacing w:after="0"/>
        <w:tabs>
          <w:tab w:leader="none" w:pos="900" w:val="left"/>
        </w:tabs>
        <w:rPr>
          <w:sz w:val="20"/>
          <w:szCs w:val="20"/>
          <w:color w:val="auto"/>
        </w:rPr>
      </w:pPr>
      <w:r>
        <w:rPr>
          <w:rFonts w:ascii="Arial" w:cs="Arial" w:eastAsia="Arial" w:hAnsi="Arial"/>
          <w:sz w:val="18"/>
          <w:szCs w:val="18"/>
          <w:u w:val="single" w:color="auto"/>
          <w:color w:val="0000EE"/>
        </w:rPr>
        <w:t>23.2*</w:t>
      </w:r>
      <w:r>
        <w:rPr>
          <w:sz w:val="20"/>
          <w:szCs w:val="20"/>
          <w:color w:val="auto"/>
        </w:rPr>
        <w:tab/>
      </w:r>
      <w:r>
        <w:rPr>
          <w:rFonts w:ascii="Arial" w:cs="Arial" w:eastAsia="Arial" w:hAnsi="Arial"/>
          <w:sz w:val="16"/>
          <w:szCs w:val="16"/>
          <w:u w:val="single" w:color="auto"/>
          <w:color w:val="0000EE"/>
        </w:rPr>
        <w:t>Consent of McGuireWoods LLP (included in Exhibit 5.1).</w:t>
      </w:r>
    </w:p>
    <w:p>
      <w:pPr>
        <w:spacing w:after="0" w:line="225" w:lineRule="exact"/>
        <w:rPr>
          <w:rFonts w:ascii="Arial" w:cs="Arial" w:eastAsia="Arial" w:hAnsi="Arial"/>
          <w:sz w:val="18"/>
          <w:szCs w:val="18"/>
          <w:u w:val="single" w:color="auto"/>
          <w:color w:val="0000EE"/>
        </w:rPr>
      </w:pPr>
    </w:p>
    <w:p>
      <w:pPr>
        <w:ind w:left="220"/>
        <w:spacing w:after="0"/>
        <w:tabs>
          <w:tab w:leader="none" w:pos="9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Power of Attorney (included on signature page).</w:t>
        </w:r>
      </w:hyperlink>
    </w:p>
    <w:p>
      <w:pPr>
        <w:spacing w:after="0" w:line="225" w:lineRule="exact"/>
        <w:rPr>
          <w:sz w:val="20"/>
          <w:szCs w:val="20"/>
          <w:color w:val="auto"/>
        </w:rPr>
      </w:pPr>
    </w:p>
    <w:p>
      <w:pPr>
        <w:ind w:left="920" w:right="220" w:hanging="670"/>
        <w:spacing w:after="0" w:line="258" w:lineRule="auto"/>
        <w:tabs>
          <w:tab w:leader="none" w:pos="900" w:val="left"/>
        </w:tabs>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r:id="rId22">
        <w:r>
          <w:rPr>
            <w:rFonts w:ascii="Arial" w:cs="Arial" w:eastAsia="Arial" w:hAnsi="Arial"/>
            <w:sz w:val="18"/>
            <w:szCs w:val="18"/>
            <w:u w:val="single" w:color="auto"/>
            <w:color w:val="0000EE"/>
          </w:rPr>
          <w:t>2018 Omnibus Incentive Plan (incorporated by reference from Exhibit 10.1 to the Company’s Current Report on Form 8-K (File No. 1-33089)</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filed on June 20, 2018).</w:t>
        </w:r>
      </w:hyperlink>
    </w:p>
    <w:p>
      <w:pPr>
        <w:spacing w:after="0" w:line="1"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color w:val="auto"/>
        </w:rPr>
        <w:t>______________</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 Filed herewith.</w:t>
      </w:r>
    </w:p>
    <w:p>
      <w:pPr>
        <w:spacing w:after="0" w:line="20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rFonts w:ascii="Arial" w:cs="Arial" w:eastAsia="Arial" w:hAnsi="Arial"/>
          <w:sz w:val="18"/>
          <w:szCs w:val="18"/>
          <w:u w:val="single" w:color="auto"/>
          <w:color w:val="0000EE"/>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225" w:lineRule="exact"/>
        <w:rPr>
          <w:rFonts w:ascii="Arial" w:cs="Arial" w:eastAsia="Arial" w:hAnsi="Arial"/>
          <w:sz w:val="18"/>
          <w:szCs w:val="18"/>
          <w:color w:val="auto"/>
        </w:rPr>
      </w:pPr>
    </w:p>
    <w:p>
      <w:pPr>
        <w:ind w:firstLine="889"/>
        <w:spacing w:after="0" w:line="273" w:lineRule="auto"/>
        <w:tabs>
          <w:tab w:leader="none" w:pos="1146"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right="460" w:firstLine="889"/>
        <w:spacing w:after="0" w:line="277" w:lineRule="auto"/>
        <w:tabs>
          <w:tab w:leader="none" w:pos="1196"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u w:val="single" w:color="auto"/>
          <w:color w:val="0000EE"/>
        </w:rPr>
      </w:pPr>
    </w:p>
    <w:p>
      <w:pPr>
        <w:ind w:right="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Item 9 do not apply if the registration statement is on Form S-8, and the information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included in a post-effective amendment by those paragraphs is contained in periodic reports filed with or furnished to the Commission by the registrant pursuant to Section 13 or Section 15(d) of the Securities Exchange Act of 1934 (the “Exchange Act”) that are incorporated by reference in the registration statement.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type w:val="continuous"/>
        </w:sectPr>
      </w:pPr>
    </w:p>
    <w:bookmarkStart w:id="5" w:name="page6"/>
    <w:bookmarkEnd w:id="5"/>
    <w:p>
      <w:pPr>
        <w:ind w:left="-8" w:right="520" w:firstLine="449"/>
        <w:spacing w:after="0" w:line="264" w:lineRule="auto"/>
        <w:tabs>
          <w:tab w:leader="none" w:pos="688"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8" w:right="760" w:firstLine="449"/>
        <w:spacing w:after="0" w:line="277" w:lineRule="auto"/>
        <w:tabs>
          <w:tab w:leader="none" w:pos="68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the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 w:firstLine="8"/>
        <w:spacing w:after="0" w:line="302" w:lineRule="auto"/>
        <w:tabs>
          <w:tab w:leader="none" w:pos="247"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left="-8" w:right="40" w:firstLine="8"/>
        <w:spacing w:after="0" w:line="254" w:lineRule="auto"/>
        <w:tabs>
          <w:tab w:leader="none" w:pos="23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40"/>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August, 2018.</w:t>
      </w:r>
    </w:p>
    <w:p>
      <w:pPr>
        <w:spacing w:after="0" w:line="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each of Rohit Kapoor, Vishal Chhibbar and Ajay Ayyappan, and each of them acting individually, as his or her true and lawful attorney-in-fact and agent, with power to act without any other and with full and several power of substitution, for him or her and in his or her name, place and stead, to sign, in his or her capacity or capacities as shown below, any and all amendments to this Registration Statement on Form S-8 (including post-effective amendments),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with any such amendments, as fully for all intents and purposes as he or she might or could do in person, and does hereby ratify and confirm all that said attorneys-in-fact and agents, or either of them, or their substitutes, may lawfully do or cause to be done by virtue hereof.</w:t>
      </w:r>
    </w:p>
    <w:p>
      <w:pPr>
        <w:spacing w:after="0" w:line="179" w:lineRule="exact"/>
        <w:rPr>
          <w:sz w:val="20"/>
          <w:szCs w:val="20"/>
          <w:color w:val="auto"/>
        </w:rPr>
      </w:pPr>
    </w:p>
    <w:p>
      <w:pPr>
        <w:ind w:right="340" w:firstLine="648"/>
        <w:spacing w:after="0" w:line="280"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as of this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August, 2018.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ind w:left="2560"/>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5460" w:type="dxa"/>
            <w:vAlign w:val="bottom"/>
          </w:tcPr>
          <w:p>
            <w:pPr>
              <w:ind w:left="2540"/>
              <w:spacing w:after="0"/>
              <w:rPr>
                <w:sz w:val="20"/>
                <w:szCs w:val="20"/>
                <w:color w:val="auto"/>
              </w:rPr>
            </w:pPr>
            <w:r>
              <w:rPr>
                <w:rFonts w:ascii="Arial" w:cs="Arial" w:eastAsia="Arial" w:hAnsi="Arial"/>
                <w:sz w:val="18"/>
                <w:szCs w:val="18"/>
                <w:b w:val="1"/>
                <w:bCs w:val="1"/>
                <w:color w:val="auto"/>
              </w:rPr>
              <w:t>Title</w:t>
            </w:r>
          </w:p>
        </w:tc>
      </w:tr>
      <w:tr>
        <w:trPr>
          <w:trHeight w:val="216"/>
        </w:trPr>
        <w:tc>
          <w:tcPr>
            <w:tcW w:w="20" w:type="dxa"/>
            <w:vAlign w:val="bottom"/>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Rohit Kapoor</w:t>
            </w: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Executive Officer, Vice Chairman and Director</w:t>
            </w: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Rohit Kapoor</w:t>
            </w:r>
          </w:p>
        </w:tc>
        <w:tc>
          <w:tcPr>
            <w:tcW w:w="3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04"/>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Vishal Chhibbar</w:t>
            </w: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Vishal Chhibbar</w:t>
            </w:r>
          </w:p>
        </w:tc>
        <w:tc>
          <w:tcPr>
            <w:tcW w:w="3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18"/>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Garen K. Staglin</w:t>
            </w: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Garen K. Staglin</w:t>
            </w: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18"/>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Anne E. Minto</w:t>
            </w: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Anne E. Minto</w:t>
            </w: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18"/>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Clyde W. Ostler</w:t>
            </w: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Clyde W. Ostler</w:t>
            </w: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18"/>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B. Kelso</w:t>
            </w: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David B. Kelso</w:t>
            </w: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18"/>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Deborah Kerr</w:t>
            </w: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Deborah Kerr</w:t>
            </w: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18"/>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Nitin Sahney</w:t>
            </w: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Nitin Sahney</w:t>
            </w: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18"/>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Som Mittal</w:t>
            </w: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Som Mittal</w:t>
            </w: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661"/>
        </w:trPr>
        <w:tc>
          <w:tcPr>
            <w:tcW w:w="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MCGUIREWOODS]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3,192,319 Shares of Common Stock of ExlService Holdings, Inc. to be issued pursuant to the ExlService Holdings, Inc. 2018 Omnibus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Incentive Plan</w:t>
      </w:r>
    </w:p>
    <w:p>
      <w:pPr>
        <w:spacing w:after="0" w:line="200" w:lineRule="exact"/>
        <w:rPr>
          <w:sz w:val="20"/>
          <w:szCs w:val="20"/>
          <w:color w:val="auto"/>
        </w:rPr>
      </w:pPr>
    </w:p>
    <w:p>
      <w:pPr>
        <w:sectPr>
          <w:pgSz w:w="11900" w:h="16838" w:orient="portrait"/>
          <w:cols w:equalWidth="0" w:num="2">
            <w:col w:w="900" w:space="400"/>
            <w:col w:w="1012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have acted as counsel to ExlService Holdings,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in connection with the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that is being filed on the date hereof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by the Corporation pursuant to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relating to the registration of 3,192,319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Corporation’s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which may be issued pursuant to the ExlService Holdings, Inc. 2018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this opinion letter, we have examined the Registration Statement, including the exhibits being filed therewith or incorporated by reference therein. In addition, we have examined and relied upon the following:</w:t>
      </w:r>
    </w:p>
    <w:p>
      <w:pPr>
        <w:spacing w:after="0" w:line="170" w:lineRule="exact"/>
        <w:rPr>
          <w:sz w:val="20"/>
          <w:szCs w:val="20"/>
          <w:color w:val="auto"/>
        </w:rPr>
      </w:pPr>
    </w:p>
    <w:p>
      <w:pPr>
        <w:jc w:val="both"/>
        <w:ind w:right="20" w:firstLine="656"/>
        <w:spacing w:after="0" w:line="264" w:lineRule="auto"/>
        <w:tabs>
          <w:tab w:leader="none" w:pos="1384"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certificate from an officer of the Corporation certifying as to (A) true and correct copies of the Amended and Restated Certificate of Incorporation and the Amended and Restated By-laws of the Corporation and (B) the resolutions of the Board of Directors of the Corporation with respect to the Plan and the Registration Statement;</w:t>
      </w:r>
    </w:p>
    <w:p>
      <w:pPr>
        <w:spacing w:after="0" w:line="181" w:lineRule="exact"/>
        <w:rPr>
          <w:rFonts w:ascii="Arial" w:cs="Arial" w:eastAsia="Arial" w:hAnsi="Arial"/>
          <w:sz w:val="18"/>
          <w:szCs w:val="18"/>
          <w:color w:val="auto"/>
        </w:rPr>
      </w:pPr>
    </w:p>
    <w:p>
      <w:pPr>
        <w:ind w:right="20" w:firstLine="656"/>
        <w:spacing w:after="0" w:line="277" w:lineRule="auto"/>
        <w:tabs>
          <w:tab w:leader="none" w:pos="1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certificate dated August 1, 2018 issued by the Secretary of State of the State of Delaware, attesting to the corporate status of the Corporation in the State of Delaware;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originals, or copies identified to our satisfaction as being true copies, of such other records, documents and instruments as we have deemed necessary for the purposes of this opinion letter.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all purposes of the opinion expressed herein, we have assumed, without independent investigation, the following: (a) to the extent that we have reviewed and relied upon certificates of the Corporation or authorized representatives thereof and certificates and assurances from public officials, all of such certificates, representations and assurances are accurate with regard to factual matters; (b) all documents submitted to us as originals are authentic, complete and accurate, and all documents submitted to us as copies conform to authentic original documents; (c) the genuineness of all signatures; and (d) the Registration Statement will be effective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and subject to the foregoing and the exclusions, qualifications, limitations and other assumptions set forth in this opinion letter, we are of the opinion that the Shares have been validly authorized and, when issued and paid for in accordance with and upon the terms and conditions of the Plan, will be validly issued, fully paid and nonassessable.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opinion is limited to the Delaware General Corporation Law (including statutory provisions, all applicable provisions of the Delaware Constitution and reported judicial decisions interpreting the foregoing), as in effect on the date hereof, and we do not express any opinion concerning any other law.</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opinion is being furnished only for the purpose referred to in the first paragraph of this opinion letter. We hereby consent to the filing of this opinion as Exhibit 5.1 to the Registration Statement. In giving this consent, we do not admit that we are within the category of persons whose consent is required by Section 7 of the Securities Act or the rules and regulations of the SEC promulgated thereunder.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MCGUIREWOODS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dated August 2, 2018) pertaining to the ExlService Holdings, Inc. 2018 Omnibus Incentive Plan of our reports dated February 27, 2018, with respect to the consolidated financial statements of ExlService Holdings, Inc. and the effectiveness of internal control over financial reporting of ExlService Holdings, Inc. included in its Annual Report (Form 10-K) for the year ended December 31, 2017,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New York, New York</w:t>
            </w:r>
          </w:p>
        </w:tc>
        <w:tc>
          <w:tcPr>
            <w:tcW w:w="6920" w:type="dxa"/>
            <w:vAlign w:val="bottom"/>
          </w:tcPr>
          <w:p>
            <w:pPr>
              <w:ind w:left="2920"/>
              <w:spacing w:after="0"/>
              <w:rPr>
                <w:sz w:val="20"/>
                <w:szCs w:val="20"/>
                <w:color w:val="auto"/>
              </w:rPr>
            </w:pPr>
            <w:r>
              <w:rPr>
                <w:rFonts w:ascii="Arial" w:cs="Arial" w:eastAsia="Arial" w:hAnsi="Arial"/>
                <w:sz w:val="18"/>
                <w:szCs w:val="18"/>
                <w:color w:val="auto"/>
              </w:rPr>
              <w:t>/s/ Ernst &amp; Young LLP</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August 2, 2018</w:t>
            </w:r>
          </w:p>
        </w:tc>
        <w:tc>
          <w:tcPr>
            <w:tcW w:w="6920" w:type="dxa"/>
            <w:vAlign w:val="bottom"/>
          </w:tcPr>
          <w:p>
            <w:pPr>
              <w:spacing w:after="0"/>
              <w:rPr>
                <w:sz w:val="20"/>
                <w:szCs w:val="20"/>
                <w:color w:val="auto"/>
              </w:rPr>
            </w:pPr>
          </w:p>
        </w:tc>
      </w:tr>
      <w:tr>
        <w:trPr>
          <w:trHeight w:val="1107"/>
        </w:trPr>
        <w:tc>
          <w:tcPr>
            <w:tcW w:w="45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lowerLetter"/>
      <w:start w:val="1"/>
    </w:lvl>
    <w:lvl w:ilvl="1">
      <w:lvlJc w:val="left"/>
      <w:lvlText w:val="(%2)"/>
      <w:numFmt w:val="decimal"/>
      <w:start w:val="2"/>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9" Type="http://schemas.openxmlformats.org/officeDocument/2006/relationships/hyperlink" Target="http://www.sec.gov/Archives/edgar/data/1297989/000119312506214684/dex31.htm" TargetMode="External"/><Relationship Id="rId21" Type="http://schemas.openxmlformats.org/officeDocument/2006/relationships/hyperlink" Target="http://www.sec.gov/Archives/edgar/data/1297989/000114420417011696/v460716_ex3-2.htm" TargetMode="External"/><Relationship Id="rId22" Type="http://schemas.openxmlformats.org/officeDocument/2006/relationships/hyperlink" Target="http://www.sec.gov/Archives/edgar/data/1297989/000114420418034885/tv49678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2019-12-06T23:40:04Z</dcterms:created>
  <dcterms:modified xsi:type="dcterms:W3CDTF">2019-12-06T23:40:04Z</dcterms:modified>
</cp:coreProperties>
</file>