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4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Jetley Vivek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54"/>
        <w:spacing w:after="0"/>
        <w:rPr>
          <w:sz w:val="20"/>
          <w:szCs w:val="20"/>
          <w:color w:val="auto"/>
        </w:rPr>
      </w:pPr>
      <w:r>
        <w:rPr>
          <w:rFonts w:ascii="Arial" w:cs="Arial" w:eastAsia="Arial" w:hAnsi="Arial"/>
          <w:sz w:val="17"/>
          <w:szCs w:val="17"/>
          <w:color w:val="0000FF"/>
        </w:rPr>
        <w:t>EVP and Head of Analytics</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466"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74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74180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60"/>
            <w:col w:w="7180"/>
          </w:cols>
          <w:pgMar w:left="460" w:top="222" w:right="359" w:bottom="4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02/19/2021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7"/>
              <w:spacing w:after="0"/>
              <w:rPr>
                <w:sz w:val="20"/>
                <w:szCs w:val="20"/>
                <w:color w:val="auto"/>
              </w:rPr>
            </w:pPr>
            <w:r>
              <w:rPr>
                <w:rFonts w:ascii="Arial" w:cs="Arial" w:eastAsia="Arial" w:hAnsi="Arial"/>
                <w:sz w:val="17"/>
                <w:szCs w:val="17"/>
                <w:color w:val="0000FF"/>
                <w:w w:val="89"/>
              </w:rPr>
              <w:t>1,091</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1"/>
                <w:szCs w:val="11"/>
                <w:color w:val="008000"/>
              </w:rPr>
              <w:t>(1)</w:t>
            </w:r>
          </w:p>
        </w:tc>
        <w:tc>
          <w:tcPr>
            <w:tcW w:w="1120" w:type="dxa"/>
            <w:vAlign w:val="bottom"/>
          </w:tcPr>
          <w:p>
            <w:pPr>
              <w:ind w:left="340"/>
              <w:spacing w:after="0"/>
              <w:rPr>
                <w:sz w:val="20"/>
                <w:szCs w:val="20"/>
                <w:color w:val="auto"/>
              </w:rPr>
            </w:pPr>
            <w:r>
              <w:rPr>
                <w:rFonts w:ascii="Arial" w:cs="Arial" w:eastAsia="Arial" w:hAnsi="Arial"/>
                <w:sz w:val="17"/>
                <w:szCs w:val="17"/>
                <w:color w:val="0000FF"/>
              </w:rPr>
              <w:t>40,601</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02/19/2021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417</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81.22</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40,184</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02/20/2021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7"/>
              <w:spacing w:after="0"/>
              <w:rPr>
                <w:sz w:val="20"/>
                <w:szCs w:val="20"/>
                <w:color w:val="auto"/>
              </w:rPr>
            </w:pPr>
            <w:r>
              <w:rPr>
                <w:rFonts w:ascii="Arial" w:cs="Arial" w:eastAsia="Arial" w:hAnsi="Arial"/>
                <w:sz w:val="17"/>
                <w:szCs w:val="17"/>
                <w:color w:val="0000FF"/>
                <w:w w:val="91"/>
              </w:rPr>
              <w:t>723</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rPr>
                <w:sz w:val="20"/>
                <w:szCs w:val="20"/>
                <w:color w:val="auto"/>
              </w:rPr>
            </w:pPr>
            <w:r>
              <w:rPr>
                <w:rFonts w:ascii="Arial" w:cs="Arial" w:eastAsia="Arial" w:hAnsi="Arial"/>
                <w:sz w:val="11"/>
                <w:szCs w:val="11"/>
                <w:color w:val="008000"/>
              </w:rPr>
              <w:t>(1)</w:t>
            </w:r>
          </w:p>
        </w:tc>
        <w:tc>
          <w:tcPr>
            <w:tcW w:w="1120" w:type="dxa"/>
            <w:vAlign w:val="bottom"/>
          </w:tcPr>
          <w:p>
            <w:pPr>
              <w:ind w:left="340"/>
              <w:spacing w:after="0"/>
              <w:rPr>
                <w:sz w:val="20"/>
                <w:szCs w:val="20"/>
                <w:color w:val="auto"/>
              </w:rPr>
            </w:pPr>
            <w:r>
              <w:rPr>
                <w:rFonts w:ascii="Arial" w:cs="Arial" w:eastAsia="Arial" w:hAnsi="Arial"/>
                <w:sz w:val="17"/>
                <w:szCs w:val="17"/>
                <w:color w:val="0000FF"/>
              </w:rPr>
              <w:t>40,907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02/20/2021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277</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80.55</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40,630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82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82321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1,091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Arial" w:cs="Arial" w:eastAsia="Arial" w:hAnsi="Arial"/>
                <w:sz w:val="13"/>
                <w:szCs w:val="13"/>
                <w:color w:val="0000FF"/>
              </w:rPr>
              <w:t>02/19/2021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jc w:val="right"/>
              <w:ind w:right="1"/>
              <w:spacing w:after="0" w:line="143" w:lineRule="exact"/>
              <w:rPr>
                <w:sz w:val="20"/>
                <w:szCs w:val="20"/>
                <w:color w:val="auto"/>
              </w:rPr>
            </w:pPr>
            <w:r>
              <w:rPr>
                <w:rFonts w:ascii="Arial" w:cs="Arial" w:eastAsia="Arial" w:hAnsi="Arial"/>
                <w:sz w:val="13"/>
                <w:szCs w:val="13"/>
                <w:color w:val="0000FF"/>
              </w:rPr>
              <w:t>1,091</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3,274</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jc w:val="right"/>
              <w:ind w:right="94"/>
              <w:spacing w:after="0"/>
              <w:rPr>
                <w:sz w:val="20"/>
                <w:szCs w:val="20"/>
                <w:color w:val="auto"/>
              </w:rPr>
            </w:pPr>
            <w:r>
              <w:rPr>
                <w:rFonts w:ascii="Arial" w:cs="Arial" w:eastAsia="Arial" w:hAnsi="Arial"/>
                <w:sz w:val="17"/>
                <w:szCs w:val="17"/>
                <w:color w:val="0000FF"/>
              </w:rPr>
              <w:t>723</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Arial" w:cs="Arial" w:eastAsia="Arial" w:hAnsi="Arial"/>
                <w:sz w:val="13"/>
                <w:szCs w:val="13"/>
                <w:color w:val="0000FF"/>
              </w:rPr>
              <w:t>02/20/2021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jc w:val="right"/>
              <w:ind w:right="41"/>
              <w:spacing w:after="0" w:line="143" w:lineRule="exact"/>
              <w:rPr>
                <w:sz w:val="20"/>
                <w:szCs w:val="20"/>
                <w:color w:val="auto"/>
              </w:rPr>
            </w:pPr>
            <w:r>
              <w:rPr>
                <w:rFonts w:ascii="Arial" w:cs="Arial" w:eastAsia="Arial" w:hAnsi="Arial"/>
                <w:sz w:val="13"/>
                <w:szCs w:val="13"/>
                <w:color w:val="0000FF"/>
              </w:rPr>
              <w:t>723</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1,445</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19,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jc w:val="both"/>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4,365 restricted stock units, vesting in four annual installments beginning on the first anniversary of the grant date. 25 percent of the restricted stock units became vested on February 19, 2021, an additional twenty-five percent of the restricted stock units will vest on February 19, 2022, an additional twenty-five percent of the restricted stock units will vest on February 19, 2023; and the remaining balance of twenty-five percent of the restricted stock units will vest on February 19, 2024</w:t>
      </w:r>
    </w:p>
    <w:p>
      <w:pPr>
        <w:spacing w:after="0" w:line="30"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2,890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 additional twenty-five percent of the restricted stock units will vest on February 20, 2022; and the remaining balance of twenty-five percent of the restricted stock units will vest on February 20, 2023</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2021-02-23T20:13:29Z</dcterms:created>
  <dcterms:modified xsi:type="dcterms:W3CDTF">2021-02-23T20:13:29Z</dcterms:modified>
</cp:coreProperties>
</file>