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762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81"/>
        <w:spacing w:after="0"/>
        <w:rPr>
          <w:sz w:val="20"/>
          <w:szCs w:val="20"/>
          <w:color w:val="auto"/>
        </w:rPr>
      </w:pPr>
      <w:r>
        <w:rPr>
          <w:rFonts w:ascii="Arial" w:cs="Arial" w:eastAsia="Arial" w:hAnsi="Arial"/>
          <w:sz w:val="17"/>
          <w:szCs w:val="17"/>
          <w:color w:val="0000FF"/>
        </w:rPr>
        <w:t>EVP and Chief HR Officer</w:t>
      </w:r>
    </w:p>
    <w:p>
      <w:pPr>
        <w:spacing w:after="0" w:line="305"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1,665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5"/>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10,410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889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Arial" w:cs="Arial" w:eastAsia="Arial" w:hAnsi="Arial"/>
                <w:sz w:val="17"/>
                <w:szCs w:val="17"/>
                <w:color w:val="0000FF"/>
              </w:rPr>
              <w:t>9,521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3,572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3,572</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3,572</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1,665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1,665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4,995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6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6,660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2022-02-18T16:15:07Z</dcterms:created>
  <dcterms:modified xsi:type="dcterms:W3CDTF">2022-02-18T16:15:07Z</dcterms:modified>
</cp:coreProperties>
</file>