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718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1824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54"/>
        <w:spacing w:after="0"/>
        <w:rPr>
          <w:sz w:val="20"/>
          <w:szCs w:val="20"/>
          <w:color w:val="auto"/>
        </w:rPr>
      </w:pPr>
      <w:r>
        <w:rPr>
          <w:rFonts w:ascii="Times New Roman" w:cs="Times New Roman" w:eastAsia="Times New Roman" w:hAnsi="Times New Roman"/>
          <w:sz w:val="17"/>
          <w:szCs w:val="17"/>
          <w:color w:val="0000FF"/>
        </w:rPr>
        <w:t>EVP and Head of Analytics</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1,489</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57,435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824</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56,611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1,091</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57,702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604</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170.53</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57,098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02/20/2023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723</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57,821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02/20/2023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170.53</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57,421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1,489</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02/17/2023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1,489</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2,978</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1,091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02/19/2023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1,091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1,092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02/20/2023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280"/>
              <w:spacing w:after="0" w:line="143" w:lineRule="exact"/>
              <w:rPr>
                <w:sz w:val="20"/>
                <w:szCs w:val="20"/>
                <w:color w:val="auto"/>
              </w:rPr>
            </w:pPr>
            <w:r>
              <w:rPr>
                <w:rFonts w:ascii="Times New Roman" w:cs="Times New Roman" w:eastAsia="Times New Roman" w:hAnsi="Times New Roman"/>
                <w:sz w:val="13"/>
                <w:szCs w:val="13"/>
                <w:color w:val="0000FF"/>
              </w:rPr>
              <w:t>723</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17,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19,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20,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5,955 restricted stock units, vesting in four annual installments beginning on the first anniversary of the grant date. 25 percent of the restricted stock units became vested on February 17, 2022, an additional twenty-five percent of the restricted stock units became vested on February 17, 2023, an additional twenty-five percent of the restricted stock units will vest on February 17, 2024, and the remaining balance of twenty-five percent of the restricted stock units will vest on February 17, 2025.</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4,365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will became vested on February 19, 2023, and the remaining balance of 25 percent of the restricted stock units will vest on February 19, 2024.</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20, 2019, the reporting person was granted 2,890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and additional twenty-five percent of the restricted stock units became vested on February 20, 2022, and the remaining balance of twenty-five percent of the restricted stock units became vested on February 20, 2023.</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6" w:right="359" w:bottom="0" w:gutter="0" w:footer="0" w:header="0"/>
          <w:type w:val="continuous"/>
        </w:sectPr>
      </w:pP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Mr. Oseni is the Company's Head of Administration and Accounts.</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/s/ Lazbart Oseni, Attorney-in-  02/22/2023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884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2023-02-22T18:03:20Z</dcterms:created>
  <dcterms:modified xsi:type="dcterms:W3CDTF">2023-02-22T18:03:20Z</dcterms:modified>
</cp:coreProperties>
</file>