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31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311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KELSO DAVID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06/15/2019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340" w:type="dxa"/>
            <w:vAlign w:val="bottom"/>
            <w:gridSpan w:val="2"/>
          </w:tcPr>
          <w:p>
            <w:pPr>
              <w:ind w:left="2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340" w:type="dxa"/>
            <w:vAlign w:val="bottom"/>
            <w:gridSpan w:val="2"/>
          </w:tcPr>
          <w:p>
            <w:pPr>
              <w:jc w:val="center"/>
              <w:ind w:left="28"/>
              <w:spacing w:after="0"/>
              <w:rPr>
                <w:sz w:val="20"/>
                <w:szCs w:val="20"/>
                <w:color w:val="auto"/>
              </w:rPr>
            </w:pPr>
            <w:r>
              <w:rPr>
                <w:rFonts w:ascii="Arial" w:cs="Arial" w:eastAsia="Arial" w:hAnsi="Arial"/>
                <w:sz w:val="18"/>
                <w:szCs w:val="18"/>
                <w:color w:val="0000FF"/>
                <w:w w:val="88"/>
              </w:rPr>
              <w:t>06/15/2019</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ind w:left="160"/>
              <w:spacing w:after="0"/>
              <w:rPr>
                <w:sz w:val="20"/>
                <w:szCs w:val="20"/>
                <w:color w:val="auto"/>
              </w:rPr>
            </w:pPr>
            <w:r>
              <w:rPr>
                <w:rFonts w:ascii="Arial" w:cs="Arial" w:eastAsia="Arial" w:hAnsi="Arial"/>
                <w:sz w:val="14"/>
                <w:szCs w:val="14"/>
                <w:color w:val="0000FF"/>
              </w:rPr>
              <w:t>M</w:t>
            </w:r>
          </w:p>
        </w:tc>
        <w:tc>
          <w:tcPr>
            <w:tcW w:w="340" w:type="dxa"/>
            <w:vAlign w:val="bottom"/>
          </w:tcPr>
          <w:p>
            <w:pPr>
              <w:spacing w:after="0"/>
              <w:rPr>
                <w:sz w:val="23"/>
                <w:szCs w:val="23"/>
                <w:color w:val="auto"/>
              </w:rPr>
            </w:pPr>
          </w:p>
        </w:tc>
        <w:tc>
          <w:tcPr>
            <w:tcW w:w="560" w:type="dxa"/>
            <w:vAlign w:val="bottom"/>
            <w:gridSpan w:val="2"/>
          </w:tcPr>
          <w:p>
            <w:pPr>
              <w:ind w:left="160"/>
              <w:spacing w:after="0"/>
              <w:rPr>
                <w:sz w:val="20"/>
                <w:szCs w:val="20"/>
                <w:color w:val="auto"/>
              </w:rPr>
            </w:pPr>
            <w:r>
              <w:rPr>
                <w:rFonts w:ascii="Arial" w:cs="Arial" w:eastAsia="Arial" w:hAnsi="Arial"/>
                <w:sz w:val="18"/>
                <w:szCs w:val="18"/>
                <w:color w:val="0000FF"/>
                <w:w w:val="84"/>
              </w:rPr>
              <w:t>1,857</w:t>
            </w:r>
          </w:p>
        </w:tc>
        <w:tc>
          <w:tcPr>
            <w:tcW w:w="640" w:type="dxa"/>
            <w:vAlign w:val="bottom"/>
          </w:tcPr>
          <w:p>
            <w:pPr>
              <w:ind w:left="420"/>
              <w:spacing w:after="0"/>
              <w:rPr>
                <w:sz w:val="20"/>
                <w:szCs w:val="20"/>
                <w:color w:val="auto"/>
              </w:rPr>
            </w:pPr>
            <w:r>
              <w:rPr>
                <w:rFonts w:ascii="Arial" w:cs="Arial" w:eastAsia="Arial" w:hAnsi="Arial"/>
                <w:sz w:val="18"/>
                <w:szCs w:val="18"/>
                <w:color w:val="0000FF"/>
              </w:rPr>
              <w:t>A</w:t>
            </w:r>
          </w:p>
        </w:tc>
        <w:tc>
          <w:tcPr>
            <w:tcW w:w="540" w:type="dxa"/>
            <w:vAlign w:val="bottom"/>
          </w:tcPr>
          <w:p>
            <w:pPr>
              <w:jc w:val="right"/>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360" w:type="dxa"/>
            <w:vAlign w:val="bottom"/>
            <w:gridSpan w:val="3"/>
          </w:tcPr>
          <w:p>
            <w:pPr>
              <w:ind w:left="520"/>
              <w:spacing w:after="0"/>
              <w:rPr>
                <w:sz w:val="20"/>
                <w:szCs w:val="20"/>
                <w:color w:val="auto"/>
              </w:rPr>
            </w:pPr>
            <w:r>
              <w:rPr>
                <w:rFonts w:ascii="Arial" w:cs="Arial" w:eastAsia="Arial" w:hAnsi="Arial"/>
                <w:sz w:val="18"/>
                <w:szCs w:val="18"/>
                <w:color w:val="0000FF"/>
              </w:rPr>
              <w:t>3,711</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6"/>
          </w:tcPr>
          <w:p>
            <w:pPr>
              <w:spacing w:after="0"/>
              <w:rPr>
                <w:sz w:val="8"/>
                <w:szCs w:val="8"/>
                <w:color w:val="auto"/>
              </w:rPr>
            </w:pPr>
          </w:p>
        </w:tc>
        <w:tc>
          <w:tcPr>
            <w:tcW w:w="260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80" w:type="dxa"/>
            <w:vAlign w:val="bottom"/>
            <w:gridSpan w:val="11"/>
          </w:tcPr>
          <w:p>
            <w:pPr>
              <w:jc w:val="right"/>
              <w:ind w:right="1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58"/>
              <w:spacing w:after="0"/>
              <w:rPr>
                <w:sz w:val="20"/>
                <w:szCs w:val="20"/>
                <w:color w:val="auto"/>
              </w:rPr>
            </w:pPr>
            <w:r>
              <w:rPr>
                <w:rFonts w:ascii="Arial" w:cs="Arial" w:eastAsia="Arial" w:hAnsi="Arial"/>
                <w:sz w:val="12"/>
                <w:szCs w:val="12"/>
                <w:b w:val="1"/>
                <w:bCs w:val="1"/>
                <w:color w:val="auto"/>
                <w:w w:val="99"/>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58"/>
              <w:spacing w:after="0" w:line="135" w:lineRule="exact"/>
              <w:rPr>
                <w:sz w:val="20"/>
                <w:szCs w:val="20"/>
                <w:color w:val="auto"/>
              </w:rPr>
            </w:pPr>
            <w:r>
              <w:rPr>
                <w:rFonts w:ascii="Arial" w:cs="Arial" w:eastAsia="Arial" w:hAnsi="Arial"/>
                <w:sz w:val="12"/>
                <w:szCs w:val="12"/>
                <w:b w:val="1"/>
                <w:bCs w:val="1"/>
                <w:color w:val="auto"/>
                <w:w w:val="93"/>
              </w:rPr>
              <w:t>8)</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340" w:type="dxa"/>
            <w:vAlign w:val="bottom"/>
          </w:tcPr>
          <w:p>
            <w:pPr>
              <w:spacing w:after="0"/>
              <w:rPr>
                <w:sz w:val="12"/>
                <w:szCs w:val="12"/>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(2)</w:t>
            </w:r>
          </w:p>
        </w:tc>
        <w:tc>
          <w:tcPr>
            <w:tcW w:w="40" w:type="dxa"/>
            <w:vAlign w:val="bottom"/>
          </w:tcPr>
          <w:p>
            <w:pPr>
              <w:spacing w:after="0"/>
              <w:rPr>
                <w:sz w:val="12"/>
                <w:szCs w:val="12"/>
                <w:color w:val="auto"/>
              </w:rPr>
            </w:pPr>
          </w:p>
        </w:tc>
        <w:tc>
          <w:tcPr>
            <w:tcW w:w="640" w:type="dxa"/>
            <w:vAlign w:val="bottom"/>
          </w:tcPr>
          <w:p>
            <w:pPr>
              <w:ind w:left="8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36"/>
              <w:spacing w:after="0"/>
              <w:rPr>
                <w:sz w:val="20"/>
                <w:szCs w:val="20"/>
                <w:color w:val="auto"/>
              </w:rPr>
            </w:pPr>
            <w:r>
              <w:rPr>
                <w:rFonts w:ascii="Arial" w:cs="Arial" w:eastAsia="Arial" w:hAnsi="Arial"/>
                <w:sz w:val="18"/>
                <w:szCs w:val="18"/>
                <w:color w:val="0000FF"/>
                <w:w w:val="93"/>
              </w:rPr>
              <w:t>1,857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ind w:left="260"/>
              <w:spacing w:after="0" w:line="149" w:lineRule="exact"/>
              <w:rPr>
                <w:sz w:val="20"/>
                <w:szCs w:val="20"/>
                <w:color w:val="auto"/>
              </w:rPr>
            </w:pPr>
            <w:r>
              <w:rPr>
                <w:rFonts w:ascii="Arial" w:cs="Arial" w:eastAsia="Arial" w:hAnsi="Arial"/>
                <w:sz w:val="14"/>
                <w:szCs w:val="14"/>
                <w:color w:val="0000FF"/>
              </w:rPr>
              <w:t>06/15/2019</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920" w:type="dxa"/>
            <w:vAlign w:val="bottom"/>
          </w:tcPr>
          <w:p>
            <w:pPr>
              <w:ind w:left="480"/>
              <w:spacing w:after="0" w:line="149" w:lineRule="exact"/>
              <w:rPr>
                <w:sz w:val="20"/>
                <w:szCs w:val="20"/>
                <w:color w:val="auto"/>
              </w:rPr>
            </w:pPr>
            <w:r>
              <w:rPr>
                <w:rFonts w:ascii="Arial" w:cs="Arial" w:eastAsia="Arial" w:hAnsi="Arial"/>
                <w:sz w:val="14"/>
                <w:szCs w:val="14"/>
                <w:color w:val="0000FF"/>
              </w:rPr>
              <w:t>1,857</w:t>
            </w:r>
          </w:p>
        </w:tc>
        <w:tc>
          <w:tcPr>
            <w:tcW w:w="6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20"/>
              <w:spacing w:after="0" w:line="149" w:lineRule="exact"/>
              <w:rPr>
                <w:sz w:val="20"/>
                <w:szCs w:val="20"/>
                <w:color w:val="auto"/>
              </w:rPr>
            </w:pPr>
            <w:r>
              <w:rPr>
                <w:rFonts w:ascii="Arial" w:cs="Arial" w:eastAsia="Arial" w:hAnsi="Arial"/>
                <w:sz w:val="14"/>
                <w:szCs w:val="14"/>
                <w:color w:val="0000FF"/>
                <w:w w:val="88"/>
              </w:rPr>
              <w:t>38,061</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ind w:left="6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ind w:left="40" w:right="16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15, 2018, the reporting person was granted 1,857 restricted stock units, that vest upon the earlier of (i) the first anniversary of the date of grant, (ii) the end of the reporting person's term on the Board if such person is not subsequently elected to a new term on the Board, and (iii) the occurrence of a "Change of Control", as defined in the ExlService Holdings, Inc. 2018 Omnibus Incentive Plan (the "Plan"), and such awards settle upon the earlier of (i) the reporting person's death, (ii) the occurrence of a "Change of Control", as defined in the Plan or (iii) the vesting date.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06/18/2019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780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2019-12-23T22:11:29Z</dcterms:created>
  <dcterms:modified xsi:type="dcterms:W3CDTF">2019-12-23T22:11:29Z</dcterms:modified>
</cp:coreProperties>
</file>