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WASHINGTON, D.C. 20549</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8-K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CURRENT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Pursuant to Sections 13 or 15(d) of the Securities Exchange Act of 1934</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Date of Report (Date of earliest event reported):  </w:t>
      </w:r>
      <w:r>
        <w:rPr>
          <w:rFonts w:ascii="Times New Roman;sans-serif" w:hAnsi="Times New Roman;sans-serif"/>
          <w:b w:val="false"/>
          <w:color w:val="000000"/>
          <w:sz w:val="20"/>
        </w:rPr>
        <w:t xml:space="preserve">October 29, 2024 </w:t>
      </w:r>
    </w:p>
    <w:p>
      <w:pPr>
        <w:pStyle w:val="TextBody"/>
        <w:bidi w:val="0"/>
        <w:spacing w:lineRule="auto" w:line="288" w:before="0" w:after="0"/>
        <w:jc w:val="center"/>
        <w:rPr/>
      </w:pPr>
      <w:r>
        <w:rPr>
          <w:color w:val="000000"/>
        </w:rPr>
        <w:t> </w:t>
      </w:r>
      <w:r>
        <w:rPr>
          <w:rFonts w:ascii="Times New Roman;sans-serif" w:hAnsi="Times New Roman;sans-serif"/>
          <w:b/>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EXLSERVICE HOLDINGS, INC.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_________________________________________________________</w:t>
      </w:r>
    </w:p>
    <w:tbl>
      <w:tblPr>
        <w:tblW w:w="5953" w:type="dxa"/>
        <w:jc w:val="left"/>
        <w:tblInd w:w="0" w:type="dxa"/>
        <w:tblLayout w:type="fixed"/>
        <w:tblCellMar>
          <w:top w:w="28" w:type="dxa"/>
          <w:left w:w="28" w:type="dxa"/>
          <w:bottom w:w="28" w:type="dxa"/>
          <w:right w:w="28" w:type="dxa"/>
        </w:tblCellMar>
      </w:tblPr>
      <w:tblGrid>
        <w:gridCol w:w="877"/>
        <w:gridCol w:w="773"/>
        <w:gridCol w:w="779"/>
        <w:gridCol w:w="687"/>
        <w:gridCol w:w="687"/>
        <w:gridCol w:w="695"/>
        <w:gridCol w:w="424"/>
        <w:gridCol w:w="424"/>
        <w:gridCol w:w="607"/>
      </w:tblGrid>
      <w:tr>
        <w:trPr/>
        <w:tc>
          <w:tcPr>
            <w:tcW w:w="87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001-33089</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82-0572194</w:t>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w:t>
              <w:br/>
              <w:t>of 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(Commission File Number)</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br/>
              <w:t>Identification No.)</w:t>
            </w:r>
          </w:p>
        </w:tc>
      </w:tr>
    </w:tbl>
    <w:p>
      <w:pPr>
        <w:pStyle w:val="TextBody"/>
        <w:bidi w:val="0"/>
        <w:spacing w:before="0" w:after="0"/>
        <w:jc w:val="left"/>
        <w:rPr/>
      </w:pPr>
      <w:r>
        <w:rPr/>
      </w:r>
    </w:p>
    <w:tbl>
      <w:tblPr>
        <w:tblW w:w="4134" w:type="dxa"/>
        <w:jc w:val="center"/>
        <w:tblInd w:w="0" w:type="dxa"/>
        <w:tblLayout w:type="fixed"/>
        <w:tblCellMar>
          <w:top w:w="28" w:type="dxa"/>
          <w:left w:w="28" w:type="dxa"/>
          <w:bottom w:w="28" w:type="dxa"/>
          <w:right w:w="28" w:type="dxa"/>
        </w:tblCellMar>
      </w:tblPr>
      <w:tblGrid>
        <w:gridCol w:w="124"/>
        <w:gridCol w:w="109"/>
        <w:gridCol w:w="109"/>
        <w:gridCol w:w="596"/>
        <w:gridCol w:w="596"/>
        <w:gridCol w:w="599"/>
        <w:gridCol w:w="371"/>
        <w:gridCol w:w="371"/>
        <w:gridCol w:w="374"/>
        <w:gridCol w:w="259"/>
        <w:gridCol w:w="259"/>
        <w:gridCol w:w="3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 xml:space="preserve">320 Park Avenue, </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29th Floor,</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10022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New York,</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New York</w:t>
            </w:r>
          </w:p>
        </w:tc>
        <w:tc>
          <w:tcPr>
            <w:tcW w:w="8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Registrant’s telephone number, including area code:</w:t>
      </w:r>
      <w:r>
        <w:rPr>
          <w:color w:val="000000"/>
        </w:rPr>
        <w:t>  </w:t>
      </w:r>
      <w:r>
        <w:rPr>
          <w:rFonts w:ascii="Times New Roman;sans-serif" w:hAnsi="Times New Roman;sans-serif"/>
          <w:b/>
          <w:color w:val="000000"/>
          <w:sz w:val="18"/>
        </w:rPr>
        <w:t xml:space="preserve">(212) 277-7100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or address, if changed since last report)</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Check the appropriate box below if the Form 8-K filing is intended to simultaneously satisfy the filing obligation of the registrant under any of the following provisions:</w:t>
      </w:r>
    </w:p>
    <w:tbl>
      <w:tblPr>
        <w:tblW w:w="6777" w:type="dxa"/>
        <w:jc w:val="left"/>
        <w:tblInd w:w="0" w:type="dxa"/>
        <w:tblLayout w:type="fixed"/>
        <w:tblCellMar>
          <w:top w:w="28" w:type="dxa"/>
          <w:left w:w="28" w:type="dxa"/>
          <w:bottom w:w="28" w:type="dxa"/>
          <w:right w:w="28" w:type="dxa"/>
        </w:tblCellMar>
      </w:tblPr>
      <w:tblGrid>
        <w:gridCol w:w="124"/>
        <w:gridCol w:w="109"/>
        <w:gridCol w:w="109"/>
        <w:gridCol w:w="1882"/>
        <w:gridCol w:w="1882"/>
        <w:gridCol w:w="267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 pursuant to Rule 425 under the Securities Act (17 CFR 230.425)</w:t>
            </w:r>
          </w:p>
        </w:tc>
      </w:tr>
    </w:tbl>
    <w:tbl>
      <w:tblPr>
        <w:tblW w:w="6851" w:type="dxa"/>
        <w:jc w:val="left"/>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left"/>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left"/>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10"/>
        <w:gridCol w:w="2875"/>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c>
          <w:tcPr>
            <w:tcW w:w="2875"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8234" w:type="dxa"/>
        <w:jc w:val="center"/>
        <w:tblInd w:w="0" w:type="dxa"/>
        <w:tblLayout w:type="fixed"/>
        <w:tblCellMar>
          <w:top w:w="28" w:type="dxa"/>
          <w:left w:w="28" w:type="dxa"/>
          <w:bottom w:w="28" w:type="dxa"/>
          <w:right w:w="28" w:type="dxa"/>
        </w:tblCellMar>
      </w:tblPr>
      <w:tblGrid>
        <w:gridCol w:w="1159"/>
        <w:gridCol w:w="1018"/>
        <w:gridCol w:w="1018"/>
        <w:gridCol w:w="520"/>
        <w:gridCol w:w="520"/>
        <w:gridCol w:w="520"/>
        <w:gridCol w:w="1019"/>
        <w:gridCol w:w="1019"/>
        <w:gridCol w:w="1441"/>
      </w:tblGrid>
      <w:tr>
        <w:trPr/>
        <w:tc>
          <w:tcPr>
            <w:tcW w:w="115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8234" w:type="dxa"/>
            <w:gridSpan w:val="9"/>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Securities registered pursuant to Section 12(b) of the Act:</w:t>
            </w:r>
          </w:p>
        </w:tc>
      </w:tr>
      <w:tr>
        <w:trPr/>
        <w:tc>
          <w:tcPr>
            <w:tcW w:w="319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6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319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per share</w:t>
            </w:r>
          </w:p>
        </w:tc>
        <w:tc>
          <w:tcPr>
            <w:tcW w:w="156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EXLS</w:t>
            </w:r>
          </w:p>
        </w:tc>
        <w:tc>
          <w:tcPr>
            <w:tcW w:w="3479"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w:t>
            </w:r>
          </w:p>
        </w:tc>
      </w:tr>
    </w:tbl>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left"/>
        <w:rPr/>
      </w:pPr>
      <w:r>
        <w:rPr/>
      </w:r>
    </w:p>
    <w:p>
      <w:pPr>
        <w:pStyle w:val="TextBody"/>
        <w:bidi w:val="0"/>
        <w:spacing w:lineRule="auto" w:line="328" w:before="0" w:after="0"/>
        <w:jc w:val="left"/>
        <w:rPr/>
      </w:pPr>
      <w:r>
        <w:rPr>
          <w:rFonts w:ascii="Times New Roman;sans-serif" w:hAnsi="Times New Roman;sans-serif"/>
          <w:b/>
          <w:color w:val="000000"/>
          <w:sz w:val="20"/>
        </w:rPr>
        <w:t xml:space="preserve">Item 2.02. </w:t>
      </w:r>
      <w:r>
        <w:rPr>
          <w:rFonts w:ascii="Times New Roman;sans-serif" w:hAnsi="Times New Roman;sans-serif"/>
          <w:b/>
          <w:color w:val="000000"/>
          <w:sz w:val="20"/>
          <w:shd w:fill="FFFFFF" w:val="clear"/>
        </w:rPr>
        <w:t>Results of Operations and Financial Condition.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On </w:t>
      </w:r>
      <w:r>
        <w:rPr>
          <w:rFonts w:ascii="Times New Roman;sans-serif" w:hAnsi="Times New Roman;sans-serif"/>
          <w:b w:val="false"/>
          <w:color w:val="000000"/>
          <w:sz w:val="20"/>
        </w:rPr>
        <w:t>October 30, 2024</w:t>
      </w:r>
      <w:r>
        <w:rPr>
          <w:rFonts w:ascii="Times New Roman;sans-serif" w:hAnsi="Times New Roman;sans-serif"/>
          <w:b w:val="false"/>
          <w:color w:val="000000"/>
          <w:sz w:val="20"/>
          <w:shd w:fill="FFFFFF" w:val="clear"/>
        </w:rPr>
        <w:t xml:space="preserve">, ExlService Holdings, Inc. (the “Company”) reported its results of operations for the three months ended </w:t>
      </w:r>
      <w:r>
        <w:rPr>
          <w:rFonts w:ascii="Times New Roman;sans-serif" w:hAnsi="Times New Roman;sans-serif"/>
          <w:b w:val="false"/>
          <w:color w:val="000000"/>
          <w:sz w:val="20"/>
        </w:rPr>
        <w:t>September 30, 2024</w:t>
      </w:r>
      <w:r>
        <w:rPr>
          <w:rFonts w:ascii="Times New Roman;sans-serif" w:hAnsi="Times New Roman;sans-serif"/>
          <w:b w:val="false"/>
          <w:color w:val="000000"/>
          <w:sz w:val="20"/>
          <w:shd w:fill="FFFFFF" w:val="clear"/>
        </w:rPr>
        <w:t>.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pStyle w:val="TextBody"/>
        <w:bidi w:val="0"/>
        <w:spacing w:before="0" w:after="0"/>
        <w:ind w:left="0" w:right="0" w:firstLine="720"/>
        <w:jc w:val="both"/>
        <w:rPr/>
      </w:pPr>
      <w:r>
        <w:rPr/>
      </w:r>
    </w:p>
    <w:p>
      <w:pPr>
        <w:pStyle w:val="TextBody"/>
        <w:bidi w:val="0"/>
        <w:spacing w:lineRule="auto" w:line="328" w:before="0" w:after="0"/>
        <w:ind w:left="0" w:right="0" w:hanging="990"/>
        <w:jc w:val="left"/>
        <w:rPr>
          <w:color w:val="000000"/>
        </w:rPr>
      </w:pPr>
      <w:r>
        <w:rPr>
          <w:color w:val="000000"/>
        </w:rPr>
        <w:t> </w:t>
      </w:r>
      <w:r>
        <w:rPr>
          <w:rFonts w:ascii="Times New Roman;sans-serif" w:hAnsi="Times New Roman;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1782"/>
        <w:gridCol w:w="1782"/>
        <w:gridCol w:w="1787"/>
        <w:gridCol w:w="538"/>
        <w:gridCol w:w="538"/>
        <w:gridCol w:w="538"/>
        <w:gridCol w:w="538"/>
        <w:gridCol w:w="538"/>
        <w:gridCol w:w="770"/>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Description</w:t>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exlsq324pressrelease.htm">
              <w:r>
                <w:rPr>
                  <w:rStyle w:val="InternetLink"/>
                  <w:rFonts w:ascii="Times New Roman;sans-serif" w:hAnsi="Times New Roman;sans-serif"/>
                  <w:b w:val="false"/>
                  <w:color w:val="0000FF"/>
                  <w:sz w:val="20"/>
                  <w:u w:val="single"/>
                </w:rPr>
                <w:t>Press Release, dated October 29, 2024 (furnished pursuant to Item 2.02).</w:t>
              </w:r>
            </w:hyperlink>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XBRL tags are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0520"/>
                <wp:effectExtent l="0" t="0" r="0" b="0"/>
                <wp:wrapNone/>
                <wp:docPr id="2" name="Frame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6412" w:type="dxa"/>
        <w:jc w:val="left"/>
        <w:tblInd w:w="0" w:type="dxa"/>
        <w:tblLayout w:type="fixed"/>
        <w:tblCellMar>
          <w:top w:w="28" w:type="dxa"/>
          <w:left w:w="28" w:type="dxa"/>
          <w:bottom w:w="28" w:type="dxa"/>
          <w:right w:w="28" w:type="dxa"/>
        </w:tblCellMar>
      </w:tblPr>
      <w:tblGrid>
        <w:gridCol w:w="553"/>
        <w:gridCol w:w="487"/>
        <w:gridCol w:w="489"/>
        <w:gridCol w:w="463"/>
        <w:gridCol w:w="463"/>
        <w:gridCol w:w="463"/>
        <w:gridCol w:w="1024"/>
        <w:gridCol w:w="1024"/>
        <w:gridCol w:w="1446"/>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446"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29, 2024</w:t>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Ajay Ayyappan</w:t>
            </w:r>
          </w:p>
        </w:tc>
      </w:tr>
      <w:tr>
        <w:trPr/>
        <w:tc>
          <w:tcPr>
            <w:tcW w:w="1529" w:type="dxa"/>
            <w:gridSpan w:val="3"/>
            <w:tcBorders>
              <w:top w:val="single" w:sz="2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24" w:space="0" w:color="FFFFFF"/>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Ajay Ayyappan</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Counsel and Corporate Secretary</w:t>
            </w:r>
          </w:p>
        </w:tc>
      </w:tr>
    </w:tbl>
    <w:p>
      <w:pPr>
        <w:pStyle w:val="TextBody"/>
        <w:bidi w:val="0"/>
        <w:ind w:left="0" w:right="0" w:hanging="28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50520"/>
                <wp:effectExtent l="0" t="0" r="0" b="0"/>
                <wp:wrapNone/>
                <wp:docPr id="3" name="Frame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140" w:after="283"/>
        <w:jc w:val="left"/>
        <w:rPr/>
      </w:pPr>
      <w:r>
        <w:rPr/>
      </w:r>
    </w:p>
    <w:p>
      <w:pPr>
        <w:pStyle w:val="TextBody"/>
        <w:bidi w:val="0"/>
        <w:spacing w:before="140" w:after="283"/>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EXL REPORTS 2024 THIRD QUARTER RESULTS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4"/>
        </w:rPr>
      </w:pPr>
      <w:r>
        <w:rPr>
          <w:rFonts w:ascii="Times New Roman;sans-serif" w:hAnsi="Times New Roman;sans-serif"/>
          <w:b/>
          <w:i/>
          <w:color w:val="000000"/>
          <w:sz w:val="24"/>
        </w:rPr>
        <w:t>2024 Third Quarter Revenue of $472.1 Million, up 14.9% year-over-year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i/>
          <w:color w:val="000000"/>
          <w:sz w:val="24"/>
        </w:rPr>
      </w:pPr>
      <w:r>
        <w:rPr>
          <w:rFonts w:ascii="Times New Roman;sans-serif" w:hAnsi="Times New Roman;sans-serif"/>
          <w:b/>
          <w:i/>
          <w:color w:val="000000"/>
          <w:sz w:val="24"/>
        </w:rPr>
        <w:t>Q3 Diluted EPS (GAAP) of $0.33, up 24.2% from $0.26 in Q3 of 2023</w:t>
      </w:r>
    </w:p>
    <w:p>
      <w:pPr>
        <w:pStyle w:val="TextBody"/>
        <w:bidi w:val="0"/>
        <w:spacing w:before="0" w:after="0"/>
        <w:jc w:val="center"/>
        <w:rPr/>
      </w:pPr>
      <w:r>
        <w:rPr/>
      </w:r>
    </w:p>
    <w:p>
      <w:pPr>
        <w:pStyle w:val="TextBody"/>
        <w:bidi w:val="0"/>
        <w:spacing w:lineRule="auto" w:line="288" w:before="0" w:after="0"/>
        <w:jc w:val="center"/>
        <w:rPr/>
      </w:pPr>
      <w:r>
        <w:rPr>
          <w:rFonts w:ascii="Times New Roman;sans-serif" w:hAnsi="Times New Roman;sans-serif"/>
          <w:b/>
          <w:i/>
          <w:color w:val="000000"/>
          <w:sz w:val="24"/>
        </w:rPr>
        <w:t xml:space="preserve">Q3 Adjusted Diluted EPS (Non-GAAP) </w:t>
      </w:r>
      <w:r>
        <w:rPr>
          <w:rFonts w:ascii="Times New Roman;sans-serif" w:hAnsi="Times New Roman;sans-serif"/>
          <w:b/>
          <w:i/>
          <w:color w:val="000000"/>
          <w:sz w:val="16"/>
        </w:rPr>
        <w:t>(1)</w:t>
      </w:r>
      <w:r>
        <w:rPr>
          <w:color w:val="000000"/>
        </w:rPr>
        <w:t xml:space="preserve"> </w:t>
      </w:r>
      <w:r>
        <w:rPr>
          <w:rFonts w:ascii="Times New Roman;sans-serif" w:hAnsi="Times New Roman;sans-serif"/>
          <w:b/>
          <w:i/>
          <w:color w:val="000000"/>
          <w:sz w:val="24"/>
        </w:rPr>
        <w:t>of $0.44, up 16.3% from $0.37 in Q3 of 2023</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NEW YORK – Oct. 29, 2024 (GLOBE NEWSWIRE) - ExlService Holdings, Inc. (Nasdaq: EXLS), a leading data analytics and digital operations and solutions company, today announced its financial results for the quarter ended September 30, 2024.</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Rohit Kapoor, chairman and chief executive officer, said, “We are pleased with our third quarter results. We delivered revenue and adjusted diluted EPS growth of 15% and 16% respectively. The ongoing execution of our data and AI-led strategy enabled us to accelerate our growth, achieving double-digit growth across both our data analytics and digital operations and solutions businesses during the quarter. As we continue to expand our data modernization and AI solution set with innovations such as industry-specific large language models (LLMs), we are well positioned to continue our momentum into the fourth quarter and beyond.”</w:t>
      </w:r>
    </w:p>
    <w:p>
      <w:pPr>
        <w:pStyle w:val="TextBody"/>
        <w:bidi w:val="0"/>
        <w:spacing w:before="0" w:after="0"/>
        <w:jc w:val="left"/>
        <w:rPr/>
      </w:pPr>
      <w:r>
        <w:rPr/>
      </w:r>
    </w:p>
    <w:p>
      <w:pPr>
        <w:pStyle w:val="TextBody"/>
        <w:bidi w:val="0"/>
        <w:spacing w:lineRule="auto" w:line="36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Maurizio Nicolelli, chief financial officer, said, “Based on our strong year-to-date performance and current visibility for the remainder of the year, we are raising the full-year guidance range for revenue and EPS. We now expect revenue to be in the range of $1.825 billion to $1.835 billion, up from our prior guidance of $1.805 billion to $1.830 billion. This represents 12% to 13% year-over-year growth on a reported currency basis and approximately 12% on a constant currency basis. We now expect our adjusted diluted earnings per share for 2024 to be in the range of $1.61 to $1.63, up from our prior guidance of $1.59 to $1.62, representing growth of 13% to 14% over the prior year.”</w:t>
      </w:r>
    </w:p>
    <w:p>
      <w:pPr>
        <w:pStyle w:val="TextBody"/>
        <w:bidi w:val="0"/>
        <w:spacing w:before="0" w:after="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before="100" w:after="100"/>
        <w:jc w:val="both"/>
        <w:rPr/>
      </w:pPr>
      <w:r>
        <w:rPr/>
      </w:r>
    </w:p>
    <w:p>
      <w:pPr>
        <w:pStyle w:val="TextBody"/>
        <w:bidi w:val="0"/>
        <w:spacing w:lineRule="auto" w:line="336" w:before="100" w:after="100"/>
        <w:jc w:val="both"/>
        <w:rPr>
          <w:rFonts w:ascii="Times New Roman;sans-serif" w:hAnsi="Times New Roman;sans-serif"/>
          <w:b/>
          <w:i/>
          <w:color w:val="000000"/>
          <w:sz w:val="20"/>
        </w:rPr>
      </w:pPr>
      <w:r>
        <w:rPr>
          <w:rFonts w:ascii="Times New Roman;sans-serif" w:hAnsi="Times New Roman;sans-serif"/>
          <w:b/>
          <w:i/>
          <w:color w:val="000000"/>
          <w:sz w:val="20"/>
        </w:rPr>
        <w:t>__________________________________________________________</w:t>
      </w:r>
    </w:p>
    <w:p>
      <w:pPr>
        <w:pStyle w:val="TextBody"/>
        <w:bidi w:val="0"/>
        <w:spacing w:before="0" w:after="0"/>
        <w:jc w:val="left"/>
        <w:rPr/>
      </w:pPr>
      <w:r>
        <w:rPr/>
      </w:r>
    </w:p>
    <w:p>
      <w:pPr>
        <w:pStyle w:val="TextBody"/>
        <w:bidi w:val="0"/>
        <w:spacing w:lineRule="auto" w:line="288"/>
        <w:ind w:left="0" w:right="0" w:hanging="360"/>
        <w:jc w:val="both"/>
        <w:rPr>
          <w:rFonts w:ascii="Calibri;sans-serif" w:hAnsi="Calibri;sans-serif"/>
          <w:b w:val="false"/>
          <w:color w:val="000000"/>
          <w:sz w:val="16"/>
        </w:rPr>
      </w:pPr>
      <w:r>
        <w:rPr>
          <w:rFonts w:ascii="Calibri;sans-serif" w:hAnsi="Calibri;sans-serif"/>
          <w:b w:val="false"/>
          <w:color w:val="000000"/>
          <w:sz w:val="16"/>
        </w:rPr>
        <w:t>(1)Reconciliations of adjusted (non-GAAP) financial measures to the most directly comparable GAAP measures, where applicable, are included at the end of this release under “Reconciliation of Adjusted Financial Measures to GAAP Measures.” These non-GAAP measures, including adjusted diluted EPS and constant currency measures, are not measures of financial performance prepared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100" w:after="283"/>
        <w:jc w:val="both"/>
        <w:rPr>
          <w:rFonts w:ascii="Times New Roman;sans-serif" w:hAnsi="Times New Roman;sans-serif"/>
          <w:b/>
          <w:color w:val="000000"/>
          <w:sz w:val="20"/>
        </w:rPr>
      </w:pPr>
      <w:r>
        <w:rPr>
          <w:rFonts w:ascii="Times New Roman;sans-serif" w:hAnsi="Times New Roman;sans-serif"/>
          <w:b/>
          <w:color w:val="000000"/>
          <w:sz w:val="20"/>
        </w:rPr>
        <w:t>Financial Highlights: Third Quarter 2024</w:t>
      </w:r>
    </w:p>
    <w:p>
      <w:pPr>
        <w:pStyle w:val="TextBody"/>
        <w:bidi w:val="0"/>
        <w:spacing w:before="100" w:after="283"/>
        <w:jc w:val="both"/>
        <w:rPr/>
      </w:pPr>
      <w:r>
        <w:rPr/>
      </w:r>
    </w:p>
    <w:p>
      <w:pPr>
        <w:pStyle w:val="TextBody"/>
        <w:bidi w:val="0"/>
        <w:spacing w:lineRule="auto" w:line="345" w:before="0" w:after="0"/>
        <w:ind w:left="0" w:right="0" w:hanging="360"/>
        <w:jc w:val="both"/>
        <w:rPr/>
      </w:pPr>
      <w:r>
        <w:rPr>
          <w:color w:val="000000"/>
        </w:rPr>
        <w:t>•</w:t>
      </w:r>
      <w:r>
        <w:rPr>
          <w:rFonts w:ascii="Times New Roman;sans-serif" w:hAnsi="Times New Roman;sans-serif"/>
          <w:b w:val="false"/>
          <w:color w:val="000000"/>
          <w:sz w:val="20"/>
        </w:rPr>
        <w:t>Revenue for the quarter ended September 30, 2024 increased to $472.1 million compared to $411.0 million for the third quarter of 2023, an increase of 14.9% on a reported basis and 14.5% on a constant currency basis. Revenue increased by 5.3% sequentially on a reported basis and 4.9% on a constant currency basis, from the second quarter of 2024.</w:t>
      </w:r>
    </w:p>
    <w:tbl>
      <w:tblPr>
        <w:tblW w:w="10205" w:type="dxa"/>
        <w:jc w:val="left"/>
        <w:tblInd w:w="0" w:type="dxa"/>
        <w:tblLayout w:type="fixed"/>
        <w:tblCellMar>
          <w:top w:w="28" w:type="dxa"/>
          <w:left w:w="28" w:type="dxa"/>
          <w:bottom w:w="28" w:type="dxa"/>
          <w:right w:w="28" w:type="dxa"/>
        </w:tblCellMar>
      </w:tblPr>
      <w:tblGrid>
        <w:gridCol w:w="458"/>
        <w:gridCol w:w="403"/>
        <w:gridCol w:w="405"/>
        <w:gridCol w:w="109"/>
        <w:gridCol w:w="109"/>
        <w:gridCol w:w="109"/>
        <w:gridCol w:w="265"/>
        <w:gridCol w:w="793"/>
        <w:gridCol w:w="137"/>
        <w:gridCol w:w="109"/>
        <w:gridCol w:w="109"/>
        <w:gridCol w:w="109"/>
        <w:gridCol w:w="265"/>
        <w:gridCol w:w="793"/>
        <w:gridCol w:w="137"/>
        <w:gridCol w:w="109"/>
        <w:gridCol w:w="109"/>
        <w:gridCol w:w="109"/>
        <w:gridCol w:w="227"/>
        <w:gridCol w:w="681"/>
        <w:gridCol w:w="117"/>
        <w:gridCol w:w="109"/>
        <w:gridCol w:w="109"/>
        <w:gridCol w:w="109"/>
        <w:gridCol w:w="332"/>
        <w:gridCol w:w="247"/>
        <w:gridCol w:w="687"/>
        <w:gridCol w:w="109"/>
        <w:gridCol w:w="109"/>
        <w:gridCol w:w="109"/>
        <w:gridCol w:w="332"/>
        <w:gridCol w:w="247"/>
        <w:gridCol w:w="687"/>
        <w:gridCol w:w="109"/>
        <w:gridCol w:w="109"/>
        <w:gridCol w:w="109"/>
        <w:gridCol w:w="262"/>
        <w:gridCol w:w="264"/>
        <w:gridCol w:w="504"/>
      </w:tblGrid>
      <w:tr>
        <w:trPr/>
        <w:tc>
          <w:tcPr>
            <w:tcW w:w="45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Margin</w:t>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vMerge w:val="restart"/>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95"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25"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6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66" w:type="dxa"/>
            <w:gridSpan w:val="3"/>
            <w:vMerge w:val="continue"/>
            <w:tcBorders>
              <w:top w:val="single" w:sz="8" w:space="0" w:color="000000"/>
              <w:bottom w:val="single" w:sz="8" w:space="0" w:color="000000"/>
            </w:tcBorders>
            <w:tcMar>
              <w:top w:w="30" w:type="dxa"/>
              <w:left w:w="0" w:type="dxa"/>
              <w:bottom w:w="3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3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9" w:type="dxa"/>
            <w:gridSpan w:val="1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(dollars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5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Analytics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37.0 </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36.7 </w:t>
            </w:r>
          </w:p>
        </w:tc>
        <w:tc>
          <w:tcPr>
            <w:tcW w:w="5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472.1</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411.0</w:t>
            </w: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448.4</w:t>
            </w:r>
            <w:r>
              <w:rPr>
                <w:color w:val="000000"/>
              </w:rPr>
              <w:t>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37.8</w:t>
            </w:r>
            <w:r>
              <w:rPr>
                <w:color w:val="000000"/>
              </w:rPr>
              <w:t> </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37.7</w:t>
            </w:r>
            <w:r>
              <w:rPr>
                <w:color w:val="000000"/>
              </w:rPr>
              <w:t> </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37.1</w:t>
            </w:r>
            <w:r>
              <w:rPr>
                <w:color w:val="000000"/>
              </w:rPr>
              <w:t> </w:t>
            </w:r>
          </w:p>
        </w:tc>
        <w:tc>
          <w:tcPr>
            <w:tcW w:w="5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w:t>
            </w:r>
          </w:p>
        </w:tc>
      </w:tr>
    </w:tbl>
    <w:p>
      <w:pPr>
        <w:pStyle w:val="TextBody"/>
        <w:bidi w:val="0"/>
        <w:spacing w:before="140" w:after="283"/>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Operating income margin for each of the quarter ended September 30, 2024 and the third quarter of 2023, was 14.7%, and 13.7% for the second quarter of 2024. Adjusted operating income margin for the quarter ended September 30, 2024, was 19.9%, compared to 20.0% for the third quarter of 2023 and 19.8% for the second quarter of 2024.</w:t>
      </w:r>
    </w:p>
    <w:p>
      <w:pPr>
        <w:pStyle w:val="TextBody"/>
        <w:bidi w:val="0"/>
        <w:spacing w:before="0" w:after="0"/>
        <w:jc w:val="both"/>
        <w:rPr/>
      </w:pPr>
      <w:r>
        <w:rPr/>
      </w:r>
    </w:p>
    <w:p>
      <w:pPr>
        <w:pStyle w:val="TextBody"/>
        <w:bidi w:val="0"/>
        <w:spacing w:lineRule="auto" w:line="360" w:before="0" w:after="0"/>
        <w:ind w:left="0" w:right="0" w:hanging="360"/>
        <w:jc w:val="both"/>
        <w:rPr/>
      </w:pPr>
      <w:r>
        <w:rPr>
          <w:color w:val="000000"/>
        </w:rPr>
        <w:t>•</w:t>
      </w:r>
      <w:r>
        <w:rPr>
          <w:rFonts w:ascii="Times New Roman;sans-serif" w:hAnsi="Times New Roman;sans-serif"/>
          <w:b w:val="false"/>
          <w:color w:val="000000"/>
          <w:sz w:val="20"/>
        </w:rPr>
        <w:t>Diluted earnings per share for the quarter ended September 30, 2024, was $0.33, compared to $0.26 for the third quarter of 2023 and $0.28 for the second quarter of 2024. Adjusted diluted earnings per share for the quarter ended September 30, 2024, was $0.44, compared to $0.37 for the third quarter of 2023 and $0.40 for the second quarter of 2024.</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240" w:after="283"/>
        <w:jc w:val="both"/>
        <w:rPr>
          <w:rFonts w:ascii="Times New Roman;sans-serif" w:hAnsi="Times New Roman;sans-serif"/>
          <w:b/>
          <w:color w:val="000000"/>
          <w:sz w:val="20"/>
        </w:rPr>
      </w:pPr>
      <w:r>
        <w:rPr>
          <w:rFonts w:ascii="Times New Roman;sans-serif" w:hAnsi="Times New Roman;sans-serif"/>
          <w:b/>
          <w:color w:val="000000"/>
          <w:sz w:val="20"/>
        </w:rPr>
        <w:t>Business Highlights: Third Quarter 2024</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Won 13 new clients in the third quarter of 2024, with 8 clients in digital operations and solutions business and 5 clients in analytics.</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Launched EXL Insurance LLM, developed using NVIDIA AI software. This LLM addresses the highly specialized needs of the insurance industry, leveraging EXL’s 25 years of experience in the industry and a proprietary data set with more than a decade of claims-related data.</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Expanded partnership with Databricks to deploy new data management and generative AI solutions into the Databricks ecosystem, speeding the development of cutting-edge data management solutions for EXL clients.</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Recognized as a Major Player in the IDC MarketScape: Worldwide Data Modernization Services 2024 Vendor Assessment based on our core value propositions, execution and innovation capabilities, go-to-market strategy, and market impact.</w:t>
      </w:r>
    </w:p>
    <w:p>
      <w:pPr>
        <w:pStyle w:val="TextBody"/>
        <w:bidi w:val="0"/>
        <w:spacing w:lineRule="auto" w:line="360" w:before="120" w:after="283"/>
        <w:ind w:left="0" w:right="0" w:hanging="270"/>
        <w:jc w:val="both"/>
        <w:rPr/>
      </w:pPr>
      <w:r>
        <w:rPr>
          <w:color w:val="000000"/>
        </w:rPr>
        <w:t>•</w:t>
      </w:r>
      <w:r>
        <w:rPr>
          <w:rFonts w:ascii="Times New Roman;sans-serif" w:hAnsi="Times New Roman;sans-serif"/>
          <w:b w:val="false"/>
          <w:color w:val="000000"/>
          <w:sz w:val="20"/>
        </w:rPr>
        <w:t>Named by Newsweek as one of America’s Most Reliable Companies 2025 based on parameters including: Likelihood of Recommendation, Ease of Doing Business, Value for Money, Consistency of Deliverables, and Reputation for Dependability.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504" w:before="0" w:after="0"/>
        <w:jc w:val="both"/>
        <w:rPr>
          <w:rFonts w:ascii="Times New Roman;sans-serif" w:hAnsi="Times New Roman;sans-serif"/>
          <w:b/>
          <w:color w:val="000000"/>
          <w:sz w:val="20"/>
        </w:rPr>
      </w:pPr>
      <w:r>
        <w:rPr>
          <w:rFonts w:ascii="Times New Roman;sans-serif" w:hAnsi="Times New Roman;sans-serif"/>
          <w:b/>
          <w:color w:val="000000"/>
          <w:sz w:val="20"/>
        </w:rPr>
        <w:t>2024 Guidance</w:t>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Based on current visibility, and a U.S. dollar to Indian rupee exchange rate of 84.0, U.K. pound sterling to U.S. dollar exchange rate of 1.30, U.S. dollar to the Philippine peso exchange rate of 58.0 and all other currencies at current exchange rates, we are providing the following guidance for the full year 2024:</w:t>
      </w:r>
    </w:p>
    <w:p>
      <w:pPr>
        <w:pStyle w:val="TextBody"/>
        <w:bidi w:val="0"/>
        <w:spacing w:before="0" w:after="0"/>
        <w:jc w:val="both"/>
        <w:rPr/>
      </w:pPr>
      <w:r>
        <w:rPr/>
      </w:r>
    </w:p>
    <w:p>
      <w:pPr>
        <w:pStyle w:val="TextBody"/>
        <w:bidi w:val="0"/>
        <w:spacing w:lineRule="auto" w:line="345" w:before="0" w:after="0"/>
        <w:ind w:left="0" w:right="0" w:hanging="360"/>
        <w:jc w:val="both"/>
        <w:rPr/>
      </w:pPr>
      <w:r>
        <w:rPr>
          <w:color w:val="000000"/>
        </w:rPr>
        <w:t>•</w:t>
      </w:r>
      <w:r>
        <w:rPr>
          <w:rFonts w:ascii="Times New Roman;sans-serif" w:hAnsi="Times New Roman;sans-serif"/>
          <w:b w:val="false"/>
          <w:color w:val="000000"/>
          <w:sz w:val="20"/>
        </w:rPr>
        <w:t>Revenue of $1.825 billion to $1.835 billion, representing an increase of 12% to 13% on a reported currency basis and approximately 12% on a constant currency basis from 2023.</w:t>
      </w:r>
    </w:p>
    <w:p>
      <w:pPr>
        <w:pStyle w:val="TextBody"/>
        <w:bidi w:val="0"/>
        <w:spacing w:before="0" w:after="0"/>
        <w:jc w:val="left"/>
        <w:rPr/>
      </w:pPr>
      <w:r>
        <w:rPr/>
      </w:r>
    </w:p>
    <w:p>
      <w:pPr>
        <w:pStyle w:val="TextBody"/>
        <w:bidi w:val="0"/>
        <w:spacing w:lineRule="auto" w:line="345" w:before="0" w:after="0"/>
        <w:ind w:left="0" w:right="0" w:hanging="360"/>
        <w:jc w:val="both"/>
        <w:rPr>
          <w:color w:val="000000"/>
        </w:rPr>
      </w:pPr>
      <w:r>
        <w:rPr>
          <w:color w:val="000000"/>
        </w:rPr>
        <w:t>•    </w:t>
      </w:r>
      <w:r>
        <w:rPr>
          <w:rFonts w:ascii="Times New Roman;sans-serif" w:hAnsi="Times New Roman;sans-serif"/>
          <w:b w:val="false"/>
          <w:color w:val="000000"/>
          <w:sz w:val="20"/>
        </w:rPr>
        <w:t>Adjusted diluted earnings per share of $1.61 to $1.63, representing an increase of 13% to 14% from 2023.</w:t>
      </w:r>
    </w:p>
    <w:p>
      <w:pPr>
        <w:pStyle w:val="TextBody"/>
        <w:bidi w:val="0"/>
        <w:spacing w:before="0" w:after="0"/>
        <w:ind w:left="0" w:right="0" w:firstLine="135"/>
        <w:jc w:val="left"/>
        <w:rPr/>
      </w:pPr>
      <w:r>
        <w:rPr/>
      </w:r>
    </w:p>
    <w:p>
      <w:pPr>
        <w:pStyle w:val="TextBody"/>
        <w:bidi w:val="0"/>
        <w:spacing w:lineRule="auto" w:line="345"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Conference Call</w:t>
      </w:r>
    </w:p>
    <w:p>
      <w:pPr>
        <w:pStyle w:val="TextBody"/>
        <w:bidi w:val="0"/>
        <w:spacing w:before="0" w:after="0"/>
        <w:jc w:val="both"/>
        <w:rPr/>
      </w:pPr>
      <w:r>
        <w:rPr/>
      </w:r>
    </w:p>
    <w:p>
      <w:pPr>
        <w:pStyle w:val="TextBody"/>
        <w:bidi w:val="0"/>
        <w:spacing w:lineRule="auto" w:line="345" w:before="0" w:after="0"/>
        <w:jc w:val="both"/>
        <w:rPr/>
      </w:pPr>
      <w:r>
        <w:rPr>
          <w:rFonts w:ascii="Times New Roman;sans-serif" w:hAnsi="Times New Roman;sans-serif"/>
          <w:b w:val="false"/>
          <w:color w:val="000000"/>
          <w:sz w:val="20"/>
        </w:rPr>
        <w:t xml:space="preserve">ExlService Holdings, Inc. will host a conference call on Wednesday, Oct. 30, 2024, at 10:00 A.M. ET to discuss the company’s quarterly operating and financial results. The conference call will be available live via the internet by accessing the investor relations section of EXL’s website at </w:t>
      </w:r>
      <w:r>
        <w:rPr>
          <w:rFonts w:ascii="Times New Roman;sans-serif" w:hAnsi="Times New Roman;sans-serif"/>
          <w:b w:val="false"/>
          <w:color w:val="0000FF"/>
          <w:sz w:val="20"/>
          <w:u w:val="single"/>
        </w:rPr>
        <w:t>ir.exlservice.com</w:t>
      </w:r>
      <w:r>
        <w:rPr>
          <w:rFonts w:ascii="Times New Roman;sans-serif" w:hAnsi="Times New Roman;sans-serif"/>
          <w:b w:val="false"/>
          <w:color w:val="000000"/>
          <w:sz w:val="20"/>
        </w:rPr>
        <w:t>, where an accompanying investor-friendly spreadsheet of historical operating and financial data can also be accessed. Please access the website at least fifteen minutes prior to the call to register, download and install any necessary audio software.</w:t>
      </w:r>
    </w:p>
    <w:p>
      <w:pPr>
        <w:pStyle w:val="TextBody"/>
        <w:bidi w:val="0"/>
        <w:spacing w:before="0" w:after="0"/>
        <w:jc w:val="both"/>
        <w:rPr/>
      </w:pPr>
      <w:r>
        <w:rPr/>
      </w:r>
    </w:p>
    <w:p>
      <w:pPr>
        <w:pStyle w:val="TextBody"/>
        <w:bidi w:val="0"/>
        <w:spacing w:lineRule="auto" w:line="345"/>
        <w:jc w:val="both"/>
        <w:rPr/>
      </w:pPr>
      <w:r>
        <w:rPr>
          <w:rFonts w:ascii="Times New Roman;sans-serif" w:hAnsi="Times New Roman;sans-serif"/>
          <w:b w:val="false"/>
          <w:color w:val="000000"/>
          <w:sz w:val="20"/>
        </w:rPr>
        <w:t xml:space="preserve">Please note that there is a new system to access the live call-in order to ask questions. To join the live call, please register </w:t>
      </w:r>
      <w:r>
        <w:rPr>
          <w:rFonts w:ascii="Times New Roman;sans-serif" w:hAnsi="Times New Roman;sans-serif"/>
          <w:b w:val="false"/>
          <w:color w:val="0000FF"/>
          <w:sz w:val="20"/>
          <w:u w:val="single"/>
        </w:rPr>
        <w:t>here</w:t>
      </w:r>
      <w:r>
        <w:rPr>
          <w:rFonts w:ascii="Times New Roman;sans-serif" w:hAnsi="Times New Roman;sans-serif"/>
          <w:b w:val="false"/>
          <w:color w:val="0000FF"/>
          <w:sz w:val="20"/>
        </w:rPr>
        <w:t>.</w:t>
      </w:r>
      <w:r>
        <w:rPr>
          <w:color w:val="000000"/>
        </w:rPr>
        <w:t xml:space="preserve"> </w:t>
      </w:r>
      <w:r>
        <w:rPr>
          <w:rFonts w:ascii="Times New Roman;sans-serif" w:hAnsi="Times New Roman;sans-serif"/>
          <w:b w:val="false"/>
          <w:color w:val="000000"/>
          <w:sz w:val="20"/>
        </w:rPr>
        <w:t xml:space="preserve">For those who cannot access the live broadcast, a replay will be available on the EXL website </w:t>
      </w:r>
      <w:r>
        <w:rPr>
          <w:rFonts w:ascii="Times New Roman;sans-serif" w:hAnsi="Times New Roman;sans-serif"/>
          <w:b w:val="false"/>
          <w:color w:val="0000FF"/>
          <w:sz w:val="20"/>
          <w:u w:val="single"/>
        </w:rPr>
        <w:t>ir.exlservice.com</w:t>
      </w:r>
      <w:r>
        <w:rPr>
          <w:color w:val="000000"/>
        </w:rPr>
        <w:t xml:space="preserve"> </w:t>
      </w:r>
      <w:r>
        <w:rPr>
          <w:rFonts w:ascii="Times New Roman;sans-serif" w:hAnsi="Times New Roman;sans-serif"/>
          <w:b w:val="false"/>
          <w:color w:val="000000"/>
          <w:sz w:val="20"/>
        </w:rPr>
        <w:t>for a period of approximately twelve months.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ans-serif" w:hAnsi="Times New Roman;sans-serif"/>
          <w:b/>
          <w:color w:val="000000"/>
          <w:sz w:val="20"/>
        </w:rPr>
      </w:pPr>
      <w:r>
        <w:rPr>
          <w:rFonts w:ascii="Times New Roman;sans-serif" w:hAnsi="Times New Roman;sans-serif"/>
          <w:b/>
          <w:color w:val="000000"/>
          <w:sz w:val="20"/>
        </w:rPr>
        <w:t>About ExlService Holdings, Inc.</w:t>
      </w:r>
    </w:p>
    <w:p>
      <w:pPr>
        <w:pStyle w:val="TextBody"/>
        <w:bidi w:val="0"/>
        <w:spacing w:lineRule="auto" w:line="417" w:before="120" w:after="283"/>
        <w:jc w:val="both"/>
        <w:rPr/>
      </w:pPr>
      <w:r>
        <w:rPr>
          <w:rFonts w:ascii="Times New Roman;sans-serif" w:hAnsi="Times New Roman;sans-serif"/>
          <w:b w:val="false"/>
          <w:color w:val="000000"/>
          <w:sz w:val="20"/>
        </w:rPr>
        <w:t xml:space="preserve">EXL (Nasdaq: EXLS) is a leading data analytics and digital operations and solutions company. We partner with clients using a data and AI-led approach to reinvent business models, drive better business outcomes and unlock growth with speed. EXL harnesses the power of data, analytics, AI, and deep industry knowledge to transform operations for the world’s leading corporations in industries including insurance, healthcare, banking and financial services, media and retail, among others. EXL was founded in 1999 with the core values of innovation, collaboration, excellence, integrity and respect. We are headquartered in New York and have more than 57,000 employees spanning six continents. For more information, visit </w:t>
      </w:r>
      <w:r>
        <w:rPr>
          <w:rFonts w:ascii="Times New Roman;sans-serif" w:hAnsi="Times New Roman;sans-serif"/>
          <w:b w:val="false"/>
          <w:color w:val="0000FF"/>
          <w:sz w:val="20"/>
          <w:u w:val="single"/>
        </w:rPr>
        <w:t>www.exlservice.com.</w:t>
      </w:r>
    </w:p>
    <w:p>
      <w:pPr>
        <w:pStyle w:val="TextBody"/>
        <w:bidi w:val="0"/>
        <w:spacing w:before="0" w:after="0"/>
        <w:jc w:val="both"/>
        <w:rPr/>
      </w:pPr>
      <w:r>
        <w:rPr/>
      </w:r>
    </w:p>
    <w:p>
      <w:pPr>
        <w:pStyle w:val="TextBody"/>
        <w:bidi w:val="0"/>
        <w:spacing w:lineRule="auto" w:line="345" w:before="120" w:after="283"/>
        <w:jc w:val="both"/>
        <w:rPr/>
      </w:pPr>
      <w:r>
        <w:rPr>
          <w:rFonts w:ascii="Times New Roman;sans-serif" w:hAnsi="Times New Roman;sans-serif"/>
          <w:b/>
          <w:color w:val="000000"/>
          <w:sz w:val="20"/>
        </w:rPr>
        <w:t>Cautionary Statement Regarding Forward-Looking Statements</w:t>
      </w:r>
      <w:r>
        <w:rPr>
          <w:color w:val="000000"/>
        </w:rPr>
        <w:t xml:space="preserve"> </w:t>
      </w:r>
      <w:r>
        <w:rPr>
          <w:rFonts w:ascii="Times New Roman;sans-serif" w:hAnsi="Times New Roman;sans-serif"/>
          <w:b w:val="false"/>
          <w:i/>
          <w:color w:val="000000"/>
          <w:sz w:val="20"/>
        </w:rPr>
        <w:t>This press release contains forward-looking statements within the meaning of the United States Private Securities Litigation Reform Act of 1995. You should not place undue 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maintain and grow client demand, our ability to hire and retain sufficiently trained employees, and our ability to accurately estimate and/or manage costs, rising interest rates, rising inflation, recessionary economic trends, and ability to successfully integrate strategic acquisitions, are discussed in more detail in EXL’s filings with the Securities and Exchange Commission, including EXL’s Annual Report on Form 10-K.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INCOME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1533"/>
        <w:gridCol w:w="1239"/>
        <w:gridCol w:w="1224"/>
        <w:gridCol w:w="241"/>
        <w:gridCol w:w="945"/>
        <w:gridCol w:w="109"/>
        <w:gridCol w:w="109"/>
        <w:gridCol w:w="109"/>
        <w:gridCol w:w="109"/>
        <w:gridCol w:w="241"/>
        <w:gridCol w:w="945"/>
        <w:gridCol w:w="109"/>
        <w:gridCol w:w="109"/>
        <w:gridCol w:w="109"/>
        <w:gridCol w:w="109"/>
        <w:gridCol w:w="211"/>
        <w:gridCol w:w="976"/>
        <w:gridCol w:w="109"/>
        <w:gridCol w:w="109"/>
        <w:gridCol w:w="109"/>
        <w:gridCol w:w="109"/>
        <w:gridCol w:w="211"/>
        <w:gridCol w:w="976"/>
        <w:gridCol w:w="155"/>
      </w:tblGrid>
      <w:tr>
        <w:trPr/>
        <w:tc>
          <w:tcPr>
            <w:tcW w:w="1533"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9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Nine months ended September 30,</w:t>
            </w:r>
          </w:p>
        </w:tc>
      </w:tr>
      <w:tr>
        <w:trPr/>
        <w:tc>
          <w:tcPr>
            <w:tcW w:w="3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net</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1,216,610 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Cost of revenues </w:t>
            </w:r>
            <w:r>
              <w:rPr>
                <w:rFonts w:ascii="Times New Roman;sans-serif" w:hAnsi="Times New Roman;sans-serif"/>
                <w:b w:val="false"/>
                <w:color w:val="000000"/>
                <w:sz w:val="13"/>
              </w:rPr>
              <w:t>(1)</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Gross profit </w:t>
            </w:r>
            <w:r>
              <w:rPr>
                <w:rFonts w:ascii="Times New Roman;sans-serif" w:hAnsi="Times New Roman;sans-serif"/>
                <w:b/>
                <w:color w:val="000000"/>
                <w:sz w:val="13"/>
              </w:rPr>
              <w:t>(1)</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178,267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154,969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507,610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455,919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144,564 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315,232 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271,430 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69,405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60,230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192,378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184,489</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gain,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 expense and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68,531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58,012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190,782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181,891</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earnings from equity affiliates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43,851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147,696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144,118</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Gain/(loss) from equity-method investment</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147,625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144,275</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shares used in computing earnings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161,732,872 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166,159,619 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163,197,767 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166,707,599 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163,187,733 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167,688,374 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164,620,081 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168,591,612 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120"/>
        <w:ind w:left="0" w:right="0" w:firstLine="27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Exclusive of depreciation and amortization expense.</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amount and share count)</w:t>
      </w:r>
    </w:p>
    <w:tbl>
      <w:tblPr>
        <w:tblW w:w="10205" w:type="dxa"/>
        <w:jc w:val="center"/>
        <w:tblInd w:w="0" w:type="dxa"/>
        <w:tblLayout w:type="fixed"/>
        <w:tblCellMar>
          <w:top w:w="28" w:type="dxa"/>
          <w:left w:w="28" w:type="dxa"/>
          <w:bottom w:w="28" w:type="dxa"/>
          <w:right w:w="28" w:type="dxa"/>
        </w:tblCellMar>
      </w:tblPr>
      <w:tblGrid>
        <w:gridCol w:w="2620"/>
        <w:gridCol w:w="2045"/>
        <w:gridCol w:w="2077"/>
        <w:gridCol w:w="109"/>
        <w:gridCol w:w="109"/>
        <w:gridCol w:w="109"/>
        <w:gridCol w:w="223"/>
        <w:gridCol w:w="1049"/>
        <w:gridCol w:w="115"/>
        <w:gridCol w:w="109"/>
        <w:gridCol w:w="109"/>
        <w:gridCol w:w="109"/>
        <w:gridCol w:w="220"/>
        <w:gridCol w:w="1036"/>
        <w:gridCol w:w="166"/>
      </w:tblGrid>
      <w:tr>
        <w:trPr/>
        <w:tc>
          <w:tcPr>
            <w:tcW w:w="2620"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2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w:t>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6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136,953 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175,648 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153,881 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308,108 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76,669 </w:t>
            </w:r>
          </w:p>
        </w:tc>
        <w:tc>
          <w:tcPr>
            <w:tcW w:w="166"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767,689</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679,673</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405,639 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49,524 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1,609,832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long-term borrowings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105,159 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114,113 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16,904 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ind w:left="0" w:right="0" w:hanging="360"/>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254,185</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326,403</w:t>
            </w:r>
            <w:r>
              <w:rPr>
                <w:color w:val="000000"/>
              </w:rPr>
              <w:t>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borrowings,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339,828 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62,336 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31,462 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702,269</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552,535</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15,000,000 shares authorized, none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400,000,000 shares authorized, 205,317,002 shares issued and 160,880,592 shares outstanding as of September 30, 2024 and 203,410,038 shares issued and 165,277,880 shares 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572,430 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1,231,288 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1,083,663 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(127,040)</w:t>
            </w:r>
          </w:p>
        </w:tc>
        <w:tc>
          <w:tcPr>
            <w:tcW w:w="166" w:type="dxa"/>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including shares held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1,681,330</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1,464,854</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44,436,410 shares as of September 30, 2024 and 38,132,158 shares as of December 31, 2023, held in treasury, at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(773,767)</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(575,417)</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907,563</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889,437</w:t>
            </w: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liabilities and stockholders’ equity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1,609,832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1,441,972</w:t>
            </w:r>
            <w:r>
              <w:rPr>
                <w:color w:val="000000"/>
              </w:rPr>
              <w:t>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44" w:after="283"/>
        <w:jc w:val="center"/>
        <w:rPr>
          <w:rFonts w:ascii="Times New Roman;sans-serif" w:hAnsi="Times New Roman;sans-serif"/>
          <w:b/>
          <w:color w:val="000000"/>
          <w:sz w:val="20"/>
        </w:rPr>
      </w:pPr>
      <w:r>
        <w:rPr>
          <w:rFonts w:ascii="Times New Roman;sans-serif" w:hAnsi="Times New Roman;sans-serif"/>
          <w:b/>
          <w:color w:val="000000"/>
          <w:sz w:val="20"/>
        </w:rPr>
        <w:t>EXLSERVICE HOLDINGS, INC.</w:t>
      </w:r>
    </w:p>
    <w:p>
      <w:pPr>
        <w:pStyle w:val="TextBody"/>
        <w:bidi w:val="0"/>
        <w:spacing w:lineRule="auto" w:line="288" w:before="144" w:after="283"/>
        <w:jc w:val="center"/>
        <w:rPr>
          <w:rFonts w:ascii="Times New Roman;sans-serif" w:hAnsi="Times New Roman;sans-serif"/>
          <w:b/>
          <w:color w:val="000000"/>
          <w:sz w:val="20"/>
        </w:rPr>
      </w:pPr>
      <w:r>
        <w:rPr>
          <w:rFonts w:ascii="Times New Roman;sans-serif" w:hAnsi="Times New Roman;sans-serif"/>
          <w:b/>
          <w:color w:val="000000"/>
          <w:sz w:val="20"/>
        </w:rPr>
        <w:t>Reconciliation of Adjusted Financial Measures to GAAP Measures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its reported operating results in accordance with U.S. generally accepted accounting principles (GAAP), EXL has included in this release certain financial measures that are considered non-GAAP financial measures, including the following: </w:t>
      </w:r>
    </w:p>
    <w:p>
      <w:pPr>
        <w:pStyle w:val="TextBody"/>
        <w:bidi w:val="0"/>
        <w:spacing w:lineRule="auto" w:line="417" w:before="12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(i)Adjusted operating income and adjusted operating income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(ii)Adjusted EBITDA and adjusted EBITDA margin;</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(iii)Adjusted net income and adjusted diluted earnings per share; and</w:t>
      </w:r>
    </w:p>
    <w:p>
      <w:pPr>
        <w:pStyle w:val="TextBody"/>
        <w:bidi w:val="0"/>
        <w:spacing w:lineRule="auto" w:line="345"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(iv)Revenue growth on constant currency basis.</w:t>
      </w:r>
    </w:p>
    <w:p>
      <w:pPr>
        <w:pStyle w:val="TextBody"/>
        <w:bidi w:val="0"/>
        <w:spacing w:before="0" w:after="0"/>
        <w:ind w:left="0" w:right="0" w:firstLine="72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are not based on any comprehensive set of accounting rules or principles, should not be considered a substitute for, or superior to, financial measures calculated in accordance with GAAP, and may be different from non-GAAP financial measures used by other companies. Accordingly,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period-to-period comparisons of the Company’s results and comparisons of the Company’s results with the results of other companies. Additionally, management considers some of these non-GAAP financial measures to determine variable compensation of its employees. The Company believes that it is unreasonably difficult to provide its earnings per share financial guidance in accordance with GAAP, or a qualitative reconciliation thereof, for a number of reasons, including, without limitation, the Company’s inability to predict its future stock-based compensation expense under ASC Topic 718, the amortization of intangibles associated with future acquisitions and the currency fluctuations and associated tax effects. As such, the Company presents guidance with respect to adjusted diluted earnings per share. The Company also incurs significant non-cash charges for depreciation that may not be indicative of the Company’s ability to generate cash flow.</w:t>
      </w:r>
    </w:p>
    <w:p>
      <w:pPr>
        <w:pStyle w:val="TextBody"/>
        <w:bidi w:val="0"/>
        <w:spacing w:before="0" w:after="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EXL non-GAAP financial measures exclude, where applicable, stock-based compensation expense, amortization of acquisition-related intangible assets, restructuring costs, litigation settlement costs and associated legal fees, effects of termination of leases, certain defined social security contributions, allowance for certain material expected credit losses, other acquisition-related expenses or benefits and effect of any non-recurring tax adjustments. Acquisition-related expenses or benefits include, changes in the fair value of contingent consideration, external deal costs, integration expenses, direct and incremental travel costs and non-recurring benefits or losses. Our adjusted net income and adjusted diluted EPS also excludes the effects of income tax on the above pre-tax items, as applicable. The effects of income tax of each item is calculated by applying the statutory rate of the local tax regulations in the jurisdiction in which the item was incurred.</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A limitation of using non-GAAP financial measures versus financial measures calculated in accordance with GAAP is that non-GAAP financial measures do not reflect all of the amounts associated with our operating results as determined in accordance with GAAP and exclude costs that are recurring, namely stock-based compensation and amortization of acquisition-related intangible assets. EXL compensates for these limitations by providing specific information regarding the GAAP amounts excluded from non-GAAP financial measures to allow investors to evaluate such non-GAAP financial measures.</w:t>
      </w:r>
    </w:p>
    <w:p>
      <w:pPr>
        <w:pStyle w:val="TextBody"/>
        <w:bidi w:val="0"/>
        <w:spacing w:before="0" w:after="0"/>
        <w:ind w:left="0" w:right="0" w:firstLine="450"/>
        <w:jc w:val="both"/>
        <w:rPr/>
      </w:pPr>
      <w:r>
        <w:rPr/>
      </w:r>
    </w:p>
    <w:p>
      <w:pPr>
        <w:pStyle w:val="TextBody"/>
        <w:bidi w:val="0"/>
        <w:spacing w:lineRule="auto" w:line="345"/>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EXL’s primary exchange rate exposure is with the Indian rupee, the Philippine peso, the U.K. pound sterling and the South African rand. The average exchange rate of the U.S. dollar against the Indian rupee increased from 82.69 during the quarter ended September 30, 2023 to 83.79 during the quarter ended September 30, 2024, representing a depreciation of 1.3% against the U.S. dollar. The average exchange rate of the U.S. dollar against the Philippine peso increased from 56.02 during the quarter ended September 30, 2023 to 56.84 during the quarter ended September 30, 2024, representing a depreciation of 1.5% against the U.S. dollar. The average exchange rate of the U.K. pound sterling against the U.S. dollar increased from 1.26 during the quarter ended September 30, 2023 to 1.31 during the quarter ended September 30, 2024, representing an appreciation of 4.4% against the U.S. dollar. The average exchange rate of the U.S. dollar against the South African rand decreased from 18.49 during the quarter ended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45"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September 30, 2023 to 17.74 during the quarter ended September 30, 2024, representing an appreciation of 4.1% against the U.S. dollar.</w:t>
      </w:r>
    </w:p>
    <w:p>
      <w:pPr>
        <w:pStyle w:val="TextBody"/>
        <w:bidi w:val="0"/>
        <w:spacing w:before="0" w:after="0"/>
        <w:ind w:left="0" w:right="0" w:firstLine="450"/>
        <w:jc w:val="both"/>
        <w:rPr/>
      </w:pPr>
      <w:r>
        <w:rPr/>
      </w:r>
    </w:p>
    <w:p>
      <w:pPr>
        <w:pStyle w:val="TextBody"/>
        <w:bidi w:val="0"/>
        <w:spacing w:lineRule="auto" w:line="345" w:before="0" w:after="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reconciliation of these non-GAAP financial measures for the three months ended September 30, 2024 and September 30, 2023, and the three months ended June 30, 2024: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Operating Income and Adjusted EBITDA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w:t>
      </w:r>
    </w:p>
    <w:tbl>
      <w:tblPr>
        <w:tblW w:w="9884" w:type="dxa"/>
        <w:jc w:val="center"/>
        <w:tblInd w:w="0" w:type="dxa"/>
        <w:tblLayout w:type="fixed"/>
        <w:tblCellMar>
          <w:top w:w="28" w:type="dxa"/>
          <w:left w:w="28" w:type="dxa"/>
          <w:bottom w:w="28" w:type="dxa"/>
          <w:right w:w="28" w:type="dxa"/>
        </w:tblCellMar>
      </w:tblPr>
      <w:tblGrid>
        <w:gridCol w:w="1862"/>
        <w:gridCol w:w="1638"/>
        <w:gridCol w:w="1644"/>
        <w:gridCol w:w="109"/>
        <w:gridCol w:w="109"/>
        <w:gridCol w:w="109"/>
        <w:gridCol w:w="211"/>
        <w:gridCol w:w="841"/>
        <w:gridCol w:w="256"/>
        <w:gridCol w:w="109"/>
        <w:gridCol w:w="109"/>
        <w:gridCol w:w="109"/>
        <w:gridCol w:w="211"/>
        <w:gridCol w:w="736"/>
        <w:gridCol w:w="256"/>
        <w:gridCol w:w="109"/>
        <w:gridCol w:w="109"/>
        <w:gridCol w:w="109"/>
        <w:gridCol w:w="211"/>
        <w:gridCol w:w="736"/>
        <w:gridCol w:w="301"/>
      </w:tblGrid>
      <w:tr>
        <w:trPr/>
        <w:tc>
          <w:tcPr>
            <w:tcW w:w="1862" w:type="dxa"/>
            <w:tcBorders/>
            <w:vAlign w:val="center"/>
          </w:tcPr>
          <w:p>
            <w:pPr>
              <w:pStyle w:val="TableContents"/>
              <w:bidi w:val="0"/>
              <w:spacing w:before="0" w:after="283"/>
              <w:jc w:val="left"/>
              <w:rPr>
                <w:sz w:val="4"/>
                <w:szCs w:val="4"/>
              </w:rPr>
            </w:pPr>
            <w:r>
              <w:rPr>
                <w:sz w:val="4"/>
                <w:szCs w:val="4"/>
              </w:rPr>
            </w:r>
          </w:p>
        </w:tc>
        <w:tc>
          <w:tcPr>
            <w:tcW w:w="1638"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53,037</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43,876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add/(subtract): Foreign exchange gain, net, interest expense, </w:t>
              <w:br/>
              <w:t>gain/(loss) from equity-method investment and other income/(loss),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from operations (GAAP)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69,405</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60,230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61,449</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Restructuring and litigation settlement costs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Allowance for expected credit losses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operating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94,086</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82,154</w:t>
            </w:r>
            <w:r>
              <w:rPr>
                <w:color w:val="000000"/>
              </w:rPr>
              <w:t>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88,795</w:t>
            </w:r>
            <w:r>
              <w:rPr>
                <w:color w:val="000000"/>
              </w:rPr>
              <w:t>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operating income margin as a % of Revenue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20.0 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19.8 </w:t>
            </w:r>
          </w:p>
        </w:tc>
        <w:tc>
          <w:tcPr>
            <w:tcW w:w="30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Depreciation on long-lived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9,833 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EBITDA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104,436</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90,580</w:t>
            </w: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98,628</w:t>
            </w:r>
            <w:r>
              <w:rPr>
                <w:color w:val="000000"/>
              </w:rPr>
              <w:t> </w:t>
            </w:r>
          </w:p>
        </w:tc>
        <w:tc>
          <w:tcPr>
            <w:tcW w:w="3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Adjusted EBITDA margin as a % of revenue (Non-GAAP)</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22.1 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22.0 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22.0 </w:t>
            </w:r>
          </w:p>
        </w:tc>
        <w:tc>
          <w:tcPr>
            <w:tcW w:w="3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i/>
                <w:color w:val="000000"/>
                <w:sz w:val="18"/>
              </w:rPr>
            </w:pPr>
            <w:r>
              <w:rPr>
                <w:rFonts w:ascii="Times New Roman;sans-serif" w:hAnsi="Times New Roman;sans-serif"/>
                <w:b w:val="false"/>
                <w:i/>
                <w:color w:val="000000"/>
                <w:sz w:val="18"/>
              </w:rPr>
              <w:t>%</w:t>
            </w:r>
          </w:p>
        </w:tc>
      </w:tr>
    </w:tbl>
    <w:p>
      <w:pPr>
        <w:pStyle w:val="TextBody"/>
        <w:bidi w:val="0"/>
        <w:spacing w:before="0" w:after="0"/>
        <w:jc w:val="left"/>
        <w:rPr/>
      </w:pPr>
      <w:r>
        <w:rPr/>
      </w:r>
    </w:p>
    <w:p>
      <w:pPr>
        <w:pStyle w:val="TextBody"/>
        <w:bidi w:val="0"/>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before="0" w:after="0"/>
        <w:ind w:left="0" w:right="0" w:hanging="270"/>
        <w:jc w:val="both"/>
        <w:rPr/>
      </w:pPr>
      <w:r>
        <w:rPr/>
      </w:r>
    </w:p>
    <w:p>
      <w:pPr>
        <w:pStyle w:val="TextBody"/>
        <w:bidi w:val="0"/>
        <w:spacing w:lineRule="auto" w:line="276" w:before="0" w:after="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the effects of material allowance for expected credit losses on accounts receivables related to a customer bankruptcy event during the three months ended September 30, 2023.</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Reconciliation of Adjusted Net Income and Adjusted Diluted Earnings Per Share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(Amounts in thousands, except per share amount)</w:t>
      </w:r>
    </w:p>
    <w:tbl>
      <w:tblPr>
        <w:tblW w:w="9218" w:type="dxa"/>
        <w:jc w:val="center"/>
        <w:tblInd w:w="0" w:type="dxa"/>
        <w:tblLayout w:type="fixed"/>
        <w:tblCellMar>
          <w:top w:w="28" w:type="dxa"/>
          <w:left w:w="28" w:type="dxa"/>
          <w:bottom w:w="28" w:type="dxa"/>
          <w:right w:w="28" w:type="dxa"/>
        </w:tblCellMar>
      </w:tblPr>
      <w:tblGrid>
        <w:gridCol w:w="1817"/>
        <w:gridCol w:w="1600"/>
        <w:gridCol w:w="1607"/>
        <w:gridCol w:w="109"/>
        <w:gridCol w:w="109"/>
        <w:gridCol w:w="109"/>
        <w:gridCol w:w="211"/>
        <w:gridCol w:w="736"/>
        <w:gridCol w:w="109"/>
        <w:gridCol w:w="109"/>
        <w:gridCol w:w="109"/>
        <w:gridCol w:w="109"/>
        <w:gridCol w:w="211"/>
        <w:gridCol w:w="736"/>
        <w:gridCol w:w="109"/>
        <w:gridCol w:w="109"/>
        <w:gridCol w:w="109"/>
        <w:gridCol w:w="109"/>
        <w:gridCol w:w="211"/>
        <w:gridCol w:w="736"/>
        <w:gridCol w:w="154"/>
      </w:tblGrid>
      <w:tr>
        <w:trPr/>
        <w:tc>
          <w:tcPr>
            <w:tcW w:w="1817"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w:t>
            </w:r>
          </w:p>
        </w:tc>
      </w:tr>
      <w:tr>
        <w:trPr/>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53,037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43,876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45,825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Amortization of acquisition-related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Restructuring and litigation settlement costs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Effects of changes in fair value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 Allowance for expected credit losses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stock-based compensation expense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amortization of acquisition-related intangibles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restructuring and litigation settlement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subtract: Tax impact on allowance for expected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5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net income (Non-GAAP)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71,022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62,760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66,199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Adjusted diluted earnings per share (Non-GAAP)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0.44</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0.37</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0.40</w:t>
            </w:r>
            <w:r>
              <w:rPr>
                <w:color w:val="000000"/>
              </w:rPr>
              <w:t>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(a) To exclude effects of employee severance costs and outplacement support costs of $4,762 and litigation settlement costs and associated legal fees of $1,412 during the three months ended June 30, 2024.</w:t>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(b) To exclude the effects of material allowance for expected credit losses on accounts receivables related to a customer bankruptcy event during the three months ended September 30, 2023.</w:t>
      </w:r>
    </w:p>
    <w:p>
      <w:pPr>
        <w:pStyle w:val="TextBody"/>
        <w:bidi w:val="0"/>
        <w:spacing w:lineRule="auto" w:line="288" w:before="120" w:after="120"/>
        <w:ind w:left="0" w:right="0" w:hanging="270"/>
        <w:jc w:val="both"/>
        <w:rPr>
          <w:rFonts w:ascii="Times New Roman;sans-serif" w:hAnsi="Times New Roman;sans-serif"/>
          <w:b w:val="false"/>
          <w:i/>
          <w:color w:val="000000"/>
          <w:sz w:val="18"/>
        </w:rPr>
      </w:pPr>
      <w:r>
        <w:rPr>
          <w:rFonts w:ascii="Times New Roman;sans-serif" w:hAnsi="Times New Roman;sans-serif"/>
          <w:b w:val="false"/>
          <w:i/>
          <w:color w:val="000000"/>
          <w:sz w:val="18"/>
        </w:rPr>
        <w:t>(c) Tax impact includes $1,673 and $462 during the three months ended September 30, 2024 and 2023 respectively, and $18 during the three months ended June 30, 2024, related to discrete benefits recognized in income tax expense in accordance with ASU No. 2016-09, Compensation - Stock Compensation.</w:t>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0" w:after="0"/>
        <w:ind w:left="0" w:right="0" w:hanging="270"/>
        <w:jc w:val="both"/>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Contacts:</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John Kristoff</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Investor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+1 212 209 4613</w:t>
      </w:r>
    </w:p>
    <w:p>
      <w:pPr>
        <w:pStyle w:val="TextBody"/>
        <w:bidi w:val="0"/>
        <w:spacing w:lineRule="auto" w:line="288" w:before="0" w:after="0"/>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ir@exlservice.com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Media - US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Keith Little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Assistant Vice President, Media Relations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+1 703 598 0980</w:t>
      </w:r>
    </w:p>
    <w:p>
      <w:pPr>
        <w:pStyle w:val="TextBody"/>
        <w:bidi w:val="0"/>
        <w:spacing w:lineRule="auto" w:line="288"/>
        <w:jc w:val="left"/>
        <w:rPr>
          <w:rFonts w:ascii="Times New Roman;sans-serif" w:hAnsi="Times New Roman;sans-serif"/>
          <w:b w:val="false"/>
          <w:color w:val="0000FF"/>
          <w:sz w:val="20"/>
          <w:u w:val="single"/>
        </w:rPr>
      </w:pPr>
      <w:r>
        <w:rPr>
          <w:rFonts w:ascii="Times New Roman;sans-serif" w:hAnsi="Times New Roman;sans-serif"/>
          <w:b w:val="false"/>
          <w:color w:val="0000FF"/>
          <w:sz w:val="20"/>
          <w:u w:val="single"/>
        </w:rPr>
        <w:t>media.relations@exlservice.com</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3708</Words>
  <Characters>21531</Characters>
  <CharactersWithSpaces>24929</CharactersWithSpaces>
  <Paragraphs>608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