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79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Vice 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796"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72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color w:val="0000FF"/>
              </w:rPr>
              <w:t>10017</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572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09/05/2012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16,384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26.5</w:t>
            </w:r>
            <w:r>
              <w:rPr>
                <w:rFonts w:ascii="Arial" w:cs="Arial" w:eastAsia="Arial" w:hAnsi="Arial"/>
                <w:sz w:val="22"/>
                <w:szCs w:val="22"/>
                <w:color w:val="00800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1,334,853</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09/06/2012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21,116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26.71</w:t>
            </w:r>
            <w:r>
              <w:rPr>
                <w:rFonts w:ascii="Arial" w:cs="Arial" w:eastAsia="Arial" w:hAnsi="Arial"/>
                <w:sz w:val="22"/>
                <w:szCs w:val="22"/>
                <w:color w:val="008000"/>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1,313,737</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(7)</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8"/>
          </w:tcPr>
          <w:p>
            <w:pPr>
              <w:jc w:val="center"/>
              <w:ind w:left="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$26.50 to $26.59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$26.51 to $26.90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Amit Shashank is the Company's Executive Vice President, General Counsel and Corporate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4"/>
              </w:rPr>
              <w:t>/s/ Amit Shashank,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09/07/2012</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2019-12-16T15:31:19Z</dcterms:created>
  <dcterms:modified xsi:type="dcterms:W3CDTF">2019-12-16T15:31:19Z</dcterms:modified>
</cp:coreProperties>
</file>