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8-K/A</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(Amendment No.1)</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July 1, 2018</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New York, New York 10017</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10017</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(Zip code)</w:t>
      </w:r>
    </w:p>
    <w:p>
      <w:pPr>
        <w:spacing w:after="0" w:line="32" w:lineRule="exact"/>
        <w:rPr>
          <w:sz w:val="24"/>
          <w:szCs w:val="24"/>
          <w:color w:val="auto"/>
        </w:rPr>
      </w:pPr>
    </w:p>
    <w:p>
      <w:pPr>
        <w:sectPr>
          <w:pgSz w:w="11900" w:h="16838" w:orient="portrait"/>
          <w:cols w:equalWidth="0" w:num="2">
            <w:col w:w="8600" w:space="720"/>
            <w:col w:w="2080"/>
          </w:cols>
          <w:pgMar w:left="240" w:top="999" w:right="259" w:bottom="1440" w:gutter="0" w:footer="0" w:header="0"/>
          <w:type w:val="continuous"/>
        </w:sectPr>
      </w:pPr>
    </w:p>
    <w:p>
      <w:pPr>
        <w:ind w:left="404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00"/>
          </w:cols>
          <w:pgMar w:left="240" w:top="999" w:right="259" w:bottom="1440" w:gutter="0" w:footer="0" w:header="0"/>
          <w:type w:val="continuous"/>
        </w:sectPr>
      </w:pPr>
    </w:p>
    <w:p>
      <w:pPr>
        <w:spacing w:after="0" w:line="301"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40"/>
          </w:cols>
          <w:pgMar w:left="240" w:top="999" w:right="259" w:bottom="1440" w:gutter="0" w:footer="0" w:header="0"/>
          <w:type w:val="continuous"/>
        </w:sectPr>
      </w:pP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address, if changed since last report)</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7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4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 2018, ExlService Holdings, Inc. (the “Company”) filed a Current Report on Form 8-K (the “Initial Form 8-K”) with the Securities and Exchange Commission (the “SEC”) reporting that on July 1, 2018, through its wholly owned subsidiary ExlService.com, LLC (“Buyer”) and Buyer’s wholly owned subsidiary ExlService Cayman Merger Sub, completed the acquisition of SCIOinspire Holdings Inc. (“SCIO”) pursuant to its previously announced Agreement of Merger dated April 28, 2018.</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Current Report on Form 8-K/A is being filed to amend the Initial Form 8-K to provide the financial statements and pro forma financial information described in Item 9.01 below which were not previously filed with the Initial Form 8-K, and which are permitted to be filed by amendment not later than 71 calendar days after the date the Initial Form 8-K was required to be filed with the SEC. Except as otherwise noted, all other information in the initial Form 8-K remains unchanged.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Financial Statements of a Business Acquired</w:t>
      </w:r>
    </w:p>
    <w:p>
      <w:pPr>
        <w:spacing w:after="0" w:line="24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audited consolidated financial statements of SCIO for the year ended, and as of, December 31, 2017 (together with the accompanying notes thereto and the related Independent Auditors' Report) and unaudited consolidated financial statements for the six months ended, and as of, June 30, 2018 (together with the accompanying notes thereto) are attached as Exhibit 99.1 and Exhibit 99.2, respectively, to this Form 8-K/A and incorporated herein by reference.</w:t>
      </w:r>
    </w:p>
    <w:p>
      <w:pPr>
        <w:spacing w:after="0" w:line="143"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unaudited pro forma condensed combined financial information related to the acquisition is attached as Exhibit 99.3 to this Form 8-K/A and incorporated herein by reference.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pro forma financial statements are presented for informational purposes only and do not purport to represent what the Company’s results of operations or financial position would have been had the transactions reflected occurred on the dates indicated or to project the Company’s financial position as of any future date or the Company’s results of operations for any future period.</w:t>
      </w:r>
    </w:p>
    <w:p>
      <w:pPr>
        <w:spacing w:after="0" w:line="17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225" w:lineRule="exact"/>
        <w:rPr>
          <w:rFonts w:ascii="Arial" w:cs="Arial" w:eastAsia="Arial" w:hAnsi="Arial"/>
          <w:sz w:val="18"/>
          <w:szCs w:val="18"/>
          <w:b w:val="1"/>
          <w:bCs w:val="1"/>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6640" w:type="dxa"/>
            <w:vAlign w:val="bottom"/>
            <w:gridSpan w:val="4"/>
          </w:tcPr>
          <w:p>
            <w:pPr>
              <w:spacing w:after="0"/>
              <w:rPr>
                <w:sz w:val="18"/>
                <w:szCs w:val="18"/>
                <w:color w:val="auto"/>
              </w:rPr>
            </w:pPr>
          </w:p>
        </w:tc>
      </w:tr>
      <w:tr>
        <w:trPr>
          <w:trHeight w:val="439"/>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720" w:type="dxa"/>
            <w:vAlign w:val="bottom"/>
          </w:tcPr>
          <w:p>
            <w:pPr>
              <w:spacing w:after="0"/>
              <w:rPr>
                <w:sz w:val="24"/>
                <w:szCs w:val="24"/>
                <w:color w:val="auto"/>
              </w:rPr>
            </w:pPr>
          </w:p>
        </w:tc>
        <w:tc>
          <w:tcPr>
            <w:tcW w:w="136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Consent of KPMG</w:t>
              </w:r>
            </w:hyperlink>
          </w:p>
        </w:tc>
        <w:tc>
          <w:tcPr>
            <w:tcW w:w="6180" w:type="dxa"/>
            <w:vAlign w:val="bottom"/>
            <w:gridSpan w:val="3"/>
          </w:tcPr>
          <w:p>
            <w:pPr>
              <w:spacing w:after="0"/>
              <w:rPr>
                <w:sz w:val="24"/>
                <w:szCs w:val="24"/>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1"/>
                <w:szCs w:val="21"/>
                <w:color w:val="auto"/>
              </w:rPr>
            </w:pPr>
          </w:p>
        </w:tc>
        <w:tc>
          <w:tcPr>
            <w:tcW w:w="7540" w:type="dxa"/>
            <w:vAlign w:val="bottom"/>
            <w:gridSpan w:val="5"/>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Audited consolidated financial statements of SCIO for the year ended, and as of, December 31, 2017.</w:t>
              </w:r>
            </w:hyperlink>
          </w:p>
        </w:tc>
      </w:tr>
      <w:tr>
        <w:trPr>
          <w:trHeight w:val="20"/>
        </w:trPr>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720" w:type="dxa"/>
            <w:vAlign w:val="bottom"/>
          </w:tcPr>
          <w:p>
            <w:pPr>
              <w:spacing w:after="0"/>
              <w:rPr>
                <w:sz w:val="21"/>
                <w:szCs w:val="21"/>
                <w:color w:val="auto"/>
              </w:rPr>
            </w:pPr>
          </w:p>
        </w:tc>
        <w:tc>
          <w:tcPr>
            <w:tcW w:w="75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Unaudited consolidated financial statements of SCIO for the six months ended, and as of, June 30, 2018.</w:t>
              </w:r>
            </w:hyperlink>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720" w:type="dxa"/>
            <w:vAlign w:val="bottom"/>
          </w:tcPr>
          <w:p>
            <w:pPr>
              <w:spacing w:after="0"/>
              <w:rPr>
                <w:sz w:val="21"/>
                <w:szCs w:val="21"/>
                <w:color w:val="auto"/>
              </w:rPr>
            </w:pPr>
          </w:p>
        </w:tc>
        <w:tc>
          <w:tcPr>
            <w:tcW w:w="7540" w:type="dxa"/>
            <w:vAlign w:val="bottom"/>
            <w:gridSpan w:val="5"/>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Unaudited pro forma condensed combined financial information.</w:t>
              </w:r>
            </w:hyperlink>
          </w:p>
        </w:tc>
      </w:tr>
      <w:tr>
        <w:trPr>
          <w:trHeight w:val="20"/>
        </w:trPr>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7940" w:type="dxa"/>
            <w:vAlign w:val="bottom"/>
            <w:gridSpan w:val="2"/>
          </w:tcPr>
          <w:p>
            <w:pPr>
              <w:ind w:left="15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40" w:type="dxa"/>
            <w:vAlign w:val="bottom"/>
          </w:tcPr>
          <w:p>
            <w:pPr>
              <w:spacing w:after="0"/>
              <w:rPr>
                <w:sz w:val="20"/>
                <w:szCs w:val="20"/>
                <w:color w:val="auto"/>
              </w:rPr>
            </w:pPr>
          </w:p>
        </w:tc>
        <w:tc>
          <w:tcPr>
            <w:tcW w:w="2920" w:type="dxa"/>
            <w:vAlign w:val="bottom"/>
          </w:tcPr>
          <w:p>
            <w:pPr>
              <w:ind w:left="158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Date: September 07, 2018</w:t>
            </w:r>
          </w:p>
        </w:tc>
        <w:tc>
          <w:tcPr>
            <w:tcW w:w="2920" w:type="dxa"/>
            <w:vAlign w:val="bottom"/>
          </w:tcPr>
          <w:p>
            <w:pPr>
              <w:ind w:left="15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4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440" w:type="dxa"/>
            <w:vAlign w:val="bottom"/>
          </w:tcPr>
          <w:p>
            <w:pPr>
              <w:spacing w:after="0"/>
              <w:rPr>
                <w:sz w:val="21"/>
                <w:szCs w:val="21"/>
                <w:color w:val="auto"/>
              </w:rPr>
            </w:pPr>
          </w:p>
        </w:tc>
        <w:tc>
          <w:tcPr>
            <w:tcW w:w="2920" w:type="dxa"/>
            <w:vAlign w:val="bottom"/>
          </w:tcPr>
          <w:p>
            <w:pPr>
              <w:ind w:left="158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440" w:type="dxa"/>
            <w:vAlign w:val="bottom"/>
          </w:tcPr>
          <w:p>
            <w:pPr>
              <w:spacing w:after="0"/>
              <w:rPr>
                <w:sz w:val="23"/>
                <w:szCs w:val="23"/>
                <w:color w:val="auto"/>
              </w:rPr>
            </w:pPr>
          </w:p>
        </w:tc>
        <w:tc>
          <w:tcPr>
            <w:tcW w:w="2920" w:type="dxa"/>
            <w:vAlign w:val="bottom"/>
          </w:tcPr>
          <w:p>
            <w:pPr>
              <w:ind w:left="158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Deputy General Counsel and Corporate Secretary</w:t>
            </w:r>
          </w:p>
        </w:tc>
      </w:tr>
    </w:tbl>
    <w:p>
      <w:pPr>
        <w:sectPr>
          <w:pgSz w:w="11900" w:h="16838" w:orient="portrait"/>
          <w:cols w:equalWidth="0" w:num="1">
            <w:col w:w="11420"/>
          </w:cols>
          <w:pgMar w:left="240" w:top="6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366" w:lineRule="auto"/>
        <w:rPr>
          <w:sz w:val="20"/>
          <w:szCs w:val="20"/>
          <w:color w:val="auto"/>
        </w:rPr>
      </w:pPr>
      <w:r>
        <w:rPr>
          <w:rFonts w:ascii="Arial" w:cs="Arial" w:eastAsia="Arial" w:hAnsi="Arial"/>
          <w:sz w:val="18"/>
          <w:szCs w:val="18"/>
          <w:color w:val="auto"/>
        </w:rPr>
        <w:t>We consent to the incorporation by reference in the registration statements (No. 333-179098) on Form S-3 and (Nos. 333-139211; 333-157076; 333-206022; 333-226527) on Form S-8 of ExlService Holdings, Inc. of our report dated June 28, 2018, with respect to the consolidated balance sheets of SCIOinspire Holdings, Inc. as of December 31, 2017 and 2016, and the related consolidated statements of operations and comprehensive income/(loss), changes in stockholders’ equity, and cash flows for the years then ended, which report appears in the Form 8-K/A of ExlService Holdings, Inc. dated September 07, 2018.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Gurugram, India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07, 2018</w:t>
      </w:r>
    </w:p>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SCIOinspire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4020" w:type="dxa"/>
            <w:vAlign w:val="bottom"/>
          </w:tcPr>
          <w:p>
            <w:pPr>
              <w:jc w:val="right"/>
              <w:ind w:right="13"/>
              <w:spacing w:after="0"/>
              <w:rPr>
                <w:sz w:val="20"/>
                <w:szCs w:val="20"/>
                <w:color w:val="auto"/>
              </w:rPr>
            </w:pPr>
            <w:r>
              <w:rPr>
                <w:rFonts w:ascii="Arial" w:cs="Arial" w:eastAsia="Arial" w:hAnsi="Arial"/>
                <w:sz w:val="14"/>
                <w:szCs w:val="14"/>
                <w:b w:val="1"/>
                <w:bCs w:val="1"/>
                <w:color w:val="auto"/>
              </w:rPr>
              <w:t>Page(s)</w:t>
            </w:r>
          </w:p>
        </w:tc>
      </w:tr>
      <w:tr>
        <w:trPr>
          <w:trHeight w:val="255"/>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Report of Independent Auditors</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588"/>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Consolidated Financial Statements</w:t>
            </w:r>
          </w:p>
        </w:tc>
        <w:tc>
          <w:tcPr>
            <w:tcW w:w="4020" w:type="dxa"/>
            <w:vAlign w:val="bottom"/>
          </w:tcPr>
          <w:p>
            <w:pPr>
              <w:spacing w:after="0"/>
              <w:rPr>
                <w:sz w:val="24"/>
                <w:szCs w:val="24"/>
                <w:color w:val="auto"/>
              </w:rPr>
            </w:pPr>
          </w:p>
        </w:tc>
      </w:tr>
      <w:tr>
        <w:trPr>
          <w:trHeight w:val="600"/>
        </w:trPr>
        <w:tc>
          <w:tcPr>
            <w:tcW w:w="7400" w:type="dxa"/>
            <w:vAlign w:val="bottom"/>
          </w:tcPr>
          <w:p>
            <w:pPr>
              <w:ind w:left="40"/>
              <w:spacing w:after="0"/>
              <w:rPr>
                <w:sz w:val="20"/>
                <w:szCs w:val="20"/>
                <w:color w:val="auto"/>
              </w:rPr>
            </w:pPr>
            <w:r>
              <w:rPr>
                <w:rFonts w:ascii="Arial" w:cs="Arial" w:eastAsia="Arial" w:hAnsi="Arial"/>
                <w:sz w:val="16"/>
                <w:szCs w:val="16"/>
                <w:color w:val="auto"/>
              </w:rPr>
              <w:t>Balance Sheet</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Statement of Operations and Comprehensive Income (Loss)</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Statement of Changes in Stockholders' Equity</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Statement of Cash Flows</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Notes to Financial Statements</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1736"/>
        </w:trPr>
        <w:tc>
          <w:tcPr>
            <w:tcW w:w="74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SCIOinspire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financial statements of SCIOinspire Holdings, Inc. and its subsidiaries, which comprise the consolidated balance sheets as of December 31, 2017 and 2016, and the related consolidated statements of operations and comprehensive income (loss), changes in stockholders’ equity, and cash flows for the years then ended, and the related notes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consolidated financial statements in accordance with U.S. generally accepted accounting principles; this includes the design, implementation, and maintenance of internal control relevant to the preparation and fair presentation of consolidated financial statements that are free from material misstatement, whether due to fraud or error.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judgement,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SCIOinspire Holdings, Inc. and its subsidiaries as of December 31, 2017 and 2016, and the results of their operations and their cash flows for the years then ended in accordance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Gurugram, India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47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As at</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744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December 31, 2017</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84"/>
        </w:trPr>
        <w:tc>
          <w:tcPr>
            <w:tcW w:w="7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and cash equivalents (Note 6)</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6,088,890</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13,655,743</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on behalf of customers</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2,301,863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1,770,569</w:t>
            </w: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2"/>
              </w:rPr>
              <w:t>Trade accounts receivable, less allowance for doubtful accounts of $200,000 in 2017 and Nil in 2016</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(Note 7)</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6,667,643</w:t>
            </w:r>
          </w:p>
        </w:tc>
        <w:tc>
          <w:tcPr>
            <w:tcW w:w="100" w:type="dxa"/>
            <w:vAlign w:val="bottom"/>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6,270,897</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9,182,623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3,549,754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3,018,289</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1,335,610</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 (Note 8)</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1,340,727</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989,030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28,600,035</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27,571,603</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74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 net (Note 10)</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7,593,295</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5,535,017</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 (Note 11)</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2,890,715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3,894,923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 (Note 12)</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17,511,162</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22,089,837</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(Note 9)</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148,096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83,154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assets (Note 8)</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1,618,233</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1,899,048</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58,361,536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61,073,582</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84"/>
        </w:trPr>
        <w:tc>
          <w:tcPr>
            <w:tcW w:w="7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instalments of long-term debt (Note 17)</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1,980,000</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1,980,000</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416,252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payable</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86,904</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current liabilities (Note 16)</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7,081,095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7,929,938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Subrogation services obligations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2,310,721</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1,788,382</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Overpayment services obligations</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11,885,565</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12,104,753</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84"/>
        </w:trPr>
        <w:tc>
          <w:tcPr>
            <w:tcW w:w="74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 term-debt, excluding current installments (Note 17)</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10,223,249</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12,203,249</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employee benefits</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89,637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239,429</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299,286</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(Note 9)</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478,122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137,268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22,916,002</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24,773,726</w:t>
            </w:r>
          </w:p>
        </w:tc>
      </w:tr>
      <w:tr>
        <w:trPr>
          <w:trHeight w:val="27"/>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958"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2017 and 2016</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As at</w:t>
            </w: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rPr>
              <w:t>As at</w:t>
            </w:r>
          </w:p>
        </w:tc>
      </w:tr>
      <w:tr>
        <w:trPr>
          <w:trHeight w:val="234"/>
        </w:trPr>
        <w:tc>
          <w:tcPr>
            <w:tcW w:w="730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December 31, 2017</w:t>
            </w: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(Note 13 and 14):</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Common stock, $0.001 par value;</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14,617</w:t>
            </w:r>
          </w:p>
        </w:tc>
        <w:tc>
          <w:tcPr>
            <w:tcW w:w="10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14,500</w:t>
            </w: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88,790,205 shares authorized as at December 31, 2017 and December 31, 2016.</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14,616,677 shares issued and outstanding as at December 31, 2017 and 14,499,598 shares issued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outstanding as at December 31, 2016</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A Preference shares, $0.001 par value;</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40,019</w:t>
            </w:r>
          </w:p>
        </w:tc>
        <w:tc>
          <w:tcPr>
            <w:tcW w:w="10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40,019</w:t>
            </w: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40,119,015 preference shares authorized as at December 31, 2017 and December 31, 2016;</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40,019,015 shares issued and outstanding as at December 31, 2017 and December 31, 2016</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(liquidation preference of $10,004,754 over common stock, as at December 31, 2017 and 2016)</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B1 Preference shares, $0.001 par value;</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6,636</w:t>
            </w: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6,636,375 preference shares authorized and issued as at December 31, 2017 and December 31,</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2016; (liquidation preference of $2,183,000 over common stock, as at December 31, 2017 and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B2 Preference shares, $0.001 par value;</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7,441</w:t>
            </w:r>
          </w:p>
        </w:tc>
        <w:tc>
          <w:tcPr>
            <w:tcW w:w="10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7,441</w:t>
            </w: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7,440,868 preference shares authorized and issued as at December 31, 2017 and December 31, 2016</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(liquidation preference of $3,717,000 over common stock as at December 31, 2017 and 2016)</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C Preference shares, $0.001 par value;</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9,434</w:t>
            </w: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9,433,962 preference shares authorized and issued as at December 31, 2017 and December 31,2016</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(liquidation preference of $7,500,000 over common stock as at December 31, 2017 and 2016)</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C1 Preference shares, $0.001 par value;</w:t>
            </w: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903,616 preference shares authorized and issued as at December 31, 2017 and December 31, 2016</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(liquidation preference of $2,000,000 over common stock as at December 31, 2017 and 2016)</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D Preference shares, $0.001 par value;</w:t>
            </w: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1,779,180 preference shares authorized and issued as at December 31, 2017 and 1,779,180 as at</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December 31, 2016 (liquidation preference of $4,000,000 over common stock as at December 31,</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and 2016)</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32,096,370</w:t>
            </w:r>
          </w:p>
        </w:tc>
        <w:tc>
          <w:tcPr>
            <w:tcW w:w="10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31,977,312</w:t>
            </w:r>
          </w:p>
        </w:tc>
      </w:tr>
      <w:tr>
        <w:trPr>
          <w:trHeight w:val="27"/>
        </w:trPr>
        <w:tc>
          <w:tcPr>
            <w:tcW w:w="7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3,749,515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4,886,318</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960" w:type="dxa"/>
            <w:vAlign w:val="bottom"/>
          </w:tcPr>
          <w:p>
            <w:pPr>
              <w:jc w:val="right"/>
              <w:spacing w:after="0"/>
              <w:rPr>
                <w:sz w:val="20"/>
                <w:szCs w:val="20"/>
                <w:color w:val="auto"/>
              </w:rPr>
            </w:pPr>
            <w:r>
              <w:rPr>
                <w:rFonts w:ascii="Arial" w:cs="Arial" w:eastAsia="Arial" w:hAnsi="Arial"/>
                <w:sz w:val="18"/>
                <w:szCs w:val="18"/>
                <w:color w:val="auto"/>
              </w:rPr>
              <w:t>(481,181)</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(644,487)</w:t>
            </w:r>
          </w:p>
        </w:tc>
      </w:tr>
      <w:tr>
        <w:trPr>
          <w:trHeight w:val="27"/>
        </w:trPr>
        <w:tc>
          <w:tcPr>
            <w:tcW w:w="73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35,445,534</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36,299,856</w:t>
            </w:r>
          </w:p>
        </w:tc>
      </w:tr>
      <w:tr>
        <w:trPr>
          <w:trHeight w:val="318"/>
        </w:trPr>
        <w:tc>
          <w:tcPr>
            <w:tcW w:w="730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20)</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324"/>
        </w:trPr>
        <w:tc>
          <w:tcPr>
            <w:tcW w:w="730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5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58,361,536</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61,073,582</w:t>
            </w:r>
          </w:p>
        </w:tc>
      </w:tr>
      <w:tr>
        <w:trPr>
          <w:trHeight w:val="20"/>
        </w:trPr>
        <w:tc>
          <w:tcPr>
            <w:tcW w:w="73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311"/>
        </w:trPr>
        <w:tc>
          <w:tcPr>
            <w:tcW w:w="7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 accompanying Notes to consolidated financial statements.</w:t>
            </w: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r>
      <w:tr>
        <w:trPr>
          <w:trHeight w:val="27"/>
        </w:trPr>
        <w:tc>
          <w:tcPr>
            <w:tcW w:w="73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1391" w:right="239" w:bottom="1440" w:gutter="0" w:footer="0" w:header="0"/>
        </w:sectPr>
      </w:pPr>
    </w:p>
    <w:bookmarkStart w:id="9" w:name="page10"/>
    <w:bookmarkEnd w:id="9"/>
    <w:p>
      <w:pPr>
        <w:jc w:val="center"/>
        <w:spacing w:after="0" w:line="313" w:lineRule="auto"/>
        <w:rPr>
          <w:sz w:val="20"/>
          <w:szCs w:val="20"/>
          <w:color w:val="auto"/>
        </w:rPr>
      </w:pPr>
      <w:r>
        <w:rPr>
          <w:rFonts w:ascii="Arial" w:cs="Arial" w:eastAsia="Arial" w:hAnsi="Arial"/>
          <w:sz w:val="18"/>
          <w:szCs w:val="18"/>
          <w:b w:val="1"/>
          <w:bCs w:val="1"/>
          <w:color w:val="auto"/>
        </w:rPr>
        <w:t xml:space="preserve">SCIOinspire Holdings, Inc. and subsidiaries Consolidated Statements of Operations and Comprehensive Income (Loss) </w:t>
      </w:r>
      <w:r>
        <w:rPr>
          <w:rFonts w:ascii="Arial" w:cs="Arial" w:eastAsia="Arial" w:hAnsi="Arial"/>
          <w:sz w:val="18"/>
          <w:szCs w:val="18"/>
          <w:color w:val="auto"/>
        </w:rPr>
        <w:t>Years ended December 31, 2017 and 2016 (All amounts in United States Dollars except share data and as otherwise stated)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December 31, 2017</w:t>
            </w: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income</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71,847,604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66,873,737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197,818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71,862,114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67,071,555</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employee benefits</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47,590,854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47,293,645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15,170,763</w:t>
            </w:r>
          </w:p>
        </w:tc>
        <w:tc>
          <w:tcPr>
            <w:tcW w:w="1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13,488,125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4,276,722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3,804,304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Compensation to selling shareholders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337,572</w:t>
            </w:r>
          </w:p>
        </w:tc>
        <w:tc>
          <w:tcPr>
            <w:tcW w:w="1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1,126,166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cost (Transaction cost)</w:t>
            </w: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545,946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Goodwill impairment loss (Note 12)</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4,578,675</w:t>
            </w:r>
          </w:p>
        </w:tc>
        <w:tc>
          <w:tcPr>
            <w:tcW w:w="1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871,103</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1,068,302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72,825,689</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67,326,488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(963,575)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(254,933)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expense (Note 9)</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173,228</w:t>
            </w:r>
          </w:p>
        </w:tc>
        <w:tc>
          <w:tcPr>
            <w:tcW w:w="1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46,592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(1,136,803)</w:t>
            </w: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(301,525)</w:t>
            </w:r>
          </w:p>
        </w:tc>
        <w:tc>
          <w:tcPr>
            <w:tcW w:w="0" w:type="dxa"/>
            <w:vAlign w:val="bottom"/>
          </w:tcPr>
          <w:p>
            <w:pPr>
              <w:spacing w:after="0"/>
              <w:rPr>
                <w:sz w:val="1"/>
                <w:szCs w:val="1"/>
                <w:color w:val="auto"/>
              </w:rPr>
            </w:pPr>
          </w:p>
        </w:tc>
      </w:tr>
      <w:tr>
        <w:trPr>
          <w:trHeight w:val="318"/>
        </w:trPr>
        <w:tc>
          <w:tcPr>
            <w:tcW w:w="69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163,306</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(297,178)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income/(loss)</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163,306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(297,178)</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comprehensive loss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(973,497)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(598,703)</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See accompanying Notes to consolidated financial statements.</w:t>
            </w:r>
          </w:p>
        </w:tc>
        <w:tc>
          <w:tcPr>
            <w:tcW w:w="2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26" w:right="239" w:bottom="1440" w:gutter="0" w:footer="0" w:header="0"/>
        </w:sectPr>
      </w:pPr>
    </w:p>
    <w:bookmarkStart w:id="10" w:name="page11"/>
    <w:bookmarkEnd w:id="10"/>
    <w:p>
      <w:pPr>
        <w:ind w:left="4200"/>
        <w:spacing w:after="0"/>
        <w:rPr>
          <w:sz w:val="20"/>
          <w:szCs w:val="20"/>
          <w:color w:val="auto"/>
        </w:rPr>
      </w:pPr>
      <w:r>
        <w:rPr>
          <w:rFonts w:ascii="Arial" w:cs="Arial" w:eastAsia="Arial" w:hAnsi="Arial"/>
          <w:sz w:val="16"/>
          <w:szCs w:val="16"/>
          <w:b w:val="1"/>
          <w:bCs w:val="1"/>
          <w:color w:val="auto"/>
        </w:rPr>
        <w:t>SCIOinspire Holdings, Inc. and subsidiaries</w:t>
      </w:r>
    </w:p>
    <w:p>
      <w:pPr>
        <w:spacing w:after="0" w:line="73"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Statement of Changes in Stockholders' Equity</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Years ended 31 December 2017 and 2016</w:t>
      </w:r>
    </w:p>
    <w:p>
      <w:pPr>
        <w:spacing w:after="0" w:line="73"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(All amounts in United States Dollars except share data and as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241300</wp:posOffset>
            </wp:positionV>
            <wp:extent cx="66636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Series C1</w:t>
            </w: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Series A</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Series B1</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Series B2</w:t>
            </w:r>
          </w:p>
        </w:tc>
        <w:tc>
          <w:tcPr>
            <w:tcW w:w="5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Series C</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Preference</w:t>
            </w:r>
          </w:p>
        </w:tc>
        <w:tc>
          <w:tcPr>
            <w:tcW w:w="5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Series D</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0"/>
              </w:rPr>
              <w:t>Accumulated</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1"/>
              </w:rPr>
              <w:t>Preference Shares</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7"/>
              </w:rPr>
              <w:t>Preference Shares</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7"/>
              </w:rPr>
              <w:t>Preference Shares</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7"/>
              </w:rPr>
              <w:t>Preference Shares</w:t>
            </w:r>
          </w:p>
        </w:tc>
        <w:tc>
          <w:tcPr>
            <w:tcW w:w="5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Shares</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7"/>
              </w:rPr>
              <w:t>Preference Shares</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1"/>
              </w:rPr>
              <w:t>Additional</w:t>
            </w:r>
          </w:p>
        </w:tc>
        <w:tc>
          <w:tcPr>
            <w:tcW w:w="8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other</w:t>
            </w:r>
          </w:p>
        </w:tc>
        <w:tc>
          <w:tcPr>
            <w:tcW w:w="660" w:type="dxa"/>
            <w:vAlign w:val="bottom"/>
          </w:tcPr>
          <w:p>
            <w:pPr>
              <w:spacing w:after="0"/>
              <w:rPr>
                <w:sz w:val="11"/>
                <w:szCs w:val="11"/>
                <w:color w:val="auto"/>
              </w:rPr>
            </w:pPr>
          </w:p>
        </w:tc>
        <w:tc>
          <w:tcPr>
            <w:tcW w:w="8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20" w:type="dxa"/>
            <w:vAlign w:val="bottom"/>
            <w:gridSpan w:val="2"/>
            <w:vMerge w:val="restart"/>
          </w:tcPr>
          <w:p>
            <w:pPr>
              <w:jc w:val="right"/>
              <w:ind w:right="17"/>
              <w:spacing w:after="0" w:line="135" w:lineRule="exact"/>
              <w:rPr>
                <w:sz w:val="20"/>
                <w:szCs w:val="20"/>
                <w:color w:val="auto"/>
              </w:rPr>
            </w:pPr>
            <w:r>
              <w:rPr>
                <w:rFonts w:ascii="Arial" w:cs="Arial" w:eastAsia="Arial" w:hAnsi="Arial"/>
                <w:sz w:val="13"/>
                <w:szCs w:val="13"/>
                <w:b w:val="1"/>
                <w:bCs w:val="1"/>
                <w:color w:val="auto"/>
              </w:rPr>
              <w:t>paid in comprehensive</w:t>
            </w:r>
          </w:p>
        </w:tc>
        <w:tc>
          <w:tcPr>
            <w:tcW w:w="660" w:type="dxa"/>
            <w:vAlign w:val="bottom"/>
            <w:vMerge w:val="restart"/>
          </w:tcPr>
          <w:p>
            <w:pPr>
              <w:jc w:val="right"/>
              <w:ind w:right="17"/>
              <w:spacing w:after="0" w:line="135" w:lineRule="exact"/>
              <w:rPr>
                <w:sz w:val="20"/>
                <w:szCs w:val="20"/>
                <w:color w:val="auto"/>
              </w:rPr>
            </w:pPr>
            <w:r>
              <w:rPr>
                <w:rFonts w:ascii="Arial" w:cs="Arial" w:eastAsia="Arial" w:hAnsi="Arial"/>
                <w:sz w:val="13"/>
                <w:szCs w:val="13"/>
                <w:b w:val="1"/>
                <w:bCs w:val="1"/>
                <w:color w:val="auto"/>
              </w:rPr>
              <w:t>Retained</w:t>
            </w:r>
          </w:p>
        </w:tc>
        <w:tc>
          <w:tcPr>
            <w:tcW w:w="840" w:type="dxa"/>
            <w:vAlign w:val="bottom"/>
            <w:vMerge w:val="restart"/>
          </w:tcPr>
          <w:p>
            <w:pPr>
              <w:jc w:val="right"/>
              <w:ind w:right="17"/>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63"/>
        </w:trPr>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900" w:type="dxa"/>
            <w:vAlign w:val="bottom"/>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Shares Amount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capital</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(loss)</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earnings</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1" w:lineRule="exact"/>
              <w:rPr>
                <w:sz w:val="20"/>
                <w:szCs w:val="20"/>
                <w:color w:val="auto"/>
              </w:rPr>
            </w:pPr>
            <w:r>
              <w:rPr>
                <w:rFonts w:ascii="Arial" w:cs="Arial" w:eastAsia="Arial" w:hAnsi="Arial"/>
                <w:sz w:val="13"/>
                <w:szCs w:val="13"/>
                <w:b w:val="1"/>
                <w:bCs w:val="1"/>
                <w:color w:val="auto"/>
              </w:rPr>
              <w:t>Balance at</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January 01,</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00" w:type="dxa"/>
            <w:vAlign w:val="bottom"/>
          </w:tcPr>
          <w:p>
            <w:pPr>
              <w:ind w:left="20"/>
              <w:spacing w:after="0"/>
              <w:rPr>
                <w:sz w:val="20"/>
                <w:szCs w:val="20"/>
                <w:color w:val="auto"/>
              </w:rPr>
            </w:pPr>
            <w:r>
              <w:rPr>
                <w:rFonts w:ascii="Arial" w:cs="Arial" w:eastAsia="Arial" w:hAnsi="Arial"/>
                <w:sz w:val="13"/>
                <w:szCs w:val="13"/>
                <w:b w:val="1"/>
                <w:bCs w:val="1"/>
                <w:color w:val="auto"/>
              </w:rPr>
              <w:t>2016</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89"/>
              </w:rPr>
              <w:t>40,019,015</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40,019</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7,440,868</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3"/>
              </w:rPr>
              <w:t>9,433,962</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903,616</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904</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2"/>
              </w:rPr>
              <w:t>13,278,810</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5"/>
              </w:rPr>
              <w:t>13,280</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25,406,817</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(347,309)</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5,187,843</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30,325,064</w:t>
            </w: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w:t>
            </w: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1,033,470</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2,498,967</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rPr>
              <w:t>Issue of</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color w:val="auto"/>
              </w:rPr>
              <w:t>preference</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color w:val="auto"/>
              </w:rPr>
              <w:t>shares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color w:val="auto"/>
                <w:w w:val="94"/>
              </w:rPr>
              <w:t>(net of $ 34,263</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20"/>
              <w:spacing w:after="0"/>
              <w:rPr>
                <w:sz w:val="20"/>
                <w:szCs w:val="20"/>
                <w:color w:val="auto"/>
              </w:rPr>
            </w:pPr>
            <w:r>
              <w:rPr>
                <w:rFonts w:ascii="Arial" w:cs="Arial" w:eastAsia="Arial" w:hAnsi="Arial"/>
                <w:sz w:val="13"/>
                <w:szCs w:val="13"/>
                <w:color w:val="auto"/>
              </w:rPr>
              <w:t>issue cost)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1,779,180</w:t>
            </w:r>
          </w:p>
        </w:tc>
        <w:tc>
          <w:tcPr>
            <w:tcW w:w="500" w:type="dxa"/>
            <w:vAlign w:val="bottom"/>
          </w:tcPr>
          <w:p>
            <w:pPr>
              <w:jc w:val="right"/>
              <w:spacing w:after="0"/>
              <w:rPr>
                <w:sz w:val="20"/>
                <w:szCs w:val="20"/>
                <w:color w:val="auto"/>
              </w:rPr>
            </w:pPr>
            <w:r>
              <w:rPr>
                <w:rFonts w:ascii="Arial" w:cs="Arial" w:eastAsia="Arial" w:hAnsi="Arial"/>
                <w:sz w:val="13"/>
                <w:szCs w:val="13"/>
                <w:color w:val="auto"/>
              </w:rPr>
              <w:t>1,779</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3,963,946</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3,965,725</w:t>
            </w: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w:t>
            </w: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187,318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62,978</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63,165</w:t>
            </w: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rPr>
              <w:t>Stock</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color w:val="auto"/>
              </w:rPr>
              <w:t>compensation</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20"/>
              <w:spacing w:after="0"/>
              <w:rPr>
                <w:sz w:val="20"/>
                <w:szCs w:val="20"/>
                <w:color w:val="auto"/>
              </w:rPr>
            </w:pPr>
            <w:r>
              <w:rPr>
                <w:rFonts w:ascii="Arial" w:cs="Arial" w:eastAsia="Arial" w:hAnsi="Arial"/>
                <w:sz w:val="13"/>
                <w:szCs w:val="13"/>
                <w:color w:val="auto"/>
              </w:rPr>
              <w:t>expense</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44,604</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44,604</w:t>
            </w:r>
          </w:p>
        </w:tc>
        <w:tc>
          <w:tcPr>
            <w:tcW w:w="0" w:type="dxa"/>
            <w:vAlign w:val="bottom"/>
          </w:tcPr>
          <w:p>
            <w:pPr>
              <w:spacing w:after="0"/>
              <w:rPr>
                <w:sz w:val="1"/>
                <w:szCs w:val="1"/>
                <w:color w:val="auto"/>
              </w:rPr>
            </w:pPr>
          </w:p>
        </w:tc>
      </w:tr>
      <w:tr>
        <w:trPr>
          <w:trHeight w:val="224"/>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Loss for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(301,525)</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(301,525)</w:t>
            </w: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rPr>
              <w:t>Foreign</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color w:val="auto"/>
              </w:rPr>
              <w:t>currency</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color w:val="auto"/>
                <w:w w:val="99"/>
              </w:rPr>
              <w:t>translation loss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20"/>
              <w:spacing w:after="0"/>
              <w:rPr>
                <w:sz w:val="20"/>
                <w:szCs w:val="20"/>
                <w:color w:val="auto"/>
              </w:rPr>
            </w:pPr>
            <w:r>
              <w:rPr>
                <w:rFonts w:ascii="Arial" w:cs="Arial" w:eastAsia="Arial" w:hAnsi="Arial"/>
                <w:sz w:val="13"/>
                <w:szCs w:val="13"/>
                <w:color w:val="auto"/>
              </w:rPr>
              <w:t>net of tax $ Nil</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(297,178)</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(297,178)</w:t>
            </w:r>
          </w:p>
        </w:tc>
        <w:tc>
          <w:tcPr>
            <w:tcW w:w="0" w:type="dxa"/>
            <w:vAlign w:val="bottom"/>
          </w:tcPr>
          <w:p>
            <w:pPr>
              <w:spacing w:after="0"/>
              <w:rPr>
                <w:sz w:val="1"/>
                <w:szCs w:val="1"/>
                <w:color w:val="auto"/>
              </w:rPr>
            </w:pPr>
          </w:p>
        </w:tc>
      </w:tr>
      <w:tr>
        <w:trPr>
          <w:trHeight w:val="152"/>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8"/>
              </w:rPr>
              <w:t>Comprehensive</w:t>
            </w: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loss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1"/>
        </w:trPr>
        <w:tc>
          <w:tcPr>
            <w:tcW w:w="9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Balance at</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40,019,015</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40,019</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7,440,868</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9,433,962</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903,616</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904</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1,779,180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1,779</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14,499,598</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14,500</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31,977,312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(644,487)</w:t>
            </w: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96"/>
              </w:rPr>
              <w:t>4,886,318</w:t>
            </w: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36,299,856</w:t>
            </w:r>
          </w:p>
        </w:tc>
        <w:tc>
          <w:tcPr>
            <w:tcW w:w="0" w:type="dxa"/>
            <w:vAlign w:val="bottom"/>
          </w:tcPr>
          <w:p>
            <w:pPr>
              <w:spacing w:after="0"/>
              <w:rPr>
                <w:sz w:val="1"/>
                <w:szCs w:val="1"/>
                <w:color w:val="auto"/>
              </w:rPr>
            </w:pPr>
          </w:p>
        </w:tc>
      </w:tr>
      <w:tr>
        <w:trPr>
          <w:trHeight w:val="166"/>
        </w:trPr>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2016</w:t>
            </w: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9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Balance at</w:t>
            </w: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January 01,</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2017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40,019,015</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40,019</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7,440,868</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9,433,962</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903,616</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904</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1,779,180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1,779</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14,499,598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14,500</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31,977,312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(644,487)</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96"/>
              </w:rPr>
              <w:t>4,886,318</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36,299,856</w:t>
            </w: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rPr>
              <w:t>Issue of</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23,862</w:t>
            </w:r>
          </w:p>
        </w:tc>
        <w:tc>
          <w:tcPr>
            <w:tcW w:w="460" w:type="dxa"/>
            <w:vAlign w:val="bottom"/>
          </w:tcPr>
          <w:p>
            <w:pPr>
              <w:jc w:val="right"/>
              <w:spacing w:after="0"/>
              <w:rPr>
                <w:sz w:val="20"/>
                <w:szCs w:val="20"/>
                <w:color w:val="auto"/>
              </w:rPr>
            </w:pPr>
            <w:r>
              <w:rPr>
                <w:rFonts w:ascii="Arial" w:cs="Arial" w:eastAsia="Arial" w:hAnsi="Arial"/>
                <w:sz w:val="13"/>
                <w:szCs w:val="13"/>
                <w:color w:val="auto"/>
              </w:rPr>
              <w:t>24</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53,623</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53,647</w:t>
            </w: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w:t>
            </w: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preference</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rPr>
              <w:t>Exercise of</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00" w:type="dxa"/>
            <w:vAlign w:val="bottom"/>
          </w:tcPr>
          <w:p>
            <w:pPr>
              <w:ind w:left="20"/>
              <w:spacing w:after="0"/>
              <w:rPr>
                <w:sz w:val="20"/>
                <w:szCs w:val="20"/>
                <w:color w:val="auto"/>
              </w:rPr>
            </w:pPr>
            <w:r>
              <w:rPr>
                <w:rFonts w:ascii="Arial" w:cs="Arial" w:eastAsia="Arial" w:hAnsi="Arial"/>
                <w:sz w:val="13"/>
                <w:szCs w:val="13"/>
                <w:color w:val="auto"/>
              </w:rPr>
              <w:t>stock option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93,217</w:t>
            </w:r>
          </w:p>
        </w:tc>
        <w:tc>
          <w:tcPr>
            <w:tcW w:w="46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24,379</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24,472</w:t>
            </w: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w:t>
            </w: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compensation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41,056</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41,056</w:t>
            </w:r>
          </w:p>
        </w:tc>
        <w:tc>
          <w:tcPr>
            <w:tcW w:w="0" w:type="dxa"/>
            <w:vAlign w:val="bottom"/>
          </w:tcPr>
          <w:p>
            <w:pPr>
              <w:spacing w:after="0"/>
              <w:rPr>
                <w:sz w:val="1"/>
                <w:szCs w:val="1"/>
                <w:color w:val="auto"/>
              </w:rPr>
            </w:pPr>
          </w:p>
        </w:tc>
      </w:tr>
      <w:tr>
        <w:trPr>
          <w:trHeight w:val="208"/>
        </w:trPr>
        <w:tc>
          <w:tcPr>
            <w:tcW w:w="900" w:type="dxa"/>
            <w:vAlign w:val="bottom"/>
          </w:tcPr>
          <w:p>
            <w:pPr>
              <w:ind w:left="20"/>
              <w:spacing w:after="0"/>
              <w:rPr>
                <w:sz w:val="20"/>
                <w:szCs w:val="20"/>
                <w:color w:val="auto"/>
              </w:rPr>
            </w:pPr>
            <w:r>
              <w:rPr>
                <w:rFonts w:ascii="Arial" w:cs="Arial" w:eastAsia="Arial" w:hAnsi="Arial"/>
                <w:sz w:val="13"/>
                <w:szCs w:val="13"/>
                <w:color w:val="auto"/>
                <w:w w:val="88"/>
              </w:rPr>
              <w:t>Loss for the year</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3"/>
              </w:rPr>
              <w:t>(1,136,803)</w:t>
            </w:r>
          </w:p>
        </w:tc>
        <w:tc>
          <w:tcPr>
            <w:tcW w:w="840" w:type="dxa"/>
            <w:vAlign w:val="bottom"/>
          </w:tcPr>
          <w:p>
            <w:pPr>
              <w:jc w:val="right"/>
              <w:spacing w:after="0"/>
              <w:rPr>
                <w:sz w:val="20"/>
                <w:szCs w:val="20"/>
                <w:color w:val="auto"/>
              </w:rPr>
            </w:pPr>
            <w:r>
              <w:rPr>
                <w:rFonts w:ascii="Arial" w:cs="Arial" w:eastAsia="Arial" w:hAnsi="Arial"/>
                <w:sz w:val="13"/>
                <w:szCs w:val="13"/>
                <w:color w:val="auto"/>
              </w:rPr>
              <w:t>(1,136,803)</w:t>
            </w:r>
          </w:p>
        </w:tc>
        <w:tc>
          <w:tcPr>
            <w:tcW w:w="0" w:type="dxa"/>
            <w:vAlign w:val="bottom"/>
          </w:tcPr>
          <w:p>
            <w:pPr>
              <w:spacing w:after="0"/>
              <w:rPr>
                <w:sz w:val="1"/>
                <w:szCs w:val="1"/>
                <w:color w:val="auto"/>
              </w:rPr>
            </w:pP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currency</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7"/>
              </w:rPr>
              <w:t>translation gain</w:t>
            </w: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of tax $ Nil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163,306</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163,306</w:t>
            </w:r>
          </w:p>
        </w:tc>
        <w:tc>
          <w:tcPr>
            <w:tcW w:w="0" w:type="dxa"/>
            <w:vAlign w:val="bottom"/>
          </w:tcPr>
          <w:p>
            <w:pPr>
              <w:spacing w:after="0"/>
              <w:rPr>
                <w:sz w:val="1"/>
                <w:szCs w:val="1"/>
                <w:color w:val="auto"/>
              </w:rPr>
            </w:pPr>
          </w:p>
        </w:tc>
      </w:tr>
      <w:tr>
        <w:trPr>
          <w:trHeight w:val="144"/>
        </w:trPr>
        <w:tc>
          <w:tcPr>
            <w:tcW w:w="900" w:type="dxa"/>
            <w:vAlign w:val="bottom"/>
          </w:tcPr>
          <w:p>
            <w:pPr>
              <w:ind w:left="20"/>
              <w:spacing w:after="0" w:line="144" w:lineRule="exact"/>
              <w:rPr>
                <w:sz w:val="20"/>
                <w:szCs w:val="20"/>
                <w:color w:val="auto"/>
              </w:rPr>
            </w:pPr>
            <w:r>
              <w:rPr>
                <w:rFonts w:ascii="Arial" w:cs="Arial" w:eastAsia="Arial" w:hAnsi="Arial"/>
                <w:sz w:val="13"/>
                <w:szCs w:val="13"/>
                <w:b w:val="1"/>
                <w:bCs w:val="1"/>
                <w:color w:val="auto"/>
                <w:w w:val="88"/>
              </w:rPr>
              <w:t>Comprehensive</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00" w:type="dxa"/>
            <w:vAlign w:val="bottom"/>
          </w:tcPr>
          <w:p>
            <w:pPr>
              <w:ind w:left="20"/>
              <w:spacing w:after="0"/>
              <w:rPr>
                <w:sz w:val="20"/>
                <w:szCs w:val="20"/>
                <w:color w:val="auto"/>
              </w:rPr>
            </w:pPr>
            <w:r>
              <w:rPr>
                <w:rFonts w:ascii="Arial" w:cs="Arial" w:eastAsia="Arial" w:hAnsi="Arial"/>
                <w:sz w:val="13"/>
                <w:szCs w:val="13"/>
                <w:b w:val="1"/>
                <w:bCs w:val="1"/>
                <w:color w:val="auto"/>
              </w:rPr>
              <w:t>loss</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12"/>
        </w:trPr>
        <w:tc>
          <w:tcPr>
            <w:tcW w:w="9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0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Balance at</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40,019,015</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40,019</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9"/>
              </w:rPr>
              <w:t>7,440,868</w:t>
            </w: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9,433,962</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903,616</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904</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1,779,180</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1,779</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14,616,677</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14,617</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9"/>
              </w:rPr>
              <w:t>32,096,370</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(481,181)</w:t>
            </w: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96"/>
              </w:rPr>
              <w:t>3,749,515</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35,445,534</w:t>
            </w:r>
          </w:p>
        </w:tc>
        <w:tc>
          <w:tcPr>
            <w:tcW w:w="0" w:type="dxa"/>
            <w:vAlign w:val="bottom"/>
          </w:tcPr>
          <w:p>
            <w:pPr>
              <w:spacing w:after="0"/>
              <w:rPr>
                <w:sz w:val="1"/>
                <w:szCs w:val="1"/>
                <w:color w:val="auto"/>
              </w:rPr>
            </w:pPr>
          </w:p>
        </w:tc>
      </w:tr>
      <w:tr>
        <w:trPr>
          <w:trHeight w:val="206"/>
        </w:trPr>
        <w:tc>
          <w:tcPr>
            <w:tcW w:w="9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2017</w:t>
            </w:r>
          </w:p>
        </w:tc>
        <w:tc>
          <w:tcPr>
            <w:tcW w:w="6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accompanying Notes to consolidated financial</w:t>
      </w:r>
    </w:p>
    <w:p>
      <w:pPr>
        <w:ind w:left="20"/>
        <w:spacing w:after="0"/>
        <w:rPr>
          <w:sz w:val="20"/>
          <w:szCs w:val="20"/>
          <w:color w:val="auto"/>
        </w:rPr>
      </w:pPr>
      <w:r>
        <w:rPr>
          <w:rFonts w:ascii="Arial" w:cs="Arial" w:eastAsia="Arial" w:hAnsi="Arial"/>
          <w:sz w:val="14"/>
          <w:szCs w:val="14"/>
          <w:color w:val="auto"/>
        </w:rPr>
        <w:t>statements.</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60" w:top="5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SCIOinspire Holdings, Inc.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Years ended December 31, 2017 and 2016</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 amounts in United States Dollars except share data and as otherwise 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580" w:type="dxa"/>
            <w:vAlign w:val="bottom"/>
          </w:tcPr>
          <w:p>
            <w:pPr>
              <w:jc w:val="right"/>
              <w:ind w:right="28"/>
              <w:spacing w:after="0"/>
              <w:rPr>
                <w:sz w:val="20"/>
                <w:szCs w:val="20"/>
                <w:color w:val="auto"/>
              </w:rPr>
            </w:pPr>
            <w:r>
              <w:rPr>
                <w:rFonts w:ascii="Arial" w:cs="Arial" w:eastAsia="Arial" w:hAnsi="Arial"/>
                <w:sz w:val="14"/>
                <w:szCs w:val="14"/>
                <w:b w:val="1"/>
                <w:bCs w:val="1"/>
                <w:color w:val="auto"/>
              </w:rPr>
              <w:t>Year ended</w:t>
            </w:r>
          </w:p>
        </w:tc>
      </w:tr>
      <w:tr>
        <w:trPr>
          <w:trHeight w:val="276"/>
        </w:trPr>
        <w:tc>
          <w:tcPr>
            <w:tcW w:w="8040" w:type="dxa"/>
            <w:vAlign w:val="bottom"/>
          </w:tcPr>
          <w:p>
            <w:pPr>
              <w:spacing w:after="0"/>
              <w:rPr>
                <w:sz w:val="23"/>
                <w:szCs w:val="23"/>
                <w:color w:val="auto"/>
              </w:rPr>
            </w:pPr>
          </w:p>
        </w:tc>
        <w:tc>
          <w:tcPr>
            <w:tcW w:w="1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2016</w:t>
            </w:r>
          </w:p>
        </w:tc>
      </w:tr>
      <w:tr>
        <w:trPr>
          <w:trHeight w:val="588"/>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Cash flows provided by operating activities: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6"/>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(1,136,803)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(301,525)</w:t>
            </w:r>
          </w:p>
        </w:tc>
      </w:tr>
      <w:tr>
        <w:trPr>
          <w:trHeight w:val="264"/>
        </w:trPr>
        <w:tc>
          <w:tcPr>
            <w:tcW w:w="8040" w:type="dxa"/>
            <w:vAlign w:val="bottom"/>
          </w:tcPr>
          <w:p>
            <w:pPr>
              <w:ind w:left="1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8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3,272,513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2,800,761</w:t>
            </w:r>
          </w:p>
        </w:tc>
      </w:tr>
      <w:tr>
        <w:trPr>
          <w:trHeight w:val="264"/>
        </w:trPr>
        <w:tc>
          <w:tcPr>
            <w:tcW w:w="8040" w:type="dxa"/>
            <w:vAlign w:val="bottom"/>
          </w:tcPr>
          <w:p>
            <w:pPr>
              <w:ind w:left="500"/>
              <w:spacing w:after="0"/>
              <w:rPr>
                <w:sz w:val="20"/>
                <w:szCs w:val="20"/>
                <w:color w:val="auto"/>
              </w:rPr>
            </w:pPr>
            <w:r>
              <w:rPr>
                <w:rFonts w:ascii="Arial" w:cs="Arial" w:eastAsia="Arial" w:hAnsi="Arial"/>
                <w:sz w:val="14"/>
                <w:szCs w:val="14"/>
                <w:color w:val="auto"/>
              </w:rPr>
              <w:t>Amortization</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1,004,209</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1,003,543</w:t>
            </w:r>
          </w:p>
        </w:tc>
      </w:tr>
      <w:tr>
        <w:trPr>
          <w:trHeight w:val="276"/>
        </w:trPr>
        <w:tc>
          <w:tcPr>
            <w:tcW w:w="8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Impairment loss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4,578,675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040" w:type="dxa"/>
            <w:vAlign w:val="bottom"/>
          </w:tcPr>
          <w:p>
            <w:pPr>
              <w:ind w:left="500"/>
              <w:spacing w:after="0"/>
              <w:rPr>
                <w:sz w:val="20"/>
                <w:szCs w:val="20"/>
                <w:color w:val="auto"/>
              </w:rPr>
            </w:pPr>
            <w:r>
              <w:rPr>
                <w:rFonts w:ascii="Arial" w:cs="Arial" w:eastAsia="Arial" w:hAnsi="Arial"/>
                <w:sz w:val="14"/>
                <w:szCs w:val="14"/>
                <w:color w:val="auto"/>
              </w:rPr>
              <w:t>Deferred income tax expense/(benefit)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283,154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(425,507)</w:t>
            </w:r>
          </w:p>
        </w:tc>
      </w:tr>
      <w:tr>
        <w:trPr>
          <w:trHeight w:val="276"/>
        </w:trPr>
        <w:tc>
          <w:tcPr>
            <w:tcW w:w="8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Allowance for doubtful accounts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040" w:type="dxa"/>
            <w:vAlign w:val="bottom"/>
          </w:tcPr>
          <w:p>
            <w:pPr>
              <w:ind w:left="500"/>
              <w:spacing w:after="0"/>
              <w:rPr>
                <w:sz w:val="20"/>
                <w:szCs w:val="20"/>
                <w:color w:val="auto"/>
              </w:rPr>
            </w:pPr>
            <w:r>
              <w:rPr>
                <w:rFonts w:ascii="Arial" w:cs="Arial" w:eastAsia="Arial" w:hAnsi="Arial"/>
                <w:sz w:val="14"/>
                <w:szCs w:val="14"/>
                <w:color w:val="auto"/>
              </w:rPr>
              <w:t>Stock compensation expense</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41,056</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44,604</w:t>
            </w:r>
          </w:p>
        </w:tc>
      </w:tr>
      <w:tr>
        <w:trPr>
          <w:trHeight w:val="276"/>
        </w:trPr>
        <w:tc>
          <w:tcPr>
            <w:tcW w:w="8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Accounts receivable</w:t>
            </w:r>
          </w:p>
        </w:tc>
        <w:tc>
          <w:tcPr>
            <w:tcW w:w="1700" w:type="dxa"/>
            <w:vAlign w:val="bottom"/>
          </w:tcPr>
          <w:p>
            <w:pPr>
              <w:jc w:val="right"/>
              <w:spacing w:after="0"/>
              <w:rPr>
                <w:sz w:val="20"/>
                <w:szCs w:val="20"/>
                <w:color w:val="auto"/>
              </w:rPr>
            </w:pPr>
            <w:r>
              <w:rPr>
                <w:rFonts w:ascii="Arial" w:cs="Arial" w:eastAsia="Arial" w:hAnsi="Arial"/>
                <w:sz w:val="14"/>
                <w:szCs w:val="14"/>
                <w:color w:val="auto"/>
              </w:rPr>
              <w:t>(501,161)</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1,301,233</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Unbilled revenue</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(5,632,869)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(685,872)</w:t>
            </w: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Other assets</w:t>
            </w:r>
          </w:p>
        </w:tc>
        <w:tc>
          <w:tcPr>
            <w:tcW w:w="1700" w:type="dxa"/>
            <w:vAlign w:val="bottom"/>
          </w:tcPr>
          <w:p>
            <w:pPr>
              <w:jc w:val="right"/>
              <w:spacing w:after="0"/>
              <w:rPr>
                <w:sz w:val="20"/>
                <w:szCs w:val="20"/>
                <w:color w:val="auto"/>
              </w:rPr>
            </w:pPr>
            <w:r>
              <w:rPr>
                <w:rFonts w:ascii="Arial" w:cs="Arial" w:eastAsia="Arial" w:hAnsi="Arial"/>
                <w:sz w:val="14"/>
                <w:szCs w:val="14"/>
                <w:color w:val="auto"/>
              </w:rPr>
              <w:t>(3,540,983)</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(2,799,663)</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Income taxes receivable (payable)</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1,769,583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355,836</w:t>
            </w: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Accounts payable</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377,212</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Accrued and other liabilities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523,849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541,032</w:t>
            </w: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Cash received on behalf of customers</w:t>
            </w:r>
          </w:p>
        </w:tc>
        <w:tc>
          <w:tcPr>
            <w:tcW w:w="1700" w:type="dxa"/>
            <w:vAlign w:val="bottom"/>
          </w:tcPr>
          <w:p>
            <w:pPr>
              <w:jc w:val="right"/>
              <w:spacing w:after="0"/>
              <w:rPr>
                <w:sz w:val="20"/>
                <w:szCs w:val="20"/>
                <w:color w:val="auto"/>
              </w:rPr>
            </w:pPr>
            <w:r>
              <w:rPr>
                <w:rFonts w:ascii="Arial" w:cs="Arial" w:eastAsia="Arial" w:hAnsi="Arial"/>
                <w:sz w:val="14"/>
                <w:szCs w:val="14"/>
                <w:color w:val="auto"/>
              </w:rPr>
              <w:t>(531,294)</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1,252,937</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Subrogation services obligations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522,339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(1,239,890)</w:t>
            </w:r>
          </w:p>
        </w:tc>
      </w:tr>
      <w:tr>
        <w:trPr>
          <w:trHeight w:val="264"/>
        </w:trPr>
        <w:tc>
          <w:tcPr>
            <w:tcW w:w="8040" w:type="dxa"/>
            <w:vAlign w:val="bottom"/>
            <w:tcBorders>
              <w:bottom w:val="single" w:sz="8" w:color="CCEEFF"/>
            </w:tcBorders>
          </w:tcPr>
          <w:p>
            <w:pPr>
              <w:ind w:left="860"/>
              <w:spacing w:after="0"/>
              <w:rPr>
                <w:sz w:val="20"/>
                <w:szCs w:val="20"/>
                <w:color w:val="auto"/>
              </w:rPr>
            </w:pPr>
            <w:r>
              <w:rPr>
                <w:rFonts w:ascii="Arial" w:cs="Arial" w:eastAsia="Arial" w:hAnsi="Arial"/>
                <w:sz w:val="14"/>
                <w:szCs w:val="14"/>
                <w:color w:val="auto"/>
              </w:rPr>
              <w:t>Overpayment services obligations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7,106</w:t>
            </w:r>
          </w:p>
        </w:tc>
      </w:tr>
      <w:tr>
        <w:trPr>
          <w:trHeight w:val="25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Net cash (used in) / provided by operating activities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849,802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2,231,807</w:t>
            </w:r>
          </w:p>
        </w:tc>
      </w:tr>
      <w:tr>
        <w:trPr>
          <w:trHeight w:val="324"/>
        </w:trPr>
        <w:tc>
          <w:tcPr>
            <w:tcW w:w="8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4"/>
        </w:trPr>
        <w:tc>
          <w:tcPr>
            <w:tcW w:w="8040" w:type="dxa"/>
            <w:vAlign w:val="bottom"/>
          </w:tcPr>
          <w:p>
            <w:pPr>
              <w:ind w:left="160"/>
              <w:spacing w:after="0"/>
              <w:rPr>
                <w:sz w:val="20"/>
                <w:szCs w:val="20"/>
                <w:color w:val="auto"/>
              </w:rPr>
            </w:pPr>
            <w:r>
              <w:rPr>
                <w:rFonts w:ascii="Arial" w:cs="Arial" w:eastAsia="Arial" w:hAnsi="Arial"/>
                <w:sz w:val="14"/>
                <w:szCs w:val="14"/>
                <w:color w:val="auto"/>
              </w:rPr>
              <w:t>Acquisition of business, net of cash</w:t>
            </w:r>
          </w:p>
        </w:tc>
        <w:tc>
          <w:tcPr>
            <w:tcW w:w="1700" w:type="dxa"/>
            <w:vAlign w:val="bottom"/>
          </w:tcPr>
          <w:p>
            <w:pPr>
              <w:jc w:val="right"/>
              <w:spacing w:after="0"/>
              <w:rPr>
                <w:sz w:val="20"/>
                <w:szCs w:val="20"/>
                <w:color w:val="auto"/>
              </w:rPr>
            </w:pPr>
            <w:r>
              <w:rPr>
                <w:rFonts w:ascii="Arial" w:cs="Arial" w:eastAsia="Arial" w:hAnsi="Arial"/>
                <w:sz w:val="14"/>
                <w:szCs w:val="14"/>
                <w:color w:val="auto"/>
              </w:rPr>
              <w:t>(1,263,594)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(7,045,719)</w:t>
            </w:r>
          </w:p>
        </w:tc>
      </w:tr>
      <w:tr>
        <w:trPr>
          <w:trHeight w:val="270"/>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(5,272,404)</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(2,354,565)</w:t>
            </w:r>
          </w:p>
        </w:tc>
      </w:tr>
      <w:tr>
        <w:trPr>
          <w:trHeight w:val="250"/>
        </w:trPr>
        <w:tc>
          <w:tcPr>
            <w:tcW w:w="8040" w:type="dxa"/>
            <w:vAlign w:val="bottom"/>
          </w:tcPr>
          <w:p>
            <w:pPr>
              <w:ind w:left="860"/>
              <w:spacing w:after="0"/>
              <w:rPr>
                <w:sz w:val="20"/>
                <w:szCs w:val="20"/>
                <w:color w:val="auto"/>
              </w:rPr>
            </w:pPr>
            <w:r>
              <w:rPr>
                <w:rFonts w:ascii="Arial" w:cs="Arial" w:eastAsia="Arial" w:hAnsi="Arial"/>
                <w:sz w:val="14"/>
                <w:szCs w:val="14"/>
                <w:b w:val="1"/>
                <w:bCs w:val="1"/>
                <w:color w:val="auto"/>
              </w:rPr>
              <w:t>Net cash used in investing activities</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(6,535,998)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(9,400,284)</w:t>
            </w:r>
          </w:p>
        </w:tc>
      </w:tr>
      <w:tr>
        <w:trPr>
          <w:trHeight w:val="330"/>
        </w:trPr>
        <w:tc>
          <w:tcPr>
            <w:tcW w:w="80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long-term debt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5,190,000</w:t>
            </w:r>
          </w:p>
        </w:tc>
      </w:tr>
      <w:tr>
        <w:trPr>
          <w:trHeight w:val="264"/>
        </w:trPr>
        <w:tc>
          <w:tcPr>
            <w:tcW w:w="8040" w:type="dxa"/>
            <w:vAlign w:val="bottom"/>
          </w:tcPr>
          <w:p>
            <w:pPr>
              <w:ind w:left="160"/>
              <w:spacing w:after="0"/>
              <w:rPr>
                <w:sz w:val="20"/>
                <w:szCs w:val="20"/>
                <w:color w:val="auto"/>
              </w:rPr>
            </w:pPr>
            <w:r>
              <w:rPr>
                <w:rFonts w:ascii="Arial" w:cs="Arial" w:eastAsia="Arial" w:hAnsi="Arial"/>
                <w:sz w:val="14"/>
                <w:szCs w:val="14"/>
                <w:color w:val="auto"/>
              </w:rPr>
              <w:t>Principal payments on long-term debt</w:t>
            </w:r>
          </w:p>
        </w:tc>
        <w:tc>
          <w:tcPr>
            <w:tcW w:w="1700" w:type="dxa"/>
            <w:vAlign w:val="bottom"/>
          </w:tcPr>
          <w:p>
            <w:pPr>
              <w:jc w:val="right"/>
              <w:spacing w:after="0"/>
              <w:rPr>
                <w:sz w:val="20"/>
                <w:szCs w:val="20"/>
                <w:color w:val="auto"/>
              </w:rPr>
            </w:pPr>
            <w:r>
              <w:rPr>
                <w:rFonts w:ascii="Arial" w:cs="Arial" w:eastAsia="Arial" w:hAnsi="Arial"/>
                <w:sz w:val="14"/>
                <w:szCs w:val="14"/>
                <w:color w:val="auto"/>
              </w:rPr>
              <w:t>(1,980,000)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(2,446,751)</w:t>
            </w:r>
          </w:p>
        </w:tc>
      </w:tr>
      <w:tr>
        <w:trPr>
          <w:trHeight w:val="276"/>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issuance of stock</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3,965,725</w:t>
            </w:r>
          </w:p>
        </w:tc>
      </w:tr>
      <w:tr>
        <w:trPr>
          <w:trHeight w:val="264"/>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Proceeds from exercise of options</w:t>
            </w: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24,472</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63,165</w:t>
            </w:r>
          </w:p>
        </w:tc>
      </w:tr>
      <w:tr>
        <w:trPr>
          <w:trHeight w:val="25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Net cash (used in) / provided by financing activities</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(1,955,528)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6,772,139</w:t>
            </w:r>
          </w:p>
        </w:tc>
      </w:tr>
      <w:tr>
        <w:trPr>
          <w:trHeight w:val="324"/>
        </w:trPr>
        <w:tc>
          <w:tcPr>
            <w:tcW w:w="8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74,871</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(87,065)</w:t>
            </w:r>
          </w:p>
        </w:tc>
      </w:tr>
      <w:tr>
        <w:trPr>
          <w:trHeight w:val="250"/>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(7,566,853)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(483,403)</w:t>
            </w:r>
          </w:p>
        </w:tc>
      </w:tr>
      <w:tr>
        <w:trPr>
          <w:trHeight w:val="270"/>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year</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13,655,743</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14,139,146</w:t>
            </w:r>
          </w:p>
        </w:tc>
      </w:tr>
      <w:tr>
        <w:trPr>
          <w:trHeight w:val="283"/>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at end of year</w:t>
            </w: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6,088,890</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13,655,743</w:t>
            </w:r>
          </w:p>
        </w:tc>
      </w:tr>
      <w:tr>
        <w:trPr>
          <w:trHeight w:val="305"/>
        </w:trPr>
        <w:tc>
          <w:tcPr>
            <w:tcW w:w="80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Supplement disclosures of cash flow information:</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1,491,255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1,363,721</w:t>
            </w: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color w:val="auto"/>
              </w:rPr>
              <w:t>Cash paid during the year for interest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856,052</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909,284</w:t>
            </w:r>
          </w:p>
        </w:tc>
      </w:tr>
      <w:tr>
        <w:trPr>
          <w:trHeight w:val="330"/>
        </w:trPr>
        <w:tc>
          <w:tcPr>
            <w:tcW w:w="80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Non cash investing activities:</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for business acquisition</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53,647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179" w:right="239" w:bottom="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79" w:right="239" w:bottom="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9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35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SCIOinspire Holdings Inc. (“the Company”) was incorporated under the law of Cayman Islands on July 30, 2007, by a team of professionals having expertise in the Healthcare industry, as an exempted company with limited liability. The Company through its subsidiaries (“the Group”) offer Cost containment / Payment Integrity services, Facility and claims audit, Analytics and Data Management, Healthcare Analytics, Actuarial Consulting, Risk Adjustment, Software – Hosting / License, Business Process Outsourcing services, Commercial Effectiveness etc., to companies in the Healthcare and Pharmaceutical industry.</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January 20, 2016 the Group acquired assets and assumed liabilities of Clear Vision Information Systems, Inc. (“Clear Vision”). These assets and liabilities constitute a business and have been consolidated into the books of the Group. Refer Note 4.</w:t>
      </w:r>
    </w:p>
    <w:p>
      <w:pPr>
        <w:spacing w:after="0" w:line="85" w:lineRule="exact"/>
        <w:rPr>
          <w:sz w:val="20"/>
          <w:szCs w:val="20"/>
          <w:color w:val="auto"/>
        </w:rPr>
      </w:pPr>
    </w:p>
    <w:p>
      <w:pPr>
        <w:ind w:right="7580" w:firstLine="8"/>
        <w:spacing w:after="0" w:line="636" w:lineRule="auto"/>
        <w:tabs>
          <w:tab w:leader="none" w:pos="45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preparation</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the SCIOinspire Holdings Inc. and its wholly owned subsidiaries – SCIOinspire Corp, SCIOinspire Consulting Services (India) Private Limited, SCIO Health Analytics (UK) Limited and Data Intelligence Limited, and have been prepared in conformity with accounting principles generally accepted in the United States of America (US GAAP).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useful lives of fixed assets, the carrying amount of intangible assets and goodwill, allowances for doubtful accounts, liability for appeals, deferred tax asset valuation allowances, provisions and share based compensation, income tax uncertainties and other contingencies.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All significant inter-company balances and transactions have been eliminated in consolidation. The Company consolidates entities in which it has a controlling financial interest based on either the variable interest entity (VIE) or voting interest model. The Company currently has no involvement with variable interest entities. The Company accounts for investments over which it has significant influence but not a controlling financial interest using the equity method of accounting.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33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Company has reclassified certain amounts relating to its prior period results to conform to its current period presentation. These reclassifications have not changed the results of operations of prior periods.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35"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Significant Accounting Policies (continued)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Controlling interest in businesses under common control</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accounts for transactions between entities under common control, by initially recognizing the assets and liabilities transferred at the date of acquisition at the carrying values. Refer Note 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consolidated financial statements are reported in United States Dollar. The functional currency of the Company and its subsidiaries is United States Dollars, except that of the Indian subsidiary whose functional currency is Indian Rupees and for SCIO Health Analytics (UK) Ltd. The functional currency is Pound Sterling. The translation of the Indian Rupee and Pound Sterling into United States Dollars is performed for balance sheet accounts using the exchange rates in effect as of the balance sheet date and for the statement of operations using the average exchange rate prevailing during the year. The gains or losses resulting from such translation are reported under accumulated other comprehensive income (loss), net, as a separate component of equity.</w:t>
      </w:r>
    </w:p>
    <w:p>
      <w:pPr>
        <w:spacing w:after="0" w:line="2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Foreign currency denominated monetary assets and monetary liabilities at the year-end are translated at the year-end exchange rate. Exchange rate differences resulting from foreign exchange transactions settled during the year, including year-end translation of monetary assets and liabilities are recognized in the consolidated statement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and cash equivalents consist of cash and deposits with banks with an initial term of less than three months, which are unrestricted as to its use.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received on behalf of customers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part of its subrogation services, the Company receives cash payments on behalf of its clients, which the Company is obligated to remit to various clients after recovering its fees and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33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Trade accounts receivable are recorded at the invoiced amount and do not bear interest. Amounts collected on accounts receivable are included in net cash provided by operating activities in the statements of cash flows. 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financial condition, the amount of receivables in dispute, and the current receivables aging and current payment patterns. The Company reviews its allowance for doubtful accounts periodically. Account balances are charged off against the allowance after all means of collection have been exhausted and the potential for recovery is considered remote. The Company does not have any off-balance-sheet credit exposure related to its customers. Allowances for doubtful accounts for the year 2017 is $200,000 (2016: Nil).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3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Significant Accounting Policies (continued)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from audit and recovery services is derived from contingent and non-contingent fee arrangements.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Revenues from services having contingent fee arrangements are recognized as per the terms of the contract with the customers, when the uncertainty over ultimate collection is resolved. The uncertainty is considered as resolved when the claims are sent to/ accepted by the customer for recovery/ offset against future claim payments and its collectability is reasonably assured within a reasonable time of rendering the service.</w:t>
      </w:r>
    </w:p>
    <w:p>
      <w:pPr>
        <w:spacing w:after="0" w:line="27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Revenues from services having non-contingent fee arrangements are substantially provided on a time-and-material basis and are recognized based on the contractual terms as the services are performed.</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Direct and incremental costs pertaining to such services are deferred until the revenue recognition criteria are met. The costs deferred are limited to the extent of future contractual revenues for work completed and recoverability established as at the Balance sheet date. These deferred cost are included as part of the other assets as and when applicable.</w:t>
      </w:r>
    </w:p>
    <w:p>
      <w:pPr>
        <w:spacing w:after="0" w:line="2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Revenue from annual maintenance contracts are recognized ratably over the period in which services are rendered. Revenues from services which are substantially provided on a time-and-material basis are recognized based on the contractual terms as the services are performed.</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Unbilled revenue represent earnings in excess of billings as at the end of the reporting period.</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Sales taxes collected from customers and remitted to governmental authorities are accounted for on a net basis and therefore are excluded from revenues in the consolidated statements of operations.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deferred the revenue and costs attributable to certain process transition activities with respect to its customers where such activities do not represent the culmination of a separate earnings process. Such revenue and costs are subsequently recognized ratably over the period in which the related services are performed. Further, the deferred costs are limited to the amount of the deferred revenues.</w:t>
      </w:r>
    </w:p>
    <w:p>
      <w:pPr>
        <w:spacing w:after="0" w:line="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certain contingency based business, providers (third parties) have the right to appeal a claim and may pursue additional appeals if the initial appeal is found in favor of Company’s customers. For revenue realized from such contingency business, the Company accrues an estimated liability based on the amount of fees which are subject to appeal and which we estimate are probable of being returned to providers following a successful appeal. This estimated liability for appeals is an offset to revenue on our consolidated statements of operations. The estimates are based on historical experience with appeals. The estimated liability of appeals of USD 1,698,026 as at December 31, 2017 and USD 1,800,000 as at December 31, 2016 represent our best estimate of the potential amount of repayments related to appeals of claims for which fees were previously collected and recognized as revenue. The estimates are based on historical experience with appeals. To the extent the amount to be returned to providers following a successful appeal exceeds the amount accrued, revenue in the applicable period would be reduced by the amount of the excess. The inability to correctly estimate the estimated liabilities could adversely affect our revenue in future periods.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3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Property and equipment are stated at cost less accumulated depreciation. Upon the sale or retirement of property and equipment, the accounts are relieved of the cost and the related accumulated depreciation, with any resulting gain or loss included in the statement of operations. Plant and equipment under finance leases are stated at the present value of minimum lease payments.</w:t>
      </w:r>
    </w:p>
    <w:p>
      <w:pPr>
        <w:spacing w:after="0" w:line="2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Depreciation on property and equipment is calculated on the straight-line method over the estimated useful lives of the assets. The estimated useful life of machinery and equipment ranges from 3 to 5 years, furniture and fixtures 5 years. Leasehold improvements are depreciated over the lease period/ estimated useful lives which is shorter. Expenditures for major renewals and betterments that extend the useful lives of property and equipment are capitalized. Expenditure for maintenance and repairs are charged to expense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3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Once the technology feasibility is established as per ASC 985-20, the Company capitalizes costs associated with the acquisition or development of major software for internal and external use in the consolidated balance sheet and amortizes the assets over the expected life of the software, generally between one and seven years. The Company only capitalizes subsequent additions, modifications or upgrades to internal-use software to the extent that such changes allow the software to perform a task it previously did not perform. The Company expenses software maintenance and training costs as incurred. Capitalized software costs have been disclosed as part of property and equipment. The Company has capitalized internally-developed software costs of $3,775,827 for the year ended December 31, 2017 (2016: Nil).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goodwill and intangible assets</w:t>
      </w:r>
    </w:p>
    <w:p>
      <w:pPr>
        <w:spacing w:after="0" w:line="3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its business combinations by recognizing the identifiable tangible and intangible assets and liabilities assumed, and any non-controlling interest in the acquired business, measured at their acquisition date fair values. All assets and liabilities of the acquired businesses, including goodwill, are assigned to reporting units. The contingent consideration arrangements are fair valued at the acquisition date and included on that basis in the purchase price consideration and transaction costs are expensed as incurred.</w:t>
      </w:r>
    </w:p>
    <w:p>
      <w:pPr>
        <w:spacing w:after="0" w:line="29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Indefinite-lived intangible assets are assets that are not amortized because there is no foreseeable limit to cash flows generated from them. All assets and liabilities of an acquired business including goodwill are assigned to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35"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Summary of Significant Accounting Policies (continued)</w:t>
      </w:r>
    </w:p>
    <w:p>
      <w:pPr>
        <w:spacing w:after="0" w:line="3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is not amortized but is tested for impairment at least on an annual basis on December 31, based on a number of factors, including operating results, business plans and future cash flows. The Company performs an assessment of qualitative factors to determine whether the existence of events or circumstances leads to a determination that it is more likely than not that the fair value of a reporting unit is less than its carrying amount. Based on the assessment of events or circumstances, the Company performs a quantitative assessment of goodwill impairment if it determines that it is more likely than not that the fair value of a reporting unit is less than its carrying amount. If, based on the quantitative impairment analysis, the carrying value of the goodwill of a reporting unit exceeds the fair value of such goodwill, an impairment loss is recognized in an amount equal to the excess. If it is more likely than not that the asset is impaired, the Company records the amount that the carrying value exceeds the fair value as an impairment loss. The Company performed its annual impairment review of all its reporting units in the current year; based on this assessment, the Company has recorded goodwill impairment loss of USD 4,578,675 (2016: Nil) relating its reporting unit - SCIO Health Analytics (UK) Limited.</w:t>
      </w:r>
    </w:p>
    <w:p>
      <w:pPr>
        <w:spacing w:after="0" w:line="2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Intangible assets acquired individually, with a group of other assets or in a business combination are carried at cost less accumulated amortization. The Company’s intangible assets include customer contracts and non-compete and are amortized on a straight line basis over their estimated useful life of 4 to 10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finite life intangibles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 party independent appraisals, as considered necessary.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337"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Liabilities for loss contingencies arising from claims, assessments, litigations, fines and penalties and other sources are recorded when it is probable that a liability has been incurred and the amount can be reasonably estimated. Legal costs incurred in connection with loss contingencies are expensed as incurred.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Income taxes are accounted under the asset and liability method. The current charge for income tax expense is calculated in accordance with the relevant tax regulations applicable to each entity.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Summary of Significant Accounting Policies (continued)</w:t>
      </w:r>
    </w:p>
    <w:p>
      <w:pPr>
        <w:spacing w:after="0" w:line="33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recognizes interest related to unrecognized tax benefits in interest expense. The Company accounts for residual income tax effects in Accumulated other comprehensive income due to a change in tax law or a change in judgment about realization of a valuation allowance, if any, using the portfolio method and only releases residual amounts when the entire portfolio is liquidated.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337" w:lineRule="exact"/>
        <w:rPr>
          <w:sz w:val="20"/>
          <w:szCs w:val="20"/>
          <w:color w:val="auto"/>
        </w:rPr>
      </w:pPr>
    </w:p>
    <w:p>
      <w:pPr>
        <w:jc w:val="both"/>
        <w:ind w:right="20" w:firstLine="405"/>
        <w:spacing w:after="0" w:line="221" w:lineRule="exact"/>
        <w:rPr>
          <w:sz w:val="20"/>
          <w:szCs w:val="20"/>
          <w:color w:val="auto"/>
        </w:rPr>
      </w:pPr>
      <w:r>
        <w:rPr>
          <w:rFonts w:ascii="Arial" w:cs="Arial" w:eastAsia="Arial" w:hAnsi="Arial"/>
          <w:sz w:val="18"/>
          <w:szCs w:val="18"/>
          <w:color w:val="auto"/>
        </w:rPr>
        <w:t>The Company recognizes all stock-based compensation as a cost in the consolidated financial statements. Equity</w:t>
      </w:r>
      <w:r>
        <w:rPr>
          <w:rFonts w:ascii="MS PGothic" w:cs="MS PGothic" w:eastAsia="MS PGothic" w:hAnsi="MS PGothic"/>
          <w:sz w:val="18"/>
          <w:szCs w:val="18"/>
          <w:color w:val="auto"/>
        </w:rPr>
        <w:t>‑</w:t>
      </w:r>
      <w:r>
        <w:rPr>
          <w:rFonts w:ascii="Arial" w:cs="Arial" w:eastAsia="Arial" w:hAnsi="Arial"/>
          <w:sz w:val="18"/>
          <w:szCs w:val="18"/>
          <w:color w:val="auto"/>
        </w:rPr>
        <w:t>classified awards are measured at the grant date fair value of the award. The Company has recorded compensation expense based on estimated grant date fair value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and estimates the number of forfeitures expected to occur.</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 based compensation benefits have been issued by the SCIOinspire Holdings Inc., the holding company since 2008.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leases its office space pursuant to long-term, non-cancellable lease agreements, which have been accounted for as operating leases.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Accordingly, rent expense incurred in excess of rent paid is reflected as deferred rent.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 to employees</w:t>
      </w:r>
    </w:p>
    <w:p>
      <w:pPr>
        <w:spacing w:after="0" w:line="364"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Defined contribution plan</w:t>
      </w:r>
    </w:p>
    <w:p>
      <w:pPr>
        <w:spacing w:after="0" w:line="34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does not have any pension or post retirement plans for any of its employees in US other than the 401(k) Plan administered by Trans America Financial Life Insurance Company. The net periodic costs are recognized as employees render the services necessary to earn the postretirement benefits.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3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Summary of Significant Accounting Policies (continued)</w:t>
      </w:r>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India, the employees receive benefits from a provident fund, where the employer and employees each make monthly contributions to the plan at a pre-determined rate to the Regional Provident Fund Commissioner. Employer’s contribution to the fund is charged as an expense to the statement of operations.</w:t>
      </w:r>
    </w:p>
    <w:p>
      <w:pPr>
        <w:spacing w:after="0" w:line="316"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Defined benefit plan</w:t>
      </w:r>
    </w:p>
    <w:p>
      <w:pPr>
        <w:spacing w:after="0" w:line="34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accordance with the Payment of Gratuity Act, 1972, applicable for Indian companies, the Company provides for a lump sum payment to eligible employees, at retirement or termination of employment based on the last drawn salary and years of employment with the Company. The gratuity fund is managed by third party fund managers. Current service costs for defined benefit plans are accrued in the period to which they relate. The liability in respect of defined benefit plans is calculated annually by the Company. The Company records annual amounts relating to its defined benefit plans based on calculations that incorporate various actuarial and other assumptions, including discount rates, mortality, assumed rates of return, compensation increases and turnover rates. The Company reviews its assumptions on an annual basis and makes modifications to the assumptions based on current rates and trends when it is appropriate to do so. The Company’s obligation in respect of the gratuity plan, which is a defined benefit plan, is provided for based on actuarial valuation.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in accordance with ASU 2011-04 (see note 5 to the consolidated financial statements):</w:t>
      </w:r>
    </w:p>
    <w:p>
      <w:pPr>
        <w:spacing w:after="0" w:line="200" w:lineRule="exact"/>
        <w:rPr>
          <w:sz w:val="20"/>
          <w:szCs w:val="20"/>
          <w:color w:val="auto"/>
        </w:rPr>
      </w:pPr>
    </w:p>
    <w:p>
      <w:pPr>
        <w:spacing w:after="0" w:line="231" w:lineRule="exact"/>
        <w:rPr>
          <w:sz w:val="20"/>
          <w:szCs w:val="20"/>
          <w:color w:val="auto"/>
        </w:rPr>
      </w:pPr>
    </w:p>
    <w:p>
      <w:pPr>
        <w:ind w:left="800" w:hanging="387"/>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1 Inputs: Unadjusted quoted prices in active markets for identical assets or liabilities accessible to the reporting entity at the measurement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82" w:lineRule="exact"/>
        <w:rPr>
          <w:sz w:val="20"/>
          <w:szCs w:val="20"/>
          <w:color w:val="auto"/>
        </w:rPr>
      </w:pPr>
    </w:p>
    <w:p>
      <w:pPr>
        <w:ind w:firstLine="413"/>
        <w:spacing w:after="0" w:line="324" w:lineRule="auto"/>
        <w:tabs>
          <w:tab w:leader="none" w:pos="7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386" w:lineRule="exact"/>
        <w:rPr>
          <w:rFonts w:ascii="Arial" w:cs="Arial" w:eastAsia="Arial" w:hAnsi="Arial"/>
          <w:sz w:val="18"/>
          <w:szCs w:val="18"/>
          <w:color w:val="auto"/>
        </w:rPr>
      </w:pPr>
    </w:p>
    <w:p>
      <w:pPr>
        <w:ind w:firstLine="413"/>
        <w:spacing w:after="0" w:line="324" w:lineRule="auto"/>
        <w:tabs>
          <w:tab w:leader="none" w:pos="7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3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Summary of Significant Accounting Policies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recently released accounting standard has been adopted by the Company and did not have a material impact on the Company’s consolidated results of operations, cash flows, financial position or disclosures:</w:t>
      </w:r>
    </w:p>
    <w:p>
      <w:pPr>
        <w:spacing w:after="0" w:line="6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Effective January 1, 2017, the Company has adopted FASB ASU 2015-17 Income Taxes (Topic 740): Balance Sheet Classification of Deferred Taxes (“ASU 2015-17”). The new guidance requires that all deferred tax assets and liabilities, along with any related valuation allowance, be classified as noncurrent on the balance sheet. The guidance however does not change the existing guidance that prohibits offsetting deferred tax liabilities from one jurisdiction against deferred tax assets of another jurisdiction. The Company has applied the new guidance retrospectively for all deferred tax assets and liabilities and accordingly, the comparative balance sheet amounts of prior periods have been retrospectively reclassified.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which requires a company to recognize revenue when the company transfers control of promised goods and services to the customer. Revenue is recognized in an amount that reflects the consideration a company expects to receive in exchange for those goods or services. A company also is required to disclose sufficient quantitative and qualitative information to enable users of financial statements to understand the nature, amount, timing, and uncertainty of revenue and cash flows arising from contracts with customers. The FASB also has issued several amendments to the standard, which are intended to promote a more consistent interpretation and application of the principles outlined in the standard.</w:t>
      </w:r>
    </w:p>
    <w:p>
      <w:pPr>
        <w:spacing w:after="0" w:line="30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Companies are permitted to adopt the standard using a retrospective transition method (i.e. restate all prior periods presented) or a cumulative effect method (i.e. recognize the cumulative effect of initially applying the guidance at the date of initial application with no restatement of prior periods). However, both methods allow companies to elect certain practical expedients on transition that will help to simplify how a company restates its contracts. The standard is effective for the Company for annual periods in fiscal years beginning after December 15, 2018. We are currently evaluating the effect that the updated standard will have on our Consolidated Financial Statements and related disclosures.</w:t>
      </w:r>
    </w:p>
    <w:p>
      <w:pPr>
        <w:spacing w:after="0" w:line="2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2016, the FASB issued ASU 2016-02, Leases (Topic 842), which requires lessees to recognize leases on-balance sheet and disclose key information about leasing arrangements. The new standard establishes a right of 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new standard is effective for the Company on January 1, 2020, with early adoption permitted.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3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 (continued)</w:t>
      </w:r>
    </w:p>
    <w:p>
      <w:pPr>
        <w:spacing w:after="0" w:line="3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(Topic 350), which eliminates Step 2 from the goodwill impairment test. A goodwill impairment will now be the amount by which a reporting unit's carrying value exceeds its fair value, however, the loss recognized should not exceed the total amount of goodwill allocated to that reporting unit. ASU 2017-04 is effective for annual and interim periods in fiscal years beginning after December 15, 2019. Early adoption is permitted for interim or annual goodwill impairment tests performed after January 1, 2017 and should be applied prospectively.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Group is currently evaluating the effects the above standards will have on its consolidated financial statements and related disclosures.</w:t>
      </w:r>
    </w:p>
    <w:p>
      <w:pPr>
        <w:spacing w:after="0" w:line="36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risks and uncertainties including business and credit concentrations</w:t>
      </w:r>
    </w:p>
    <w:p>
      <w:pPr>
        <w:spacing w:after="0" w:line="35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bank balances, accounts receivable and unbilled revenue. By their nature, all such financial instruments involve risk including credit risk of non-performance by counter parties. In the management’s opinion, as of December 31, 2017, there was no significant risk of loss in the event of non-performance by the counter parties to these financial instruments other than the amounts already provided for in the consolidated financial statements.</w:t>
      </w:r>
    </w:p>
    <w:p>
      <w:pPr>
        <w:spacing w:after="0" w:line="29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Accounts receivable are uncollateralized customer obligations due under normal trade terms. The carrying amount of receivables is reduced by a valuation allowance that reflects management’s best estimate of the amounts that will not be collected.</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 ended December, 31 2017 one of the customers provided 34% of revenue individually, while for the year ended December, 31, 2016 one of the customers provided 43% of revenue individually. For the year ended December 31, 2017 two customers constituted around 36% of the total account receivable and two customers around 62% for the year ended December 31, 2016.</w:t>
      </w:r>
    </w:p>
    <w:p>
      <w:pPr>
        <w:spacing w:after="0" w:line="200" w:lineRule="exact"/>
        <w:rPr>
          <w:sz w:val="20"/>
          <w:szCs w:val="20"/>
          <w:color w:val="auto"/>
        </w:rPr>
      </w:pPr>
    </w:p>
    <w:p>
      <w:pPr>
        <w:spacing w:after="0" w:line="2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Clear Vision Information Systems, Inc. (‘Clear Vision’)</w:t>
      </w:r>
    </w:p>
    <w:p>
      <w:pPr>
        <w:spacing w:after="0" w:line="35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January 20, 2016 the Group acquired certain assets and assumed certain liabilities of Clear Vision. The aggregate purchase consideration was $ 10,404,178 out of which $ 185,373 was payable as at December 31, 2017 (2016: $ 959,198). Together with the acquisition, the Company retained certain employees of Clear Vision’s business. With this transaction, the Company entered into the business of risk-adjustment software and data analytics, expanding its range of data management, analytics and software licensing/hosting services to the healthcare industry. Acquisition related costs amounting to $ 545,946 have been included in Acquisition related cost (Transaction cost) for the year ended December 31, 2016. The goodwill of $ 4,532,958 arising out of the acquisition has been recorded in the books and is deductible for tax purposes. The goodwill represents primarily the acquired expertise, operating synergies and other benefits expected to result from combining the acquired operations with our existing operations.</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20"/>
          </w:cols>
          <w:pgMar w:left="240" w:top="135"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payments</w:t>
      </w:r>
    </w:p>
    <w:p>
      <w:pPr>
        <w:spacing w:after="0" w:line="33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per the asset purchase agreement, the selling shareholders were eligible for a contingent earn-out consideration on achieving of certain performance conditions over the period beginning from the date of acquisition up to December 31, 2016. The total maximum contingent consideration as per the agreement was $ 3,000,000. The actual undiscounted earn-out consideration determined amounted to $328,111. Out of this, $268,236 was considered as part of the purchase consideration. The balance amount of $59,875 was contingent upon certain employees remaining in employment after the acquisition, hence, this was considered as a compensation for post-combination services, in accordance with ASC 805.</w:t>
      </w:r>
    </w:p>
    <w:p>
      <w:pPr>
        <w:spacing w:after="0" w:line="2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fair value of the contingent consideration arrangement was measured by applying the income valuation approach. That measure is based on significant inputs that are not observable in the market, which ASC Section 820-10-35 refers to as Level 3 inputs (refer fair value hierarchy in Note 2). Key assumptions included a discount rate of 15.8%.</w:t>
      </w:r>
    </w:p>
    <w:p>
      <w:pPr>
        <w:spacing w:after="0" w:line="2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summarizes the consideration paid for Clear Vision and the amounts of estimated fair value of the assets acquired and liabilities assumed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271780</wp:posOffset>
            </wp:positionV>
            <wp:extent cx="627761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761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Consideration:</w:t>
      </w:r>
    </w:p>
    <w:p>
      <w:pPr>
        <w:spacing w:after="0" w:line="67"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460" w:type="dxa"/>
            <w:vAlign w:val="bottom"/>
          </w:tcPr>
          <w:p>
            <w:pPr>
              <w:ind w:left="420"/>
              <w:spacing w:after="0"/>
              <w:rPr>
                <w:sz w:val="20"/>
                <w:szCs w:val="20"/>
                <w:color w:val="auto"/>
              </w:rPr>
            </w:pPr>
            <w:r>
              <w:rPr>
                <w:rFonts w:ascii="Arial" w:cs="Arial" w:eastAsia="Arial" w:hAnsi="Arial"/>
                <w:sz w:val="18"/>
                <w:szCs w:val="18"/>
                <w:color w:val="auto"/>
              </w:rPr>
              <w:t>Cash</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7,467,640</w:t>
            </w:r>
          </w:p>
        </w:tc>
      </w:tr>
      <w:tr>
        <w:trPr>
          <w:trHeight w:val="27"/>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Fair value of consideration payable in shares</w:t>
            </w:r>
          </w:p>
        </w:tc>
        <w:tc>
          <w:tcPr>
            <w:tcW w:w="13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2,500,000</w:t>
            </w:r>
          </w:p>
        </w:tc>
      </w:tr>
      <w:tr>
        <w:trPr>
          <w:trHeight w:val="243"/>
        </w:trPr>
        <w:tc>
          <w:tcPr>
            <w:tcW w:w="6460" w:type="dxa"/>
            <w:vAlign w:val="bottom"/>
          </w:tcPr>
          <w:p>
            <w:pPr>
              <w:ind w:left="420"/>
              <w:spacing w:after="0"/>
              <w:rPr>
                <w:sz w:val="20"/>
                <w:szCs w:val="20"/>
                <w:color w:val="auto"/>
              </w:rPr>
            </w:pPr>
            <w:r>
              <w:rPr>
                <w:rFonts w:ascii="Arial" w:cs="Arial" w:eastAsia="Arial" w:hAnsi="Arial"/>
                <w:sz w:val="18"/>
                <w:szCs w:val="18"/>
                <w:color w:val="auto"/>
              </w:rPr>
              <w:t>Fair value of promissory note issued</w:t>
            </w:r>
          </w:p>
        </w:tc>
        <w:tc>
          <w:tcPr>
            <w:tcW w:w="136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436,538</w:t>
            </w:r>
          </w:p>
        </w:tc>
      </w:tr>
      <w:tr>
        <w:trPr>
          <w:trHeight w:val="27"/>
        </w:trPr>
        <w:tc>
          <w:tcPr>
            <w:tcW w:w="64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total consideration transferred</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10,404,178</w:t>
            </w:r>
          </w:p>
        </w:tc>
      </w:tr>
      <w:tr>
        <w:trPr>
          <w:trHeight w:val="20"/>
        </w:trPr>
        <w:tc>
          <w:tcPr>
            <w:tcW w:w="6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311"/>
        </w:trPr>
        <w:tc>
          <w:tcPr>
            <w:tcW w:w="6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13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776,665</w:t>
            </w:r>
          </w:p>
        </w:tc>
      </w:tr>
      <w:tr>
        <w:trPr>
          <w:trHeight w:val="27"/>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13,463</w:t>
            </w:r>
          </w:p>
        </w:tc>
      </w:tr>
      <w:tr>
        <w:trPr>
          <w:trHeight w:val="243"/>
        </w:trPr>
        <w:tc>
          <w:tcPr>
            <w:tcW w:w="6460" w:type="dxa"/>
            <w:vAlign w:val="bottom"/>
          </w:tcPr>
          <w:p>
            <w:pPr>
              <w:ind w:left="420"/>
              <w:spacing w:after="0"/>
              <w:rPr>
                <w:sz w:val="20"/>
                <w:szCs w:val="20"/>
                <w:color w:val="auto"/>
              </w:rPr>
            </w:pPr>
            <w:r>
              <w:rPr>
                <w:rFonts w:ascii="Arial" w:cs="Arial" w:eastAsia="Arial" w:hAnsi="Arial"/>
                <w:sz w:val="18"/>
                <w:szCs w:val="18"/>
                <w:color w:val="auto"/>
              </w:rPr>
              <w:t>Software</w:t>
            </w:r>
          </w:p>
        </w:tc>
        <w:tc>
          <w:tcPr>
            <w:tcW w:w="136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2,732,258</w:t>
            </w:r>
          </w:p>
        </w:tc>
      </w:tr>
      <w:tr>
        <w:trPr>
          <w:trHeight w:val="27"/>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13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2,513,408</w:t>
            </w:r>
          </w:p>
        </w:tc>
      </w:tr>
      <w:tr>
        <w:trPr>
          <w:trHeight w:val="243"/>
        </w:trPr>
        <w:tc>
          <w:tcPr>
            <w:tcW w:w="6460" w:type="dxa"/>
            <w:vAlign w:val="bottom"/>
          </w:tcPr>
          <w:p>
            <w:pPr>
              <w:ind w:left="420"/>
              <w:spacing w:after="0"/>
              <w:rPr>
                <w:sz w:val="20"/>
                <w:szCs w:val="20"/>
                <w:color w:val="auto"/>
              </w:rPr>
            </w:pPr>
            <w:r>
              <w:rPr>
                <w:rFonts w:ascii="Arial" w:cs="Arial" w:eastAsia="Arial" w:hAnsi="Arial"/>
                <w:sz w:val="18"/>
                <w:szCs w:val="18"/>
                <w:color w:val="auto"/>
              </w:rPr>
              <w:t>Non-compete</w:t>
            </w:r>
          </w:p>
        </w:tc>
        <w:tc>
          <w:tcPr>
            <w:tcW w:w="136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3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(184,574)</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identifiable net assets assumed</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5,871,220</w:t>
            </w:r>
          </w:p>
        </w:tc>
      </w:tr>
      <w:tr>
        <w:trPr>
          <w:trHeight w:val="27"/>
        </w:trPr>
        <w:tc>
          <w:tcPr>
            <w:tcW w:w="6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3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4,532,958</w:t>
            </w:r>
          </w:p>
        </w:tc>
      </w:tr>
      <w:tr>
        <w:trPr>
          <w:trHeight w:val="257"/>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10,404,178</w:t>
            </w:r>
          </w:p>
        </w:tc>
      </w:tr>
      <w:tr>
        <w:trPr>
          <w:trHeight w:val="20"/>
        </w:trPr>
        <w:tc>
          <w:tcPr>
            <w:tcW w:w="6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3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the carrying amounts and estimated fair value of the Company’s financial instruments at December 31, 2017 and December 31, 2016. Fair value is defined as the amount that would be received to sell an asset or paid to transfer a liability in an orderly transaction between market participants at the measurement date.</w:t>
      </w:r>
    </w:p>
    <w:p>
      <w:pPr>
        <w:spacing w:after="0" w:line="23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2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As at December 31, 2017</w:t>
            </w:r>
          </w:p>
        </w:tc>
        <w:tc>
          <w:tcPr>
            <w:tcW w:w="26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As at December 31, 2016</w:t>
            </w:r>
          </w:p>
        </w:tc>
      </w:tr>
      <w:tr>
        <w:trPr>
          <w:trHeight w:val="252"/>
        </w:trPr>
        <w:tc>
          <w:tcPr>
            <w:tcW w:w="3320" w:type="dxa"/>
            <w:vAlign w:val="bottom"/>
          </w:tcPr>
          <w:p>
            <w:pPr>
              <w:spacing w:after="0"/>
              <w:rPr>
                <w:sz w:val="21"/>
                <w:szCs w:val="21"/>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34"/>
        </w:trPr>
        <w:tc>
          <w:tcPr>
            <w:tcW w:w="3320" w:type="dxa"/>
            <w:vAlign w:val="bottom"/>
          </w:tcPr>
          <w:p>
            <w:pPr>
              <w:spacing w:after="0"/>
              <w:rPr>
                <w:sz w:val="20"/>
                <w:szCs w:val="20"/>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16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7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6,088,890</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6,088,890</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13,655,743</w:t>
            </w:r>
          </w:p>
        </w:tc>
        <w:tc>
          <w:tcPr>
            <w:tcW w:w="1160" w:type="dxa"/>
            <w:vAlign w:val="bottom"/>
          </w:tcPr>
          <w:p>
            <w:pPr>
              <w:jc w:val="right"/>
              <w:spacing w:after="0"/>
              <w:rPr>
                <w:sz w:val="20"/>
                <w:szCs w:val="20"/>
                <w:color w:val="auto"/>
              </w:rPr>
            </w:pPr>
            <w:r>
              <w:rPr>
                <w:rFonts w:ascii="Arial" w:cs="Arial" w:eastAsia="Arial" w:hAnsi="Arial"/>
                <w:sz w:val="18"/>
                <w:szCs w:val="18"/>
                <w:color w:val="auto"/>
              </w:rPr>
              <w:t>13,655,743</w:t>
            </w:r>
          </w:p>
        </w:tc>
      </w:tr>
      <w:tr>
        <w:trPr>
          <w:trHeight w:val="27"/>
        </w:trPr>
        <w:tc>
          <w:tcPr>
            <w:tcW w:w="3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received on behalf of customers</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2,301,863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2,301,863</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1,770,569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1,770,569</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6,667,643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6,667,643</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6,270,897</w:t>
            </w:r>
          </w:p>
        </w:tc>
        <w:tc>
          <w:tcPr>
            <w:tcW w:w="1160" w:type="dxa"/>
            <w:vAlign w:val="bottom"/>
          </w:tcPr>
          <w:p>
            <w:pPr>
              <w:jc w:val="right"/>
              <w:spacing w:after="0"/>
              <w:rPr>
                <w:sz w:val="20"/>
                <w:szCs w:val="20"/>
                <w:color w:val="auto"/>
              </w:rPr>
            </w:pPr>
            <w:r>
              <w:rPr>
                <w:rFonts w:ascii="Arial" w:cs="Arial" w:eastAsia="Arial" w:hAnsi="Arial"/>
                <w:sz w:val="18"/>
                <w:szCs w:val="18"/>
                <w:color w:val="auto"/>
              </w:rPr>
              <w:t>6,270,897</w:t>
            </w:r>
          </w:p>
        </w:tc>
      </w:tr>
      <w:tr>
        <w:trPr>
          <w:trHeight w:val="27"/>
        </w:trPr>
        <w:tc>
          <w:tcPr>
            <w:tcW w:w="3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9,182,623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9,182,623</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3,549,754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3,549,754</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411,517</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411,517</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390,653</w:t>
            </w:r>
          </w:p>
        </w:tc>
        <w:tc>
          <w:tcPr>
            <w:tcW w:w="1160" w:type="dxa"/>
            <w:vAlign w:val="bottom"/>
          </w:tcPr>
          <w:p>
            <w:pPr>
              <w:jc w:val="right"/>
              <w:spacing w:after="0"/>
              <w:rPr>
                <w:sz w:val="20"/>
                <w:szCs w:val="20"/>
                <w:color w:val="auto"/>
              </w:rPr>
            </w:pPr>
            <w:r>
              <w:rPr>
                <w:rFonts w:ascii="Arial" w:cs="Arial" w:eastAsia="Arial" w:hAnsi="Arial"/>
                <w:sz w:val="18"/>
                <w:szCs w:val="18"/>
                <w:color w:val="auto"/>
              </w:rPr>
              <w:t>390,653</w:t>
            </w:r>
          </w:p>
        </w:tc>
      </w:tr>
      <w:tr>
        <w:trPr>
          <w:trHeight w:val="27"/>
        </w:trPr>
        <w:tc>
          <w:tcPr>
            <w:tcW w:w="3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12,203,249</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12,203,249</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14,183,249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14,183,249</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416,252</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416,252</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388,734</w:t>
            </w:r>
          </w:p>
        </w:tc>
        <w:tc>
          <w:tcPr>
            <w:tcW w:w="1160" w:type="dxa"/>
            <w:vAlign w:val="bottom"/>
          </w:tcPr>
          <w:p>
            <w:pPr>
              <w:jc w:val="right"/>
              <w:spacing w:after="0"/>
              <w:rPr>
                <w:sz w:val="20"/>
                <w:szCs w:val="20"/>
                <w:color w:val="auto"/>
              </w:rPr>
            </w:pPr>
            <w:r>
              <w:rPr>
                <w:rFonts w:ascii="Arial" w:cs="Arial" w:eastAsia="Arial" w:hAnsi="Arial"/>
                <w:sz w:val="18"/>
                <w:szCs w:val="18"/>
                <w:color w:val="auto"/>
              </w:rPr>
              <w:t>388,734</w:t>
            </w:r>
          </w:p>
        </w:tc>
      </w:tr>
      <w:tr>
        <w:trPr>
          <w:trHeight w:val="27"/>
        </w:trPr>
        <w:tc>
          <w:tcPr>
            <w:tcW w:w="3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2,044,321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2,044,321</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3,044,354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3,044,354</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Subrogation services obligations</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2,310,721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2,310,721</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1,788,382</w:t>
            </w:r>
          </w:p>
        </w:tc>
        <w:tc>
          <w:tcPr>
            <w:tcW w:w="1160" w:type="dxa"/>
            <w:vAlign w:val="bottom"/>
          </w:tcPr>
          <w:p>
            <w:pPr>
              <w:jc w:val="right"/>
              <w:spacing w:after="0"/>
              <w:rPr>
                <w:sz w:val="20"/>
                <w:szCs w:val="20"/>
                <w:color w:val="auto"/>
              </w:rPr>
            </w:pPr>
            <w:r>
              <w:rPr>
                <w:rFonts w:ascii="Arial" w:cs="Arial" w:eastAsia="Arial" w:hAnsi="Arial"/>
                <w:sz w:val="18"/>
                <w:szCs w:val="18"/>
                <w:color w:val="auto"/>
              </w:rPr>
              <w:t>1,788,382</w:t>
            </w:r>
          </w:p>
        </w:tc>
      </w:tr>
      <w:tr>
        <w:trPr>
          <w:trHeight w:val="27"/>
        </w:trPr>
        <w:tc>
          <w:tcPr>
            <w:tcW w:w="3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Overpayment services obligations</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10,593</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10,593</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17,699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w:t>
            </w:r>
          </w:p>
        </w:tc>
      </w:tr>
      <w:tr>
        <w:trPr>
          <w:trHeight w:val="27"/>
        </w:trPr>
        <w:tc>
          <w:tcPr>
            <w:tcW w:w="3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values of the financial instruments shown in the above table as of December 31, 2017 and 2016 represent the amounts that would be received to sell those assets or that would be paid to transfer those liabilities in an orderly transaction between market participants at that date. Those fair value measurements maximize the use of observable inputs. However, in situations where there is little, if any, market activity for the asset or liability at the measurement date, the fair value measurement reflects the Company’s own judgments about the assumptions that market participants would use in pricing the asset or liability.</w:t>
      </w:r>
    </w:p>
    <w:p>
      <w:pPr>
        <w:spacing w:after="0" w:line="29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Those judgments are developed by the Company based on the best information available in the circumstances, including expected cash flows and appropriately risk adjusted discount rates, available observable and unobservable inputs.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w:t>
      </w:r>
    </w:p>
    <w:p>
      <w:pPr>
        <w:spacing w:after="0" w:line="360" w:lineRule="exact"/>
        <w:rPr>
          <w:sz w:val="20"/>
          <w:szCs w:val="20"/>
          <w:color w:val="auto"/>
        </w:rPr>
      </w:pPr>
    </w:p>
    <w:p>
      <w:pPr>
        <w:jc w:val="both"/>
        <w:ind w:left="660" w:firstLine="401"/>
        <w:spacing w:after="0" w:line="364" w:lineRule="auto"/>
        <w:tabs>
          <w:tab w:leader="none" w:pos="13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Cash and cash equivalents, cash received on behalf of customers, trade accounts receivable, unbilled revenue, other assets, long-term debt, trade accounts payable, accrued and other current liabilities, subrogation services obligations, overpayment services obligations and other liabilities: The carrying amounts, at face value or cost plus accrued interest, approximate fair value because of the short maturity of these instruments.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35"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firstLine="401"/>
        <w:spacing w:after="0" w:line="324" w:lineRule="auto"/>
        <w:tabs>
          <w:tab w:leader="none" w:pos="13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Non-financial assets and liabilities not included above: The fair value of goodwill is determined by estimating the expected present value of future cash flows without reference to observable market transactions.</w:t>
      </w:r>
    </w:p>
    <w:p>
      <w:pPr>
        <w:spacing w:after="0" w:line="14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Accrued and other current liabilities include accrued earn-out consideration payable to selling shareholders. The following table provides a roll-forward of the fair value of earn-out consideration categorized as level 3 in the fair value hierarchy for the years ended December 31, 2017 and 2016:</w:t>
      </w:r>
    </w:p>
    <w:p>
      <w:pPr>
        <w:spacing w:after="0" w:line="200" w:lineRule="exact"/>
        <w:rPr>
          <w:sz w:val="20"/>
          <w:szCs w:val="20"/>
          <w:color w:val="auto"/>
        </w:rPr>
      </w:pPr>
    </w:p>
    <w:p>
      <w:pPr>
        <w:spacing w:after="0" w:line="32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As at</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480" w:type="dxa"/>
            <w:vAlign w:val="bottom"/>
          </w:tcPr>
          <w:p>
            <w:pPr>
              <w:spacing w:after="0"/>
              <w:rPr>
                <w:sz w:val="20"/>
                <w:szCs w:val="20"/>
                <w:color w:val="auto"/>
              </w:rPr>
            </w:pP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2017</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6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1,471,631</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562,133</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Earn-out consideration payable in connection with acquisitions</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337,573</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7,903,998</w:t>
            </w:r>
          </w:p>
        </w:tc>
      </w:tr>
      <w:tr>
        <w:trPr>
          <w:trHeight w:val="27"/>
        </w:trPr>
        <w:tc>
          <w:tcPr>
            <w:tcW w:w="6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made during the year</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(1,263,594)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(7,045,719)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Other*</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(21,828)</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51,219</w:t>
            </w:r>
          </w:p>
        </w:tc>
      </w:tr>
      <w:tr>
        <w:trPr>
          <w:trHeight w:val="27"/>
        </w:trPr>
        <w:tc>
          <w:tcPr>
            <w:tcW w:w="64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Closing balance</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523,782</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1,471,631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*Includes interest expense and impact of changes in foreign exchange. These are included in interest expense and other expenses respectively, in the consolidated statements of operations and comprehensive income (loss).</w:t>
      </w:r>
    </w:p>
    <w:p>
      <w:pPr>
        <w:spacing w:after="0" w:line="200" w:lineRule="exact"/>
        <w:rPr>
          <w:sz w:val="20"/>
          <w:szCs w:val="20"/>
          <w:color w:val="auto"/>
        </w:rPr>
      </w:pPr>
    </w:p>
    <w:p>
      <w:pPr>
        <w:spacing w:after="0" w:line="21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240" w:type="dxa"/>
            <w:vAlign w:val="bottom"/>
          </w:tcPr>
          <w:p>
            <w:pPr>
              <w:jc w:val="right"/>
              <w:ind w:right="250"/>
              <w:spacing w:after="0"/>
              <w:rPr>
                <w:sz w:val="20"/>
                <w:szCs w:val="20"/>
                <w:color w:val="auto"/>
              </w:rPr>
            </w:pPr>
            <w:r>
              <w:rPr>
                <w:rFonts w:ascii="Arial" w:cs="Arial" w:eastAsia="Arial" w:hAnsi="Arial"/>
                <w:sz w:val="18"/>
                <w:szCs w:val="18"/>
                <w:b w:val="1"/>
                <w:bCs w:val="1"/>
                <w:color w:val="auto"/>
              </w:rPr>
              <w:t>As at</w:t>
            </w: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480" w:type="dxa"/>
            <w:vAlign w:val="bottom"/>
          </w:tcPr>
          <w:p>
            <w:pPr>
              <w:spacing w:after="0"/>
              <w:rPr>
                <w:sz w:val="20"/>
                <w:szCs w:val="20"/>
                <w:color w:val="auto"/>
              </w:rPr>
            </w:pPr>
          </w:p>
        </w:tc>
        <w:tc>
          <w:tcPr>
            <w:tcW w:w="22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2017</w:t>
            </w: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6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48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Cash on hand</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1,156</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6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balances</w:t>
            </w:r>
          </w:p>
        </w:tc>
        <w:tc>
          <w:tcPr>
            <w:tcW w:w="2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6,087,734</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13,654,719</w:t>
            </w:r>
          </w:p>
        </w:tc>
      </w:tr>
      <w:tr>
        <w:trPr>
          <w:trHeight w:val="237"/>
        </w:trPr>
        <w:tc>
          <w:tcPr>
            <w:tcW w:w="6480" w:type="dxa"/>
            <w:vAlign w:val="bottom"/>
          </w:tcPr>
          <w:p>
            <w:pPr>
              <w:spacing w:after="0"/>
              <w:rPr>
                <w:sz w:val="20"/>
                <w:szCs w:val="20"/>
                <w:color w:val="auto"/>
              </w:rPr>
            </w:pPr>
          </w:p>
        </w:tc>
        <w:tc>
          <w:tcPr>
            <w:tcW w:w="2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6,088,890</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13,655,743</w:t>
            </w:r>
          </w:p>
        </w:tc>
      </w:tr>
      <w:tr>
        <w:trPr>
          <w:trHeight w:val="27"/>
        </w:trPr>
        <w:tc>
          <w:tcPr>
            <w:tcW w:w="64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64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w:t>
      </w:r>
    </w:p>
    <w:p>
      <w:pPr>
        <w:spacing w:after="0" w:line="35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Trade accounts receivable as of December 31, 2017 amounted to $ 6,667,643, net off allowance for doubtful accounts. The Company maintains an allowance for doubtful accounts based on financial condition of the customer and aging of the account receivable. Accounts receivables are not collateralized.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age profile of accounts receivable is given below:</w:t>
      </w:r>
    </w:p>
    <w:p>
      <w:pPr>
        <w:spacing w:after="0" w:line="200" w:lineRule="exact"/>
        <w:rPr>
          <w:sz w:val="20"/>
          <w:szCs w:val="20"/>
          <w:color w:val="auto"/>
        </w:rPr>
      </w:pPr>
    </w:p>
    <w:p>
      <w:pPr>
        <w:spacing w:after="0" w:line="29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Period in days</w:t>
            </w: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As at</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480" w:type="dxa"/>
            <w:vAlign w:val="bottom"/>
          </w:tcPr>
          <w:p>
            <w:pPr>
              <w:spacing w:after="0"/>
              <w:rPr>
                <w:sz w:val="20"/>
                <w:szCs w:val="20"/>
                <w:color w:val="auto"/>
              </w:rPr>
            </w:pP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2017</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6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 – 30</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5,885,080</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5,584,553</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31 – 60</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487,431</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327,495</w:t>
            </w:r>
          </w:p>
        </w:tc>
      </w:tr>
      <w:tr>
        <w:trPr>
          <w:trHeight w:val="27"/>
        </w:trPr>
        <w:tc>
          <w:tcPr>
            <w:tcW w:w="6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 – 90</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120,110</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121,052</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More than 90</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375,022</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237,797</w:t>
            </w:r>
          </w:p>
        </w:tc>
      </w:tr>
      <w:tr>
        <w:trPr>
          <w:trHeight w:val="27"/>
        </w:trPr>
        <w:tc>
          <w:tcPr>
            <w:tcW w:w="6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6,867,643</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6,270,897</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Less : Allowance for doubtful accounts</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(200,000)</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6,667,643</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6,270,897</w:t>
            </w:r>
          </w:p>
        </w:tc>
      </w:tr>
      <w:tr>
        <w:trPr>
          <w:trHeight w:val="20"/>
        </w:trPr>
        <w:tc>
          <w:tcPr>
            <w:tcW w:w="64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5"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20"/>
          </w:cols>
          <w:pgMar w:left="240" w:top="135"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8.</w:t>
            </w: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97"/>
        </w:trPr>
        <w:tc>
          <w:tcPr>
            <w:tcW w:w="4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240" w:type="dxa"/>
            <w:vAlign w:val="bottom"/>
          </w:tcPr>
          <w:p>
            <w:pPr>
              <w:jc w:val="right"/>
              <w:ind w:right="250"/>
              <w:spacing w:after="0"/>
              <w:rPr>
                <w:sz w:val="20"/>
                <w:szCs w:val="20"/>
                <w:color w:val="auto"/>
              </w:rPr>
            </w:pPr>
            <w:r>
              <w:rPr>
                <w:rFonts w:ascii="Arial" w:cs="Arial" w:eastAsia="Arial" w:hAnsi="Arial"/>
                <w:sz w:val="18"/>
                <w:szCs w:val="18"/>
                <w:b w:val="1"/>
                <w:bCs w:val="1"/>
                <w:color w:val="auto"/>
              </w:rPr>
              <w:t>As at</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4"/>
        </w:trPr>
        <w:tc>
          <w:tcPr>
            <w:tcW w:w="4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2017</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w:t>
            </w:r>
          </w:p>
        </w:tc>
        <w:tc>
          <w:tcPr>
            <w:tcW w:w="2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Prepayments</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691,077</w:t>
            </w:r>
          </w:p>
        </w:tc>
        <w:tc>
          <w:tcPr>
            <w:tcW w:w="1860" w:type="dxa"/>
            <w:vAlign w:val="bottom"/>
          </w:tcPr>
          <w:p>
            <w:pPr>
              <w:jc w:val="right"/>
              <w:spacing w:after="0"/>
              <w:rPr>
                <w:sz w:val="20"/>
                <w:szCs w:val="20"/>
                <w:color w:val="auto"/>
              </w:rPr>
            </w:pPr>
            <w:r>
              <w:rPr>
                <w:rFonts w:ascii="Arial" w:cs="Arial" w:eastAsia="Arial" w:hAnsi="Arial"/>
                <w:sz w:val="18"/>
                <w:szCs w:val="18"/>
                <w:color w:val="auto"/>
              </w:rPr>
              <w:t>444,789</w:t>
            </w:r>
          </w:p>
        </w:tc>
      </w:tr>
      <w:tr>
        <w:trPr>
          <w:trHeight w:val="27"/>
        </w:trPr>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receivables</w:t>
            </w:r>
          </w:p>
        </w:tc>
        <w:tc>
          <w:tcPr>
            <w:tcW w:w="2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201,670</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176,784</w:t>
            </w:r>
          </w:p>
        </w:tc>
      </w:tr>
      <w:tr>
        <w:trPr>
          <w:trHeight w:val="243"/>
        </w:trPr>
        <w:tc>
          <w:tcPr>
            <w:tcW w:w="440" w:type="dxa"/>
            <w:vAlign w:val="bottom"/>
          </w:tcPr>
          <w:p>
            <w:pPr>
              <w:spacing w:after="0"/>
              <w:rPr>
                <w:sz w:val="21"/>
                <w:szCs w:val="21"/>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Other advances</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146,301</w:t>
            </w:r>
          </w:p>
        </w:tc>
        <w:tc>
          <w:tcPr>
            <w:tcW w:w="1860" w:type="dxa"/>
            <w:vAlign w:val="bottom"/>
          </w:tcPr>
          <w:p>
            <w:pPr>
              <w:jc w:val="right"/>
              <w:spacing w:after="0"/>
              <w:rPr>
                <w:sz w:val="20"/>
                <w:szCs w:val="20"/>
                <w:color w:val="auto"/>
              </w:rPr>
            </w:pPr>
            <w:r>
              <w:rPr>
                <w:rFonts w:ascii="Arial" w:cs="Arial" w:eastAsia="Arial" w:hAnsi="Arial"/>
                <w:sz w:val="18"/>
                <w:szCs w:val="18"/>
                <w:color w:val="auto"/>
              </w:rPr>
              <w:t>65,778</w:t>
            </w:r>
          </w:p>
        </w:tc>
      </w:tr>
      <w:tr>
        <w:trPr>
          <w:trHeight w:val="27"/>
        </w:trPr>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2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301,679</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301,679</w:t>
            </w:r>
          </w:p>
        </w:tc>
      </w:tr>
      <w:tr>
        <w:trPr>
          <w:trHeight w:val="237"/>
        </w:trPr>
        <w:tc>
          <w:tcPr>
            <w:tcW w:w="4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1,340,727</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989,030</w:t>
            </w:r>
          </w:p>
        </w:tc>
      </w:tr>
      <w:tr>
        <w:trPr>
          <w:trHeight w:val="27"/>
        </w:trPr>
        <w:tc>
          <w:tcPr>
            <w:tcW w:w="440" w:type="dxa"/>
            <w:vAlign w:val="bottom"/>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(non-current)</w:t>
            </w:r>
          </w:p>
        </w:tc>
        <w:tc>
          <w:tcPr>
            <w:tcW w:w="2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1,206,716</w:t>
            </w:r>
          </w:p>
        </w:tc>
        <w:tc>
          <w:tcPr>
            <w:tcW w:w="1860" w:type="dxa"/>
            <w:vAlign w:val="bottom"/>
          </w:tcPr>
          <w:p>
            <w:pPr>
              <w:jc w:val="right"/>
              <w:spacing w:after="0"/>
              <w:rPr>
                <w:sz w:val="20"/>
                <w:szCs w:val="20"/>
                <w:color w:val="auto"/>
              </w:rPr>
            </w:pPr>
            <w:r>
              <w:rPr>
                <w:rFonts w:ascii="Arial" w:cs="Arial" w:eastAsia="Arial" w:hAnsi="Arial"/>
                <w:sz w:val="18"/>
                <w:szCs w:val="18"/>
                <w:color w:val="auto"/>
              </w:rPr>
              <w:t>1,508,395</w:t>
            </w:r>
          </w:p>
        </w:tc>
      </w:tr>
      <w:tr>
        <w:trPr>
          <w:trHeight w:val="27"/>
        </w:trPr>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40" w:type="dxa"/>
            <w:vAlign w:val="bottom"/>
          </w:tcPr>
          <w:p>
            <w:pPr>
              <w:spacing w:after="0"/>
              <w:rPr>
                <w:sz w:val="23"/>
                <w:szCs w:val="23"/>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Advances and deposits</w:t>
            </w:r>
          </w:p>
        </w:tc>
        <w:tc>
          <w:tcPr>
            <w:tcW w:w="2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411,517</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390,653</w:t>
            </w:r>
          </w:p>
        </w:tc>
      </w:tr>
      <w:tr>
        <w:trPr>
          <w:trHeight w:val="237"/>
        </w:trPr>
        <w:tc>
          <w:tcPr>
            <w:tcW w:w="4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1,618,233</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1,899,048</w:t>
            </w:r>
          </w:p>
        </w:tc>
      </w:tr>
      <w:tr>
        <w:trPr>
          <w:trHeight w:val="27"/>
        </w:trPr>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35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is a Cayman Islands incorporated entity, where the corporate tax rate is nil. The Company’s operations are primarily in the U.S. The below disclosures have been made considering the Company’s operation in US, India and UK.</w:t>
      </w:r>
    </w:p>
    <w:p>
      <w:pPr>
        <w:spacing w:after="0" w:line="302"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Recent tax legislation (United States of America)</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2017 the U.S. government enacted comprehensive tax legislation, the Tax Cuts and Jobs Act (the Act), which significantly revises the ongoing U.S. corporate income tax law by lowering the U.S. federal corporate income tax rate from 34% to 21%, implementing a modified territorial tax system, imposing a one-time tax on foreign unremitted earnings and setting limitations on deductibility of certain costs (e.g., interest expense and executive compensation), among other things.</w:t>
      </w:r>
    </w:p>
    <w:p>
      <w:pPr>
        <w:spacing w:after="0" w:line="200" w:lineRule="exact"/>
        <w:rPr>
          <w:sz w:val="20"/>
          <w:szCs w:val="20"/>
          <w:color w:val="auto"/>
        </w:rPr>
      </w:pPr>
    </w:p>
    <w:p>
      <w:pPr>
        <w:spacing w:after="0" w:line="226" w:lineRule="exact"/>
        <w:rPr>
          <w:sz w:val="20"/>
          <w:szCs w:val="20"/>
          <w:color w:val="auto"/>
        </w:rPr>
      </w:pPr>
    </w:p>
    <w:p>
      <w:pPr>
        <w:ind w:left="560" w:hanging="552"/>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years ended December 31, 2017 and 2016, income (loss) before income taxes consists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7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Cayman Islands</w:t>
            </w:r>
          </w:p>
        </w:tc>
        <w:tc>
          <w:tcPr>
            <w:tcW w:w="2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(6,049,987)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(1,228,168)</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U.S</w:t>
            </w:r>
          </w:p>
        </w:tc>
        <w:tc>
          <w:tcPr>
            <w:tcW w:w="2740" w:type="dxa"/>
            <w:vAlign w:val="bottom"/>
          </w:tcPr>
          <w:p>
            <w:pPr>
              <w:jc w:val="right"/>
              <w:ind w:right="650"/>
              <w:spacing w:after="0"/>
              <w:rPr>
                <w:sz w:val="20"/>
                <w:szCs w:val="20"/>
                <w:color w:val="auto"/>
              </w:rPr>
            </w:pPr>
            <w:r>
              <w:rPr>
                <w:rFonts w:ascii="Arial" w:cs="Arial" w:eastAsia="Arial" w:hAnsi="Arial"/>
                <w:sz w:val="18"/>
                <w:szCs w:val="18"/>
                <w:color w:val="auto"/>
              </w:rPr>
              <w:t>4,598,253</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1,437,451</w:t>
            </w:r>
          </w:p>
        </w:tc>
      </w:tr>
      <w:tr>
        <w:trPr>
          <w:trHeight w:val="27"/>
        </w:trPr>
        <w:tc>
          <w:tcPr>
            <w:tcW w:w="6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27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1,035,618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864,670</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UK</w:t>
            </w:r>
          </w:p>
        </w:tc>
        <w:tc>
          <w:tcPr>
            <w:tcW w:w="2740" w:type="dxa"/>
            <w:vAlign w:val="bottom"/>
          </w:tcPr>
          <w:p>
            <w:pPr>
              <w:jc w:val="right"/>
              <w:ind w:right="590"/>
              <w:spacing w:after="0"/>
              <w:rPr>
                <w:sz w:val="20"/>
                <w:szCs w:val="20"/>
                <w:color w:val="auto"/>
              </w:rPr>
            </w:pPr>
            <w:r>
              <w:rPr>
                <w:rFonts w:ascii="Arial" w:cs="Arial" w:eastAsia="Arial" w:hAnsi="Arial"/>
                <w:sz w:val="18"/>
                <w:szCs w:val="18"/>
                <w:color w:val="auto"/>
              </w:rPr>
              <w:t>(547,459)</w:t>
            </w:r>
          </w:p>
        </w:tc>
        <w:tc>
          <w:tcPr>
            <w:tcW w:w="1560" w:type="dxa"/>
            <w:vAlign w:val="bottom"/>
          </w:tcPr>
          <w:p>
            <w:pPr>
              <w:jc w:val="right"/>
              <w:spacing w:after="0"/>
              <w:rPr>
                <w:sz w:val="20"/>
                <w:szCs w:val="20"/>
                <w:color w:val="auto"/>
              </w:rPr>
            </w:pPr>
            <w:r>
              <w:rPr>
                <w:rFonts w:ascii="Arial" w:cs="Arial" w:eastAsia="Arial" w:hAnsi="Arial"/>
                <w:sz w:val="18"/>
                <w:szCs w:val="18"/>
                <w:color w:val="auto"/>
              </w:rPr>
              <w:t>(1,328,886)</w:t>
            </w:r>
          </w:p>
        </w:tc>
      </w:tr>
      <w:tr>
        <w:trPr>
          <w:trHeight w:val="27"/>
        </w:trPr>
        <w:tc>
          <w:tcPr>
            <w:tcW w:w="61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(963,575)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(254,933)</w:t>
            </w:r>
          </w:p>
        </w:tc>
      </w:tr>
      <w:tr>
        <w:trPr>
          <w:trHeight w:val="20"/>
        </w:trPr>
        <w:tc>
          <w:tcPr>
            <w:tcW w:w="618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35"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income tax expense (benefit) for the years ended December 31, 2017 and 2016 was as follows:</w:t>
      </w:r>
    </w:p>
    <w:p>
      <w:pPr>
        <w:spacing w:after="0" w:line="200" w:lineRule="exact"/>
        <w:rPr>
          <w:sz w:val="20"/>
          <w:szCs w:val="20"/>
          <w:color w:val="auto"/>
        </w:rPr>
      </w:pPr>
    </w:p>
    <w:p>
      <w:pPr>
        <w:spacing w:after="0" w:line="251"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Current</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Deferred</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2017</w:t>
            </w:r>
          </w:p>
        </w:tc>
        <w:tc>
          <w:tcPr>
            <w:tcW w:w="1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(619,726)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346,320</w:t>
            </w:r>
          </w:p>
        </w:tc>
        <w:tc>
          <w:tcPr>
            <w:tcW w:w="1120" w:type="dxa"/>
            <w:vAlign w:val="bottom"/>
          </w:tcPr>
          <w:p>
            <w:pPr>
              <w:jc w:val="right"/>
              <w:spacing w:after="0"/>
              <w:rPr>
                <w:sz w:val="20"/>
                <w:szCs w:val="20"/>
                <w:color w:val="auto"/>
              </w:rPr>
            </w:pPr>
            <w:r>
              <w:rPr>
                <w:rFonts w:ascii="Arial" w:cs="Arial" w:eastAsia="Arial" w:hAnsi="Arial"/>
                <w:sz w:val="18"/>
                <w:szCs w:val="18"/>
                <w:color w:val="auto"/>
              </w:rPr>
              <w:t>(273,406)</w:t>
            </w:r>
          </w:p>
        </w:tc>
      </w:tr>
      <w:tr>
        <w:trPr>
          <w:trHeight w:val="27"/>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118,157</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(5,466)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112,691</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India</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391,642</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(57,699)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333,943</w:t>
            </w:r>
          </w:p>
        </w:tc>
      </w:tr>
      <w:tr>
        <w:trPr>
          <w:trHeight w:val="27"/>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(109,927)</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283,155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173,228</w:t>
            </w:r>
          </w:p>
        </w:tc>
      </w:tr>
      <w:tr>
        <w:trPr>
          <w:trHeight w:val="27"/>
        </w:trPr>
        <w:tc>
          <w:tcPr>
            <w:tcW w:w="61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Year ended December 31, 2016</w:t>
            </w:r>
          </w:p>
        </w:tc>
        <w:tc>
          <w:tcPr>
            <w:tcW w:w="1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1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(161,488)</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(262,466)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(423,954)</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281,539</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(120,140)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161,399</w:t>
            </w:r>
          </w:p>
        </w:tc>
      </w:tr>
      <w:tr>
        <w:trPr>
          <w:trHeight w:val="27"/>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352,048</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(42,901)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309,147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UK</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472,099</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(425,507)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46,592</w:t>
            </w:r>
          </w:p>
        </w:tc>
      </w:tr>
      <w:tr>
        <w:trPr>
          <w:trHeight w:val="20"/>
        </w:trPr>
        <w:tc>
          <w:tcPr>
            <w:tcW w:w="6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Tax rate reconciliation</w:t>
      </w:r>
    </w:p>
    <w:p>
      <w:pPr>
        <w:spacing w:after="0" w:line="13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Income tax expense differed from the amounts computed by applying the U.S. federal income tax rate of 34% to pretax book income. The significant reconciling items from the expected income tax expense to the actual income tax expense includes state and local income taxes, change in valuation allowance, R&amp;D research tax credits, changes in tax rate in the U.S. and tax rate differentials of Cayman Islands, UK and India.</w:t>
      </w:r>
    </w:p>
    <w:p>
      <w:pPr>
        <w:spacing w:after="0" w:line="200" w:lineRule="exact"/>
        <w:rPr>
          <w:sz w:val="20"/>
          <w:szCs w:val="20"/>
          <w:color w:val="auto"/>
        </w:rPr>
      </w:pPr>
    </w:p>
    <w:p>
      <w:pPr>
        <w:spacing w:after="0" w:line="20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components of deferred taxes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 assets (liabilities) as at December 31, 2017 and 2016 were as follows:</w:t>
      </w:r>
    </w:p>
    <w:p>
      <w:pPr>
        <w:spacing w:after="0" w:line="383"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Particulars</w:t>
            </w:r>
          </w:p>
        </w:tc>
        <w:tc>
          <w:tcPr>
            <w:tcW w:w="2460" w:type="dxa"/>
            <w:vAlign w:val="bottom"/>
          </w:tcPr>
          <w:p>
            <w:pPr>
              <w:jc w:val="right"/>
              <w:ind w:right="270"/>
              <w:spacing w:after="0"/>
              <w:rPr>
                <w:sz w:val="20"/>
                <w:szCs w:val="20"/>
                <w:color w:val="auto"/>
              </w:rPr>
            </w:pPr>
            <w:r>
              <w:rPr>
                <w:rFonts w:ascii="Arial" w:cs="Arial" w:eastAsia="Arial" w:hAnsi="Arial"/>
                <w:sz w:val="18"/>
                <w:szCs w:val="18"/>
                <w:b w:val="1"/>
                <w:bCs w:val="1"/>
                <w:color w:val="auto"/>
              </w:rPr>
              <w:t>As at</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180" w:type="dxa"/>
            <w:vAlign w:val="bottom"/>
          </w:tcPr>
          <w:p>
            <w:pPr>
              <w:spacing w:after="0"/>
              <w:rPr>
                <w:sz w:val="20"/>
                <w:szCs w:val="20"/>
                <w:color w:val="auto"/>
              </w:rPr>
            </w:pPr>
          </w:p>
        </w:tc>
        <w:tc>
          <w:tcPr>
            <w:tcW w:w="246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2017</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6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1,929,581</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1,633,697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Provision for estimated liabilities</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413,040</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698,790</w:t>
            </w:r>
          </w:p>
        </w:tc>
      </w:tr>
      <w:tr>
        <w:trPr>
          <w:trHeight w:val="27"/>
        </w:trPr>
        <w:tc>
          <w:tcPr>
            <w:tcW w:w="6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related liabilities</w:t>
            </w:r>
          </w:p>
        </w:tc>
        <w:tc>
          <w:tcPr>
            <w:tcW w:w="2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286,476</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253,727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Imputed interest income</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408,177</w:t>
            </w:r>
          </w:p>
        </w:tc>
      </w:tr>
      <w:tr>
        <w:trPr>
          <w:trHeight w:val="27"/>
        </w:trPr>
        <w:tc>
          <w:tcPr>
            <w:tcW w:w="6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2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853,835</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132,824</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18,718</w:t>
            </w:r>
          </w:p>
        </w:tc>
      </w:tr>
      <w:tr>
        <w:trPr>
          <w:trHeight w:val="27"/>
        </w:trPr>
        <w:tc>
          <w:tcPr>
            <w:tcW w:w="6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236,403</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331,566</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Gross deferred tax assets</w:t>
            </w:r>
          </w:p>
        </w:tc>
        <w:tc>
          <w:tcPr>
            <w:tcW w:w="2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3,852,159</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3,344,675</w:t>
            </w:r>
          </w:p>
        </w:tc>
      </w:tr>
      <w:tr>
        <w:trPr>
          <w:trHeight w:val="27"/>
        </w:trPr>
        <w:tc>
          <w:tcPr>
            <w:tcW w:w="6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2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(1,183,620)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(1,266,488)</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Total deferred tax assets</w:t>
            </w:r>
          </w:p>
        </w:tc>
        <w:tc>
          <w:tcPr>
            <w:tcW w:w="2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2,668,539</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2,078,187</w:t>
            </w:r>
          </w:p>
        </w:tc>
      </w:tr>
      <w:tr>
        <w:trPr>
          <w:trHeight w:val="27"/>
        </w:trPr>
        <w:tc>
          <w:tcPr>
            <w:tcW w:w="6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(123,977)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Goodwill and other intangible assets</w:t>
            </w: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(398,008)</w:t>
            </w:r>
          </w:p>
        </w:tc>
        <w:tc>
          <w:tcPr>
            <w:tcW w:w="1840" w:type="dxa"/>
            <w:vAlign w:val="bottom"/>
          </w:tcPr>
          <w:p>
            <w:pPr>
              <w:jc w:val="right"/>
              <w:spacing w:after="0"/>
              <w:rPr>
                <w:sz w:val="20"/>
                <w:szCs w:val="20"/>
                <w:color w:val="auto"/>
              </w:rPr>
            </w:pPr>
            <w:r>
              <w:rPr>
                <w:rFonts w:ascii="Arial" w:cs="Arial" w:eastAsia="Arial" w:hAnsi="Arial"/>
                <w:sz w:val="18"/>
                <w:szCs w:val="18"/>
                <w:color w:val="auto"/>
              </w:rPr>
              <w:t>(613,308)</w:t>
            </w:r>
          </w:p>
        </w:tc>
      </w:tr>
      <w:tr>
        <w:trPr>
          <w:trHeight w:val="27"/>
        </w:trPr>
        <w:tc>
          <w:tcPr>
            <w:tcW w:w="6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2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(2,233,644)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(1,395,015)</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(366,913)</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tax liability</w:t>
            </w:r>
          </w:p>
        </w:tc>
        <w:tc>
          <w:tcPr>
            <w:tcW w:w="2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(2,998,565)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(2,132,300)</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Net deferred tax liability</w:t>
            </w:r>
          </w:p>
        </w:tc>
        <w:tc>
          <w:tcPr>
            <w:tcW w:w="24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(330,026)</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(54,114)</w:t>
            </w:r>
          </w:p>
        </w:tc>
      </w:tr>
      <w:tr>
        <w:trPr>
          <w:trHeight w:val="27"/>
        </w:trPr>
        <w:tc>
          <w:tcPr>
            <w:tcW w:w="618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5"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420"/>
          </w:cols>
          <w:pgMar w:left="240" w:top="135"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Management assessed that there are no uncertain unrecognized tax benefits and that the tax positions taken have met the minimum statutory requirements to avoid payment of penalties.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total valuation allowance for deferred tax assets as of December 31, 2017 is as follows:</w:t>
      </w:r>
    </w:p>
    <w:p>
      <w:pPr>
        <w:spacing w:after="0" w:line="200" w:lineRule="exact"/>
        <w:rPr>
          <w:sz w:val="20"/>
          <w:szCs w:val="20"/>
          <w:color w:val="auto"/>
        </w:rPr>
      </w:pPr>
    </w:p>
    <w:p>
      <w:pPr>
        <w:spacing w:after="0" w:line="39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Particulars</w:t>
            </w:r>
          </w:p>
        </w:tc>
        <w:tc>
          <w:tcPr>
            <w:tcW w:w="2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Opening valuation allowance</w:t>
            </w:r>
          </w:p>
        </w:tc>
        <w:tc>
          <w:tcPr>
            <w:tcW w:w="27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1,266,488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699,716</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Addition during the year</w:t>
            </w:r>
          </w:p>
        </w:tc>
        <w:tc>
          <w:tcPr>
            <w:tcW w:w="2760" w:type="dxa"/>
            <w:vAlign w:val="bottom"/>
          </w:tcPr>
          <w:p>
            <w:pPr>
              <w:jc w:val="right"/>
              <w:ind w:right="670"/>
              <w:spacing w:after="0"/>
              <w:rPr>
                <w:sz w:val="20"/>
                <w:szCs w:val="20"/>
                <w:color w:val="auto"/>
              </w:rPr>
            </w:pPr>
            <w:r>
              <w:rPr>
                <w:rFonts w:ascii="Arial" w:cs="Arial" w:eastAsia="Arial" w:hAnsi="Arial"/>
                <w:sz w:val="18"/>
                <w:szCs w:val="18"/>
                <w:color w:val="auto"/>
              </w:rPr>
              <w:t>116,457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566,772</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 during the year</w:t>
            </w:r>
          </w:p>
        </w:tc>
        <w:tc>
          <w:tcPr>
            <w:tcW w:w="27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(199,325)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Closing valuation allowance</w:t>
            </w:r>
          </w:p>
        </w:tc>
        <w:tc>
          <w:tcPr>
            <w:tcW w:w="27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1,183,620</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1,266,488</w:t>
            </w:r>
          </w:p>
        </w:tc>
      </w:tr>
      <w:tr>
        <w:trPr>
          <w:trHeight w:val="27"/>
        </w:trPr>
        <w:tc>
          <w:tcPr>
            <w:tcW w:w="61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18" w:lineRule="exact"/>
        <w:rPr>
          <w:sz w:val="20"/>
          <w:szCs w:val="20"/>
          <w:color w:val="auto"/>
        </w:rPr>
      </w:pPr>
      <w:r>
        <w:rPr>
          <w:rFonts w:ascii="Arial" w:cs="Arial" w:eastAsia="Arial" w:hAnsi="Arial"/>
          <w:sz w:val="18"/>
          <w:szCs w:val="18"/>
          <w:color w:val="auto"/>
        </w:rPr>
        <w:t>The valuation allowance at December 31, 2017 has been reduced as in the judgment of management, it is more-likely-than-not to be realized. In assessing the realizability of deferred tax assets, management considers whether it is more-likely-than-not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w:t>
      </w:r>
      <w:r>
        <w:rPr>
          <w:rFonts w:ascii="MS PGothic" w:cs="MS PGothic" w:eastAsia="MS PGothic" w:hAnsi="MS PGothic"/>
          <w:sz w:val="18"/>
          <w:szCs w:val="18"/>
          <w:color w:val="auto"/>
        </w:rPr>
        <w:t>‑</w:t>
      </w:r>
      <w:r>
        <w:rPr>
          <w:rFonts w:ascii="Arial" w:cs="Arial" w:eastAsia="Arial" w:hAnsi="Arial"/>
          <w:sz w:val="18"/>
          <w:szCs w:val="18"/>
          <w:color w:val="auto"/>
        </w:rPr>
        <w:t>planning strategies in making this assessment. Based upon the level of historical taxable income and projections for future taxable income over the periods in which the deferred tax assets are deductible, management believes it is more-likely-than-not that the Company will realize the benefits of these deductible differences, net of the existing valuation allowances at December 31, 2017. The majority of the Company's deferred tax assets not reduced by valuation allowance are supported by reversing taxable temporary differences. The amount of the deferred tax asset considered realizable, however, could be reduced in the near term if estimates of future taxable income during the carryforward period are reduced.</w:t>
      </w:r>
    </w:p>
    <w:p>
      <w:pPr>
        <w:spacing w:after="0" w:line="2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intends to indefinitely reinvest all of its accumulated and future foreign earnings outside the Cayman Islands. If such earnings were repatriated to Cayman Islands, they would be subject to withholding or dividend distribution taxes. Due to the various methods by which such earnings could be repatriated in the future, the amount of taxes attributable to the undistributed earnings are dependent on circumstances existing if, and when remittance occurs. The amount of such temporary differences totaled $ 15,022,845 as of December 31, 2017. Determination of the amount of any unrecognized deferred income tax liability on this temporary difference is not practicable because of the complexities of the hypothetical calculation.</w:t>
      </w:r>
    </w:p>
    <w:p>
      <w:pPr>
        <w:spacing w:after="0" w:line="2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deferred tax assets related to net operating loss carryforwards are expected to expire over various periods. The Company has $ 59,828,916 of state tax NOLs and tax credits of $ 853,835 in the U.S. which will expire on various dates beginning in 2027 and 2025 respectively. The Company also has $ 2,447,324 of carryforward losses and $ 4,253 of tax credits in UK which can be carried forward indefinitely for use against future income.</w:t>
      </w:r>
    </w:p>
    <w:p>
      <w:pPr>
        <w:spacing w:after="0" w:line="25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Company is subject to the continual examination of its income tax returns by the IRS and other domestic and foreign tax authorities. For U.S, India and UK the earliest years open for examination are fiscal years beginning on or after January 1, 2014, April 1, 2009 and January 1, 2016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35" w:right="239" w:bottom="1440" w:gutter="0" w:footer="0" w:header="0"/>
        </w:sectPr>
      </w:pPr>
    </w:p>
    <w:bookmarkStart w:id="27" w:name="page28"/>
    <w:bookmarkEnd w:id="27"/>
    <w:p>
      <w:pPr>
        <w:jc w:val="center"/>
        <w:ind w:right="-259"/>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10.</w:t>
            </w:r>
          </w:p>
        </w:tc>
        <w:tc>
          <w:tcPr>
            <w:tcW w:w="6200" w:type="dxa"/>
            <w:vAlign w:val="bottom"/>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24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697"/>
        </w:trPr>
        <w:tc>
          <w:tcPr>
            <w:tcW w:w="46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Property and equipment consist of the following:</w:t>
            </w:r>
          </w:p>
        </w:tc>
        <w:tc>
          <w:tcPr>
            <w:tcW w:w="2460" w:type="dxa"/>
            <w:vAlign w:val="bottom"/>
          </w:tcPr>
          <w:p>
            <w:pPr>
              <w:jc w:val="right"/>
              <w:ind w:right="250"/>
              <w:spacing w:after="0"/>
              <w:rPr>
                <w:sz w:val="20"/>
                <w:szCs w:val="20"/>
                <w:color w:val="auto"/>
              </w:rPr>
            </w:pPr>
            <w:r>
              <w:rPr>
                <w:rFonts w:ascii="Arial" w:cs="Arial" w:eastAsia="Arial" w:hAnsi="Arial"/>
                <w:sz w:val="18"/>
                <w:szCs w:val="18"/>
                <w:b w:val="1"/>
                <w:bCs w:val="1"/>
                <w:color w:val="auto"/>
              </w:rPr>
              <w:t>As at</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4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4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2017</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95"/>
        </w:trPr>
        <w:tc>
          <w:tcPr>
            <w:tcW w:w="4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40" w:type="dxa"/>
            <w:vAlign w:val="bottom"/>
          </w:tcPr>
          <w:p>
            <w:pPr>
              <w:spacing w:after="0"/>
              <w:rPr>
                <w:sz w:val="8"/>
                <w:szCs w:val="8"/>
                <w:color w:val="auto"/>
              </w:rPr>
            </w:pPr>
          </w:p>
        </w:tc>
      </w:tr>
      <w:tr>
        <w:trPr>
          <w:trHeight w:val="250"/>
        </w:trPr>
        <w:tc>
          <w:tcPr>
            <w:tcW w:w="46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5,675,491</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4,723,927</w:t>
            </w:r>
          </w:p>
        </w:tc>
      </w:tr>
      <w:tr>
        <w:trPr>
          <w:trHeight w:val="243"/>
        </w:trPr>
        <w:tc>
          <w:tcPr>
            <w:tcW w:w="460" w:type="dxa"/>
            <w:vAlign w:val="bottom"/>
          </w:tcPr>
          <w:p>
            <w:pPr>
              <w:spacing w:after="0"/>
              <w:rPr>
                <w:sz w:val="21"/>
                <w:szCs w:val="21"/>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723,449</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680,756</w:t>
            </w:r>
          </w:p>
        </w:tc>
      </w:tr>
      <w:tr>
        <w:trPr>
          <w:trHeight w:val="27"/>
        </w:trPr>
        <w:tc>
          <w:tcPr>
            <w:tcW w:w="4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727,043</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727,043</w:t>
            </w:r>
          </w:p>
        </w:tc>
      </w:tr>
      <w:tr>
        <w:trPr>
          <w:trHeight w:val="243"/>
        </w:trPr>
        <w:tc>
          <w:tcPr>
            <w:tcW w:w="460" w:type="dxa"/>
            <w:vAlign w:val="bottom"/>
          </w:tcPr>
          <w:p>
            <w:pPr>
              <w:spacing w:after="0"/>
              <w:rPr>
                <w:sz w:val="21"/>
                <w:szCs w:val="21"/>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15,185,158</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10,761,730</w:t>
            </w:r>
          </w:p>
        </w:tc>
      </w:tr>
      <w:tr>
        <w:trPr>
          <w:trHeight w:val="27"/>
        </w:trPr>
        <w:tc>
          <w:tcPr>
            <w:tcW w:w="46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6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22,311,141</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16,893,456</w:t>
            </w:r>
          </w:p>
        </w:tc>
      </w:tr>
      <w:tr>
        <w:trPr>
          <w:trHeight w:val="243"/>
        </w:trPr>
        <w:tc>
          <w:tcPr>
            <w:tcW w:w="460" w:type="dxa"/>
            <w:vAlign w:val="bottom"/>
          </w:tcPr>
          <w:p>
            <w:pPr>
              <w:spacing w:after="0"/>
              <w:rPr>
                <w:sz w:val="21"/>
                <w:szCs w:val="21"/>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(14,717,846)</w:t>
            </w:r>
          </w:p>
        </w:tc>
        <w:tc>
          <w:tcPr>
            <w:tcW w:w="1840" w:type="dxa"/>
            <w:vAlign w:val="bottom"/>
          </w:tcPr>
          <w:p>
            <w:pPr>
              <w:jc w:val="right"/>
              <w:spacing w:after="0"/>
              <w:rPr>
                <w:sz w:val="20"/>
                <w:szCs w:val="20"/>
                <w:color w:val="auto"/>
              </w:rPr>
            </w:pPr>
            <w:r>
              <w:rPr>
                <w:rFonts w:ascii="Arial" w:cs="Arial" w:eastAsia="Arial" w:hAnsi="Arial"/>
                <w:sz w:val="18"/>
                <w:szCs w:val="18"/>
                <w:color w:val="auto"/>
              </w:rPr>
              <w:t>(11,358,439)</w:t>
            </w:r>
          </w:p>
        </w:tc>
      </w:tr>
      <w:tr>
        <w:trPr>
          <w:trHeight w:val="27"/>
        </w:trPr>
        <w:tc>
          <w:tcPr>
            <w:tcW w:w="46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6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7,593,295</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5,535,017</w:t>
            </w:r>
          </w:p>
        </w:tc>
      </w:tr>
      <w:tr>
        <w:trPr>
          <w:trHeight w:val="20"/>
        </w:trPr>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*Includes software under development of $1,210,499 as at December 31, 2017 (2016: Nil).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depreciation for the years ended December 31, 2017 and 2016 was $3,272,513 and $2,800,761, respectively.</w:t>
      </w:r>
    </w:p>
    <w:p>
      <w:pPr>
        <w:spacing w:after="0" w:line="200" w:lineRule="exact"/>
        <w:rPr>
          <w:sz w:val="20"/>
          <w:szCs w:val="20"/>
          <w:color w:val="auto"/>
        </w:rPr>
      </w:pPr>
    </w:p>
    <w:p>
      <w:pPr>
        <w:spacing w:after="0" w:line="264"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3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Acquired intangible assets, either individually or with a group of other assets or in a business combination, are as follows:</w:t>
      </w:r>
    </w:p>
    <w:p>
      <w:pPr>
        <w:sectPr>
          <w:pgSz w:w="11900" w:h="16838" w:orient="portrait"/>
          <w:cols w:equalWidth="0" w:num="1">
            <w:col w:w="11160"/>
          </w:cols>
          <w:pgMar w:left="240" w:top="13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relationship (Hospital Audit Locus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-139065</wp:posOffset>
            </wp:positionV>
            <wp:extent cx="665480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relationship/Non-Compete (Clear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66548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list (Socrates Inc.,)</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Customer relationship (SCIO Health Analytics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46355</wp:posOffset>
            </wp:positionV>
            <wp:extent cx="66548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contracts (Solucia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212090</wp:posOffset>
            </wp:positionV>
            <wp:extent cx="665480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581025</wp:posOffset>
            </wp:positionV>
            <wp:extent cx="69119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19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216"/>
        </w:trPr>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at</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4"/>
        </w:trPr>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w w:val="88"/>
              </w:rPr>
              <w:t>December 31, 2017</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December 31, 2016</w:t>
            </w:r>
          </w:p>
        </w:tc>
      </w:tr>
      <w:tr>
        <w:trPr>
          <w:trHeight w:val="270"/>
        </w:trPr>
        <w:tc>
          <w:tcPr>
            <w:tcW w:w="1840" w:type="dxa"/>
            <w:vAlign w:val="bottom"/>
          </w:tcPr>
          <w:p>
            <w:pPr>
              <w:jc w:val="right"/>
              <w:ind w:right="290"/>
              <w:spacing w:after="0"/>
              <w:rPr>
                <w:sz w:val="20"/>
                <w:szCs w:val="20"/>
                <w:color w:val="auto"/>
              </w:rPr>
            </w:pPr>
            <w:r>
              <w:rPr>
                <w:rFonts w:ascii="Arial" w:cs="Arial" w:eastAsia="Arial" w:hAnsi="Arial"/>
                <w:sz w:val="18"/>
                <w:szCs w:val="18"/>
                <w:color w:val="auto"/>
              </w:rPr>
              <w:t>3,109,000</w:t>
            </w:r>
          </w:p>
        </w:tc>
        <w:tc>
          <w:tcPr>
            <w:tcW w:w="1820" w:type="dxa"/>
            <w:vAlign w:val="bottom"/>
          </w:tcPr>
          <w:p>
            <w:pPr>
              <w:jc w:val="right"/>
              <w:spacing w:after="0"/>
              <w:rPr>
                <w:sz w:val="20"/>
                <w:szCs w:val="20"/>
                <w:color w:val="auto"/>
              </w:rPr>
            </w:pPr>
            <w:r>
              <w:rPr>
                <w:rFonts w:ascii="Arial" w:cs="Arial" w:eastAsia="Arial" w:hAnsi="Arial"/>
                <w:sz w:val="18"/>
                <w:szCs w:val="18"/>
                <w:color w:val="auto"/>
              </w:rPr>
              <w:t>3,109,000</w:t>
            </w:r>
          </w:p>
        </w:tc>
      </w:tr>
      <w:tr>
        <w:trPr>
          <w:trHeight w:val="270"/>
        </w:trPr>
        <w:tc>
          <w:tcPr>
            <w:tcW w:w="1840" w:type="dxa"/>
            <w:vAlign w:val="bottom"/>
          </w:tcPr>
          <w:p>
            <w:pPr>
              <w:jc w:val="right"/>
              <w:ind w:right="290"/>
              <w:spacing w:after="0"/>
              <w:rPr>
                <w:sz w:val="20"/>
                <w:szCs w:val="20"/>
                <w:color w:val="auto"/>
              </w:rPr>
            </w:pPr>
            <w:r>
              <w:rPr>
                <w:rFonts w:ascii="Arial" w:cs="Arial" w:eastAsia="Arial" w:hAnsi="Arial"/>
                <w:sz w:val="18"/>
                <w:szCs w:val="18"/>
                <w:color w:val="auto"/>
              </w:rPr>
              <w:t>2,533,408</w:t>
            </w:r>
          </w:p>
        </w:tc>
        <w:tc>
          <w:tcPr>
            <w:tcW w:w="1820" w:type="dxa"/>
            <w:vAlign w:val="bottom"/>
          </w:tcPr>
          <w:p>
            <w:pPr>
              <w:jc w:val="right"/>
              <w:spacing w:after="0"/>
              <w:rPr>
                <w:sz w:val="20"/>
                <w:szCs w:val="20"/>
                <w:color w:val="auto"/>
              </w:rPr>
            </w:pPr>
            <w:r>
              <w:rPr>
                <w:rFonts w:ascii="Arial" w:cs="Arial" w:eastAsia="Arial" w:hAnsi="Arial"/>
                <w:sz w:val="18"/>
                <w:szCs w:val="18"/>
                <w:color w:val="auto"/>
              </w:rPr>
              <w:t>2,533,408</w:t>
            </w:r>
          </w:p>
        </w:tc>
      </w:tr>
      <w:tr>
        <w:trPr>
          <w:trHeight w:val="270"/>
        </w:trPr>
        <w:tc>
          <w:tcPr>
            <w:tcW w:w="1840" w:type="dxa"/>
            <w:vAlign w:val="bottom"/>
          </w:tcPr>
          <w:p>
            <w:pPr>
              <w:jc w:val="right"/>
              <w:ind w:right="290"/>
              <w:spacing w:after="0"/>
              <w:rPr>
                <w:sz w:val="20"/>
                <w:szCs w:val="20"/>
                <w:color w:val="auto"/>
              </w:rPr>
            </w:pPr>
            <w:r>
              <w:rPr>
                <w:rFonts w:ascii="Arial" w:cs="Arial" w:eastAsia="Arial" w:hAnsi="Arial"/>
                <w:sz w:val="18"/>
                <w:szCs w:val="18"/>
                <w:color w:val="auto"/>
              </w:rPr>
              <w:t>1,350,000</w:t>
            </w:r>
          </w:p>
        </w:tc>
        <w:tc>
          <w:tcPr>
            <w:tcW w:w="1820" w:type="dxa"/>
            <w:vAlign w:val="bottom"/>
          </w:tcPr>
          <w:p>
            <w:pPr>
              <w:jc w:val="right"/>
              <w:spacing w:after="0"/>
              <w:rPr>
                <w:sz w:val="20"/>
                <w:szCs w:val="20"/>
                <w:color w:val="auto"/>
              </w:rPr>
            </w:pPr>
            <w:r>
              <w:rPr>
                <w:rFonts w:ascii="Arial" w:cs="Arial" w:eastAsia="Arial" w:hAnsi="Arial"/>
                <w:sz w:val="18"/>
                <w:szCs w:val="18"/>
                <w:color w:val="auto"/>
              </w:rPr>
              <w:t>1,350,000</w:t>
            </w:r>
          </w:p>
        </w:tc>
      </w:tr>
      <w:tr>
        <w:trPr>
          <w:trHeight w:val="270"/>
        </w:trPr>
        <w:tc>
          <w:tcPr>
            <w:tcW w:w="1840" w:type="dxa"/>
            <w:vAlign w:val="bottom"/>
          </w:tcPr>
          <w:p>
            <w:pPr>
              <w:jc w:val="right"/>
              <w:ind w:right="290"/>
              <w:spacing w:after="0"/>
              <w:rPr>
                <w:sz w:val="20"/>
                <w:szCs w:val="20"/>
                <w:color w:val="auto"/>
              </w:rPr>
            </w:pPr>
            <w:r>
              <w:rPr>
                <w:rFonts w:ascii="Arial" w:cs="Arial" w:eastAsia="Arial" w:hAnsi="Arial"/>
                <w:sz w:val="18"/>
                <w:szCs w:val="18"/>
                <w:color w:val="auto"/>
              </w:rPr>
              <w:t>1,081,632</w:t>
            </w:r>
          </w:p>
        </w:tc>
        <w:tc>
          <w:tcPr>
            <w:tcW w:w="1820" w:type="dxa"/>
            <w:vAlign w:val="bottom"/>
          </w:tcPr>
          <w:p>
            <w:pPr>
              <w:jc w:val="right"/>
              <w:spacing w:after="0"/>
              <w:rPr>
                <w:sz w:val="20"/>
                <w:szCs w:val="20"/>
                <w:color w:val="auto"/>
              </w:rPr>
            </w:pPr>
            <w:r>
              <w:rPr>
                <w:rFonts w:ascii="Arial" w:cs="Arial" w:eastAsia="Arial" w:hAnsi="Arial"/>
                <w:sz w:val="18"/>
                <w:szCs w:val="18"/>
                <w:color w:val="auto"/>
              </w:rPr>
              <w:t>1,081,632</w:t>
            </w:r>
          </w:p>
        </w:tc>
      </w:tr>
      <w:tr>
        <w:trPr>
          <w:trHeight w:val="270"/>
        </w:trPr>
        <w:tc>
          <w:tcPr>
            <w:tcW w:w="1840" w:type="dxa"/>
            <w:vAlign w:val="bottom"/>
          </w:tcPr>
          <w:p>
            <w:pPr>
              <w:jc w:val="right"/>
              <w:ind w:right="290"/>
              <w:spacing w:after="0"/>
              <w:rPr>
                <w:sz w:val="20"/>
                <w:szCs w:val="20"/>
                <w:color w:val="auto"/>
              </w:rPr>
            </w:pPr>
            <w:r>
              <w:rPr>
                <w:rFonts w:ascii="Arial" w:cs="Arial" w:eastAsia="Arial" w:hAnsi="Arial"/>
                <w:sz w:val="18"/>
                <w:szCs w:val="18"/>
                <w:color w:val="auto"/>
              </w:rPr>
              <w:t>50,000</w:t>
            </w:r>
          </w:p>
        </w:tc>
        <w:tc>
          <w:tcPr>
            <w:tcW w:w="182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jc w:val="right"/>
              <w:ind w:right="650"/>
              <w:spacing w:after="0"/>
              <w:rPr>
                <w:sz w:val="20"/>
                <w:szCs w:val="20"/>
                <w:color w:val="auto"/>
              </w:rPr>
            </w:pPr>
            <w:r>
              <w:rPr>
                <w:rFonts w:ascii="Arial" w:cs="Arial" w:eastAsia="Arial" w:hAnsi="Arial"/>
                <w:sz w:val="18"/>
                <w:szCs w:val="18"/>
                <w:b w:val="1"/>
                <w:bCs w:val="1"/>
                <w:color w:val="auto"/>
              </w:rPr>
              <w:t>8,124,040</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8,124,040</w:t>
            </w:r>
          </w:p>
        </w:tc>
      </w:tr>
      <w:tr>
        <w:trPr>
          <w:trHeight w:val="270"/>
        </w:trPr>
        <w:tc>
          <w:tcPr>
            <w:tcW w:w="2620" w:type="dxa"/>
            <w:vAlign w:val="bottom"/>
          </w:tcPr>
          <w:p>
            <w:pPr>
              <w:jc w:val="right"/>
              <w:ind w:right="590"/>
              <w:spacing w:after="0"/>
              <w:rPr>
                <w:sz w:val="20"/>
                <w:szCs w:val="20"/>
                <w:color w:val="auto"/>
              </w:rPr>
            </w:pPr>
            <w:r>
              <w:rPr>
                <w:rFonts w:ascii="Arial" w:cs="Arial" w:eastAsia="Arial" w:hAnsi="Arial"/>
                <w:sz w:val="18"/>
                <w:szCs w:val="18"/>
                <w:color w:val="auto"/>
              </w:rPr>
              <w:t>(5,233,325)</w:t>
            </w:r>
          </w:p>
        </w:tc>
        <w:tc>
          <w:tcPr>
            <w:tcW w:w="1560" w:type="dxa"/>
            <w:vAlign w:val="bottom"/>
          </w:tcPr>
          <w:p>
            <w:pPr>
              <w:jc w:val="right"/>
              <w:spacing w:after="0"/>
              <w:rPr>
                <w:sz w:val="20"/>
                <w:szCs w:val="20"/>
                <w:color w:val="auto"/>
              </w:rPr>
            </w:pPr>
            <w:r>
              <w:rPr>
                <w:rFonts w:ascii="Arial" w:cs="Arial" w:eastAsia="Arial" w:hAnsi="Arial"/>
                <w:sz w:val="18"/>
                <w:szCs w:val="18"/>
                <w:color w:val="auto"/>
              </w:rPr>
              <w:t>(4,229,117)</w:t>
            </w:r>
          </w:p>
        </w:tc>
      </w:tr>
      <w:tr>
        <w:trPr>
          <w:trHeight w:val="27"/>
        </w:trPr>
        <w:tc>
          <w:tcPr>
            <w:tcW w:w="2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jc w:val="right"/>
              <w:ind w:right="650"/>
              <w:spacing w:after="0"/>
              <w:rPr>
                <w:sz w:val="20"/>
                <w:szCs w:val="20"/>
                <w:color w:val="auto"/>
              </w:rPr>
            </w:pPr>
            <w:r>
              <w:rPr>
                <w:rFonts w:ascii="Arial" w:cs="Arial" w:eastAsia="Arial" w:hAnsi="Arial"/>
                <w:sz w:val="18"/>
                <w:szCs w:val="18"/>
                <w:b w:val="1"/>
                <w:bCs w:val="1"/>
                <w:color w:val="auto"/>
              </w:rPr>
              <w:t>2,890,715</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3,894,923</w:t>
            </w:r>
          </w:p>
        </w:tc>
      </w:tr>
      <w:tr>
        <w:trPr>
          <w:trHeight w:val="27"/>
        </w:trPr>
        <w:tc>
          <w:tcPr>
            <w:tcW w:w="2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060" w:space="720"/>
            <w:col w:w="4380"/>
          </w:cols>
          <w:pgMar w:left="240" w:top="135" w:right="499" w:bottom="1440" w:gutter="0" w:footer="0" w:header="0"/>
          <w:type w:val="continuous"/>
        </w:sectPr>
      </w:pPr>
    </w:p>
    <w:p>
      <w:pPr>
        <w:spacing w:after="0" w:line="38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Intangible assets subject to amortization</w:t>
            </w:r>
          </w:p>
        </w:tc>
        <w:tc>
          <w:tcPr>
            <w:tcW w:w="2620" w:type="dxa"/>
            <w:vAlign w:val="bottom"/>
          </w:tcPr>
          <w:p>
            <w:pPr>
              <w:jc w:val="right"/>
              <w:ind w:right="170"/>
              <w:spacing w:after="0"/>
              <w:rPr>
                <w:sz w:val="20"/>
                <w:szCs w:val="20"/>
                <w:color w:val="auto"/>
              </w:rPr>
            </w:pPr>
            <w:r>
              <w:rPr>
                <w:rFonts w:ascii="Arial" w:cs="Arial" w:eastAsia="Arial" w:hAnsi="Arial"/>
                <w:sz w:val="18"/>
                <w:szCs w:val="18"/>
                <w:b w:val="1"/>
                <w:bCs w:val="1"/>
                <w:color w:val="auto"/>
              </w:rPr>
              <w:t>Gross carrying</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Net carrying</w:t>
            </w:r>
          </w:p>
        </w:tc>
      </w:tr>
      <w:tr>
        <w:trPr>
          <w:trHeight w:val="216"/>
        </w:trPr>
        <w:tc>
          <w:tcPr>
            <w:tcW w:w="4320" w:type="dxa"/>
            <w:vAlign w:val="bottom"/>
          </w:tcPr>
          <w:p>
            <w:pPr>
              <w:spacing w:after="0"/>
              <w:rPr>
                <w:sz w:val="18"/>
                <w:szCs w:val="18"/>
                <w:color w:val="auto"/>
              </w:rPr>
            </w:pPr>
          </w:p>
        </w:tc>
        <w:tc>
          <w:tcPr>
            <w:tcW w:w="262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amortization</w:t>
            </w: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16"/>
        </w:trPr>
        <w:tc>
          <w:tcPr>
            <w:tcW w:w="4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amortization</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4,190,632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 yrs</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2,987,522</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1,203,110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Customer relationships – Clear Vision</w:t>
            </w:r>
          </w:p>
        </w:tc>
        <w:tc>
          <w:tcPr>
            <w:tcW w:w="2620" w:type="dxa"/>
            <w:vAlign w:val="bottom"/>
          </w:tcPr>
          <w:p>
            <w:pPr>
              <w:jc w:val="right"/>
              <w:ind w:right="110"/>
              <w:spacing w:after="0"/>
              <w:rPr>
                <w:sz w:val="20"/>
                <w:szCs w:val="20"/>
                <w:color w:val="auto"/>
              </w:rPr>
            </w:pPr>
            <w:r>
              <w:rPr>
                <w:rFonts w:ascii="Arial" w:cs="Arial" w:eastAsia="Arial" w:hAnsi="Arial"/>
                <w:sz w:val="18"/>
                <w:szCs w:val="18"/>
                <w:color w:val="auto"/>
              </w:rPr>
              <w:t>2,513,408</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6 yrs</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837,803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1,675,605</w:t>
            </w:r>
          </w:p>
        </w:tc>
      </w:tr>
      <w:tr>
        <w:trPr>
          <w:trHeight w:val="27"/>
        </w:trPr>
        <w:tc>
          <w:tcPr>
            <w:tcW w:w="4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1,350,000</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 yrs</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1,350,000</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2620" w:type="dxa"/>
            <w:vAlign w:val="bottom"/>
          </w:tcPr>
          <w:p>
            <w:pPr>
              <w:jc w:val="right"/>
              <w:ind w:right="110"/>
              <w:spacing w:after="0"/>
              <w:rPr>
                <w:sz w:val="20"/>
                <w:szCs w:val="20"/>
                <w:color w:val="auto"/>
              </w:rPr>
            </w:pPr>
            <w:r>
              <w:rPr>
                <w:rFonts w:ascii="Arial" w:cs="Arial" w:eastAsia="Arial" w:hAnsi="Arial"/>
                <w:sz w:val="18"/>
                <w:szCs w:val="18"/>
                <w:color w:val="auto"/>
              </w:rPr>
              <w:t>50,000</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5 yrs</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50,000</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20,000</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 yrs</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8,000</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r>
      <w:tr>
        <w:trPr>
          <w:trHeight w:val="237"/>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8,124,040</w:t>
            </w:r>
          </w:p>
        </w:tc>
        <w:tc>
          <w:tcPr>
            <w:tcW w:w="1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5,233,325</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2,890,715</w:t>
            </w:r>
          </w:p>
        </w:tc>
      </w:tr>
      <w:tr>
        <w:trPr>
          <w:trHeight w:val="27"/>
        </w:trPr>
        <w:tc>
          <w:tcPr>
            <w:tcW w:w="4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240" w:top="135" w:right="499" w:bottom="1440" w:gutter="0" w:footer="0" w:header="0"/>
          <w:type w:val="continuous"/>
        </w:sectPr>
      </w:pPr>
    </w:p>
    <w:p>
      <w:pPr>
        <w:spacing w:after="0" w:line="35"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160"/>
          </w:cols>
          <w:pgMar w:left="240" w:top="135" w:right="49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7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Aggregate amortization expense for the years ended December 31, 2017 and 2016 was $1,004,209 and $1,003,543 respectively. Estimated amortization expense for the year 2018 is $1,004,209, for 2019 is $733,801, for 2020 is $733,801 and for 2021 is $418,904.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7"/>
              </w:rPr>
              <w:t>12.</w:t>
            </w:r>
          </w:p>
        </w:tc>
        <w:tc>
          <w:tcPr>
            <w:tcW w:w="100" w:type="dxa"/>
            <w:vAlign w:val="bottom"/>
          </w:tcPr>
          <w:p>
            <w:pPr>
              <w:spacing w:after="0"/>
              <w:rPr>
                <w:sz w:val="20"/>
                <w:szCs w:val="20"/>
                <w:color w:val="auto"/>
              </w:rPr>
            </w:pPr>
          </w:p>
        </w:tc>
        <w:tc>
          <w:tcPr>
            <w:tcW w:w="6260" w:type="dxa"/>
            <w:vAlign w:val="bottom"/>
          </w:tcPr>
          <w:p>
            <w:pPr>
              <w:ind w:left="140"/>
              <w:spacing w:after="0"/>
              <w:rPr>
                <w:sz w:val="20"/>
                <w:szCs w:val="20"/>
                <w:color w:val="auto"/>
              </w:rPr>
            </w:pPr>
            <w:r>
              <w:rPr>
                <w:rFonts w:ascii="Arial" w:cs="Arial" w:eastAsia="Arial" w:hAnsi="Arial"/>
                <w:sz w:val="18"/>
                <w:szCs w:val="18"/>
                <w:b w:val="1"/>
                <w:bCs w:val="1"/>
                <w:color w:val="auto"/>
              </w:rPr>
              <w:t>Goodwill</w:t>
            </w:r>
          </w:p>
        </w:tc>
        <w:tc>
          <w:tcPr>
            <w:tcW w:w="2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20" w:type="dxa"/>
            <w:vAlign w:val="bottom"/>
          </w:tcPr>
          <w:p>
            <w:pPr>
              <w:spacing w:after="0"/>
              <w:rPr>
                <w:sz w:val="24"/>
                <w:szCs w:val="24"/>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The carrying amount of goodwill is as follows:</w:t>
            </w:r>
          </w:p>
        </w:tc>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Particulars</w:t>
            </w:r>
          </w:p>
        </w:tc>
        <w:tc>
          <w:tcPr>
            <w:tcW w:w="250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at</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vMerge w:val="restart"/>
          </w:tcPr>
          <w:p>
            <w:pPr>
              <w:ind w:left="20"/>
              <w:spacing w:after="0"/>
              <w:rPr>
                <w:sz w:val="20"/>
                <w:szCs w:val="20"/>
                <w:color w:val="auto"/>
              </w:rPr>
            </w:pPr>
            <w:r>
              <w:rPr>
                <w:rFonts w:ascii="Arial" w:cs="Arial" w:eastAsia="Arial" w:hAnsi="Arial"/>
                <w:sz w:val="18"/>
                <w:szCs w:val="18"/>
                <w:color w:val="auto"/>
              </w:rPr>
              <w:t>Acquisition of :</w:t>
            </w:r>
          </w:p>
        </w:tc>
        <w:tc>
          <w:tcPr>
            <w:tcW w:w="2500" w:type="dxa"/>
            <w:vAlign w:val="bottom"/>
          </w:tcPr>
          <w:p>
            <w:pPr>
              <w:jc w:val="right"/>
              <w:ind w:right="290"/>
              <w:spacing w:after="0"/>
              <w:rPr>
                <w:sz w:val="20"/>
                <w:szCs w:val="20"/>
                <w:color w:val="auto"/>
              </w:rPr>
            </w:pPr>
            <w:r>
              <w:rPr>
                <w:rFonts w:ascii="Arial" w:cs="Arial" w:eastAsia="Arial" w:hAnsi="Arial"/>
                <w:sz w:val="18"/>
                <w:szCs w:val="18"/>
                <w:b w:val="1"/>
                <w:bCs w:val="1"/>
                <w:color w:val="auto"/>
              </w:rPr>
              <w:t>31 December 2017</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 2016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Hospital Audit Locus, Inc.</w:t>
            </w:r>
          </w:p>
        </w:tc>
        <w:tc>
          <w:tcPr>
            <w:tcW w:w="2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5,759,810</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5,759,810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Solucia</w:t>
            </w:r>
          </w:p>
        </w:tc>
        <w:tc>
          <w:tcPr>
            <w:tcW w:w="2500" w:type="dxa"/>
            <w:vAlign w:val="bottom"/>
          </w:tcPr>
          <w:p>
            <w:pPr>
              <w:jc w:val="right"/>
              <w:ind w:right="290"/>
              <w:spacing w:after="0"/>
              <w:rPr>
                <w:sz w:val="20"/>
                <w:szCs w:val="20"/>
                <w:color w:val="auto"/>
              </w:rPr>
            </w:pPr>
            <w:r>
              <w:rPr>
                <w:rFonts w:ascii="Arial" w:cs="Arial" w:eastAsia="Arial" w:hAnsi="Arial"/>
                <w:sz w:val="18"/>
                <w:szCs w:val="18"/>
                <w:color w:val="auto"/>
              </w:rPr>
              <w:t>542,837</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542,837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Socrates, Inc.</w:t>
            </w:r>
          </w:p>
        </w:tc>
        <w:tc>
          <w:tcPr>
            <w:tcW w:w="2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2,564,467</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2,564,467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SCIO Health Analytics (UK) Limited</w:t>
            </w:r>
          </w:p>
        </w:tc>
        <w:tc>
          <w:tcPr>
            <w:tcW w:w="2500" w:type="dxa"/>
            <w:vAlign w:val="bottom"/>
          </w:tcPr>
          <w:p>
            <w:pPr>
              <w:jc w:val="right"/>
              <w:ind w:right="290"/>
              <w:spacing w:after="0"/>
              <w:rPr>
                <w:sz w:val="20"/>
                <w:szCs w:val="20"/>
                <w:color w:val="auto"/>
              </w:rPr>
            </w:pPr>
            <w:r>
              <w:rPr>
                <w:rFonts w:ascii="Arial" w:cs="Arial" w:eastAsia="Arial" w:hAnsi="Arial"/>
                <w:sz w:val="18"/>
                <w:szCs w:val="18"/>
                <w:color w:val="auto"/>
              </w:rPr>
              <w:t>8,689,765</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8,689,765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 Vision</w:t>
            </w:r>
          </w:p>
        </w:tc>
        <w:tc>
          <w:tcPr>
            <w:tcW w:w="2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4,532,958</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4,532,958</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Gross closing balance</w:t>
            </w:r>
          </w:p>
        </w:tc>
        <w:tc>
          <w:tcPr>
            <w:tcW w:w="2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22,089,837</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22,089,837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(4,578,675)</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Net closing balance</w:t>
            </w:r>
          </w:p>
        </w:tc>
        <w:tc>
          <w:tcPr>
            <w:tcW w:w="2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17,511,162</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22,089,837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has been allocated to the following reporting units, which represent different business units of the Company, as follows:</w:t>
      </w:r>
    </w:p>
    <w:p>
      <w:pPr>
        <w:spacing w:after="0" w:line="200" w:lineRule="exact"/>
        <w:rPr>
          <w:sz w:val="20"/>
          <w:szCs w:val="20"/>
          <w:color w:val="auto"/>
        </w:rPr>
      </w:pPr>
    </w:p>
    <w:p>
      <w:pPr>
        <w:spacing w:after="0" w:line="29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Particulars</w:t>
            </w:r>
          </w:p>
        </w:tc>
        <w:tc>
          <w:tcPr>
            <w:tcW w:w="2460" w:type="dxa"/>
            <w:vAlign w:val="bottom"/>
          </w:tcPr>
          <w:p>
            <w:pPr>
              <w:jc w:val="right"/>
              <w:ind w:right="250"/>
              <w:spacing w:after="0"/>
              <w:rPr>
                <w:sz w:val="20"/>
                <w:szCs w:val="20"/>
                <w:color w:val="auto"/>
              </w:rPr>
            </w:pPr>
            <w:r>
              <w:rPr>
                <w:rFonts w:ascii="Arial" w:cs="Arial" w:eastAsia="Arial" w:hAnsi="Arial"/>
                <w:sz w:val="18"/>
                <w:szCs w:val="18"/>
                <w:b w:val="1"/>
                <w:bCs w:val="1"/>
                <w:color w:val="auto"/>
              </w:rPr>
              <w:t>As at</w:t>
            </w: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260" w:type="dxa"/>
            <w:vAlign w:val="bottom"/>
          </w:tcPr>
          <w:p>
            <w:pPr>
              <w:spacing w:after="0"/>
              <w:rPr>
                <w:sz w:val="20"/>
                <w:szCs w:val="20"/>
                <w:color w:val="auto"/>
              </w:rPr>
            </w:pPr>
          </w:p>
        </w:tc>
        <w:tc>
          <w:tcPr>
            <w:tcW w:w="246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 2017</w:t>
            </w: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 2016</w:t>
            </w:r>
          </w:p>
        </w:tc>
      </w:tr>
      <w:tr>
        <w:trPr>
          <w:trHeight w:val="243"/>
        </w:trPr>
        <w:tc>
          <w:tcPr>
            <w:tcW w:w="62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13,400,072</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13,400,072</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UK</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4,111,090</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8,689,765</w:t>
            </w:r>
          </w:p>
        </w:tc>
      </w:tr>
      <w:tr>
        <w:trPr>
          <w:trHeight w:val="27"/>
        </w:trPr>
        <w:tc>
          <w:tcPr>
            <w:tcW w:w="626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closing balance</w:t>
            </w:r>
          </w:p>
        </w:tc>
        <w:tc>
          <w:tcPr>
            <w:tcW w:w="2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17,511,162</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22,089,837</w:t>
            </w:r>
          </w:p>
        </w:tc>
      </w:tr>
      <w:tr>
        <w:trPr>
          <w:trHeight w:val="20"/>
        </w:trPr>
        <w:tc>
          <w:tcPr>
            <w:tcW w:w="62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3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For the year ended December 31, 2017, in accordance with ASU 2011-08, the Company performed an assessment of qualitative factors to determine whether events or circumstances exist that may lead to a determination that it is more likely than not that the fair value of a reporting unit is less than its carrying amount. Based on its assessment, the Company concluded that it is more likely than not that the fair value of its UK reporting unit is less than its carrying amount, primarily due to a decline in planned revenues. Accordingly, the Company performed a quantitative assessment of goodwill impairment for its UK reporting unit, using the income approach based on estimated discounted future cash flows. Based on such quantitative assessment, the Company concluded that goodwill on acquisition of SCIO Health Analytics (UK) Limited was impaired and accordingly, $4,578,675 was recognized as impairment loss for the year ended December 31, 2017 in the statement of operations (2016: Nil).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35"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35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2007, the Company adopted a stock compensation plan (‘the Plan’) pursuant to which the Company’s board of directors may grant stock options or non-vested shares to officers and key employees. The plan has reserved 6,520,000 shares of authorized common stock. Stock options can be granted with an exercise price less than, equal to or greater than the stock’s fair market value at the date of grant. All awards have a total contractual term of 10 years, and vest over 4 years as follows:</w:t>
      </w:r>
    </w:p>
    <w:p>
      <w:pPr>
        <w:sectPr>
          <w:pgSz w:w="11900" w:h="16838" w:orient="portrait"/>
          <w:cols w:equalWidth="0" w:num="1">
            <w:col w:w="11420"/>
          </w:cols>
          <w:pgMar w:left="240" w:top="135" w:right="239" w:bottom="1440" w:gutter="0" w:footer="0" w:header="0"/>
        </w:sect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One fourth of the options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At the end of one year from the date of grant</w:t>
      </w:r>
    </w:p>
    <w:p>
      <w:pPr>
        <w:spacing w:after="0" w:line="200" w:lineRule="exact"/>
        <w:rPr>
          <w:sz w:val="20"/>
          <w:szCs w:val="20"/>
          <w:color w:val="auto"/>
        </w:rPr>
      </w:pPr>
    </w:p>
    <w:p>
      <w:pPr>
        <w:sectPr>
          <w:pgSz w:w="11900" w:h="16838" w:orient="portrait"/>
          <w:cols w:equalWidth="0" w:num="2">
            <w:col w:w="2480" w:space="400"/>
            <w:col w:w="8540"/>
          </w:cols>
          <w:pgMar w:left="240" w:top="135"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Three fourths of the options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At the end of each half year during the second, third and fourth year</w:t>
      </w:r>
    </w:p>
    <w:p>
      <w:pPr>
        <w:spacing w:after="0" w:line="140" w:lineRule="exact"/>
        <w:rPr>
          <w:sz w:val="20"/>
          <w:szCs w:val="20"/>
          <w:color w:val="auto"/>
        </w:rPr>
      </w:pPr>
    </w:p>
    <w:p>
      <w:pPr>
        <w:sectPr>
          <w:pgSz w:w="11900" w:h="16838" w:orient="portrait"/>
          <w:cols w:equalWidth="0" w:num="2">
            <w:col w:w="2660" w:space="240"/>
            <w:col w:w="8520"/>
          </w:cols>
          <w:pgMar w:left="240" w:top="135" w:right="239" w:bottom="1440" w:gutter="0" w:footer="0" w:header="0"/>
          <w:type w:val="continuous"/>
        </w:sectPr>
      </w:pPr>
    </w:p>
    <w:p>
      <w:pPr>
        <w:ind w:left="3240"/>
        <w:spacing w:after="0"/>
        <w:rPr>
          <w:sz w:val="20"/>
          <w:szCs w:val="20"/>
          <w:color w:val="auto"/>
        </w:rPr>
      </w:pPr>
      <w:r>
        <w:rPr>
          <w:rFonts w:ascii="Arial" w:cs="Arial" w:eastAsia="Arial" w:hAnsi="Arial"/>
          <w:sz w:val="16"/>
          <w:szCs w:val="16"/>
          <w:color w:val="auto"/>
        </w:rPr>
        <w:t>from the date of grant in 6 equal installments.</w:t>
      </w:r>
    </w:p>
    <w:p>
      <w:pPr>
        <w:sectPr>
          <w:pgSz w:w="11900" w:h="16838" w:orient="portrait"/>
          <w:cols w:equalWidth="0" w:num="1">
            <w:col w:w="11420"/>
          </w:cols>
          <w:pgMar w:left="240" w:top="135" w:right="239" w:bottom="1440" w:gutter="0" w:footer="0" w:header="0"/>
          <w:type w:val="continuous"/>
        </w:sectPr>
      </w:pPr>
    </w:p>
    <w:p>
      <w:pPr>
        <w:spacing w:after="0" w:line="140" w:lineRule="exact"/>
        <w:rPr>
          <w:sz w:val="20"/>
          <w:szCs w:val="20"/>
          <w:color w:val="auto"/>
        </w:rPr>
      </w:pPr>
    </w:p>
    <w:p>
      <w:pPr>
        <w:jc w:val="both"/>
        <w:ind w:firstLine="405"/>
        <w:spacing w:after="0" w:line="219" w:lineRule="exact"/>
        <w:rPr>
          <w:sz w:val="20"/>
          <w:szCs w:val="20"/>
          <w:color w:val="auto"/>
        </w:rPr>
      </w:pPr>
      <w:r>
        <w:rPr>
          <w:rFonts w:ascii="Arial" w:cs="Arial" w:eastAsia="Arial" w:hAnsi="Arial"/>
          <w:sz w:val="16"/>
          <w:szCs w:val="16"/>
          <w:color w:val="auto"/>
        </w:rPr>
        <w:t>The fair value of each option award is estimated on the date of grant using the Black-Scholes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that used the weighted average assumptions in the following table. Since the Company’s shares are not publicly traded and its shares are rarely traded privately, expected volatility is computed based on the average historical volatility of similar entities with publicly traded shares. The risk</w:t>
      </w:r>
      <w:r>
        <w:rPr>
          <w:rFonts w:ascii="MS PGothic" w:cs="MS PGothic" w:eastAsia="MS PGothic" w:hAnsi="MS PGothic"/>
          <w:sz w:val="16"/>
          <w:szCs w:val="16"/>
          <w:color w:val="auto"/>
        </w:rPr>
        <w:t>‑</w:t>
      </w:r>
      <w:r>
        <w:rPr>
          <w:rFonts w:ascii="Arial" w:cs="Arial" w:eastAsia="Arial" w:hAnsi="Arial"/>
          <w:sz w:val="16"/>
          <w:szCs w:val="16"/>
          <w:color w:val="auto"/>
        </w:rPr>
        <w:t>free rate for the expected term of the option is based on the U.S. Treasury yield curve in effect at the time of grant. Expected dividends during the estimated term of the option are based on recent dividend activity; the Company has not paid any cash dividends on common stock in the recent periods and does not anticipate doing so in the foreseeable future.</w:t>
      </w:r>
    </w:p>
    <w:p>
      <w:pPr>
        <w:spacing w:after="0" w:line="3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company specific historical data to estimate the expected term of the option, such as employee option exercise and employee post-vesting departure behavior. Since the Company’s shares are not publicly traded and its shares are rarely traded privately, expected volatility is estimated based on the average historical volatility of similar entities with publicly traded shares. The risk-free rate for the expected term of the option is based on the U.S. Treasury yield curve at the date of grant. The Company uses a simplified method available to non-public companies to determine the expected term for the valuation of options.</w:t>
      </w:r>
    </w:p>
    <w:p>
      <w:pPr>
        <w:spacing w:after="0" w:line="200" w:lineRule="exact"/>
        <w:rPr>
          <w:sz w:val="20"/>
          <w:szCs w:val="20"/>
          <w:color w:val="auto"/>
        </w:rPr>
      </w:pP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Assumptions</w:t>
            </w:r>
          </w:p>
        </w:tc>
        <w:tc>
          <w:tcPr>
            <w:tcW w:w="30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r>
      <w:tr>
        <w:trPr>
          <w:trHeight w:val="54"/>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7"/>
        </w:trPr>
        <w:tc>
          <w:tcPr>
            <w:tcW w:w="20" w:type="dxa"/>
            <w:vAlign w:val="bottom"/>
          </w:tcPr>
          <w:p>
            <w:pPr>
              <w:spacing w:after="0"/>
              <w:rPr>
                <w:sz w:val="24"/>
                <w:szCs w:val="24"/>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0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020" w:type="dxa"/>
            <w:vAlign w:val="bottom"/>
          </w:tcPr>
          <w:p>
            <w:pPr>
              <w:jc w:val="right"/>
              <w:ind w:right="430"/>
              <w:spacing w:after="0"/>
              <w:rPr>
                <w:sz w:val="20"/>
                <w:szCs w:val="20"/>
                <w:color w:val="auto"/>
              </w:rPr>
            </w:pPr>
            <w:r>
              <w:rPr>
                <w:rFonts w:ascii="Arial" w:cs="Arial" w:eastAsia="Arial" w:hAnsi="Arial"/>
                <w:sz w:val="18"/>
                <w:szCs w:val="18"/>
                <w:color w:val="auto"/>
              </w:rPr>
              <w:t>40.8%</w:t>
            </w:r>
          </w:p>
        </w:tc>
        <w:tc>
          <w:tcPr>
            <w:tcW w:w="13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54"/>
        </w:trPr>
        <w:tc>
          <w:tcPr>
            <w:tcW w:w="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7"/>
        </w:trPr>
        <w:tc>
          <w:tcPr>
            <w:tcW w:w="20" w:type="dxa"/>
            <w:vAlign w:val="bottom"/>
          </w:tcPr>
          <w:p>
            <w:pPr>
              <w:spacing w:after="0"/>
              <w:rPr>
                <w:sz w:val="24"/>
                <w:szCs w:val="24"/>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0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1-4 years</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 years</w:t>
            </w:r>
          </w:p>
        </w:tc>
      </w:tr>
      <w:tr>
        <w:trPr>
          <w:trHeight w:val="243"/>
        </w:trPr>
        <w:tc>
          <w:tcPr>
            <w:tcW w:w="2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020" w:type="dxa"/>
            <w:vAlign w:val="bottom"/>
          </w:tcPr>
          <w:p>
            <w:pPr>
              <w:jc w:val="right"/>
              <w:ind w:right="430"/>
              <w:spacing w:after="0"/>
              <w:rPr>
                <w:sz w:val="20"/>
                <w:szCs w:val="20"/>
                <w:color w:val="auto"/>
              </w:rPr>
            </w:pPr>
            <w:r>
              <w:rPr>
                <w:rFonts w:ascii="Arial" w:cs="Arial" w:eastAsia="Arial" w:hAnsi="Arial"/>
                <w:sz w:val="18"/>
                <w:szCs w:val="18"/>
                <w:color w:val="auto"/>
              </w:rPr>
              <w:t>1.25%</w:t>
            </w:r>
          </w:p>
        </w:tc>
        <w:tc>
          <w:tcPr>
            <w:tcW w:w="1380" w:type="dxa"/>
            <w:vAlign w:val="bottom"/>
          </w:tcPr>
          <w:p>
            <w:pPr>
              <w:jc w:val="right"/>
              <w:spacing w:after="0"/>
              <w:rPr>
                <w:sz w:val="20"/>
                <w:szCs w:val="20"/>
                <w:color w:val="auto"/>
              </w:rPr>
            </w:pPr>
            <w:r>
              <w:rPr>
                <w:rFonts w:ascii="Arial" w:cs="Arial" w:eastAsia="Arial" w:hAnsi="Arial"/>
                <w:sz w:val="18"/>
                <w:szCs w:val="18"/>
                <w:color w:val="auto"/>
              </w:rPr>
              <w:t>0.87%</w:t>
            </w:r>
          </w:p>
        </w:tc>
      </w:tr>
      <w:tr>
        <w:trPr>
          <w:trHeight w:val="378"/>
        </w:trPr>
        <w:tc>
          <w:tcPr>
            <w:tcW w:w="616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 indicated is as follows:</w:t>
            </w: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04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160" w:type="dxa"/>
            <w:vAlign w:val="bottom"/>
          </w:tcPr>
          <w:p>
            <w:pPr>
              <w:spacing w:after="0"/>
              <w:rPr>
                <w:sz w:val="20"/>
                <w:szCs w:val="20"/>
                <w:color w:val="auto"/>
              </w:rPr>
            </w:pPr>
          </w:p>
        </w:tc>
      </w:tr>
      <w:tr>
        <w:trPr>
          <w:trHeight w:val="252"/>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Particulars</w:t>
            </w: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Number of shares</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Weighted average</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Number of Weighted average</w:t>
            </w:r>
          </w:p>
        </w:tc>
      </w:tr>
      <w:tr>
        <w:trPr>
          <w:trHeight w:val="234"/>
        </w:trPr>
        <w:tc>
          <w:tcPr>
            <w:tcW w:w="3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1"/>
              </w:rPr>
              <w:t>exercise price</w:t>
            </w: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the beginning of the year</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5,158,449</w:t>
            </w:r>
          </w:p>
        </w:tc>
        <w:tc>
          <w:tcPr>
            <w:tcW w:w="1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0.658</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4,087,949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Add: Grants during the year</w:t>
            </w:r>
          </w:p>
        </w:tc>
        <w:tc>
          <w:tcPr>
            <w:tcW w:w="2300" w:type="dxa"/>
            <w:vAlign w:val="bottom"/>
          </w:tcPr>
          <w:p>
            <w:pPr>
              <w:jc w:val="right"/>
              <w:spacing w:after="0"/>
              <w:rPr>
                <w:sz w:val="20"/>
                <w:szCs w:val="20"/>
                <w:color w:val="auto"/>
              </w:rPr>
            </w:pPr>
            <w:r>
              <w:rPr>
                <w:rFonts w:ascii="Arial" w:cs="Arial" w:eastAsia="Arial" w:hAnsi="Arial"/>
                <w:sz w:val="18"/>
                <w:szCs w:val="18"/>
                <w:color w:val="auto"/>
              </w:rPr>
              <w:t>241,000</w:t>
            </w: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1.840</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1,325,500</w:t>
            </w: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1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1.192</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141,563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0.942</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Less: Exercised</w:t>
            </w:r>
          </w:p>
        </w:tc>
        <w:tc>
          <w:tcPr>
            <w:tcW w:w="2300" w:type="dxa"/>
            <w:vAlign w:val="bottom"/>
          </w:tcPr>
          <w:p>
            <w:pPr>
              <w:jc w:val="right"/>
              <w:spacing w:after="0"/>
              <w:rPr>
                <w:sz w:val="20"/>
                <w:szCs w:val="20"/>
                <w:color w:val="auto"/>
              </w:rPr>
            </w:pPr>
            <w:r>
              <w:rPr>
                <w:rFonts w:ascii="Arial" w:cs="Arial" w:eastAsia="Arial" w:hAnsi="Arial"/>
                <w:sz w:val="18"/>
                <w:szCs w:val="18"/>
                <w:color w:val="auto"/>
              </w:rPr>
              <w:t>100,717</w:t>
            </w: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0.571</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113,437</w:t>
            </w:r>
          </w:p>
        </w:tc>
        <w:tc>
          <w:tcPr>
            <w:tcW w:w="1160" w:type="dxa"/>
            <w:vAlign w:val="bottom"/>
          </w:tcPr>
          <w:p>
            <w:pPr>
              <w:jc w:val="right"/>
              <w:spacing w:after="0"/>
              <w:rPr>
                <w:sz w:val="20"/>
                <w:szCs w:val="20"/>
                <w:color w:val="auto"/>
              </w:rPr>
            </w:pPr>
            <w:r>
              <w:rPr>
                <w:rFonts w:ascii="Arial" w:cs="Arial" w:eastAsia="Arial" w:hAnsi="Arial"/>
                <w:sz w:val="18"/>
                <w:szCs w:val="18"/>
                <w:color w:val="auto"/>
              </w:rPr>
              <w:t>0.562</w:t>
            </w: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Closing balance as at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5,211,132</w:t>
            </w:r>
          </w:p>
        </w:tc>
        <w:tc>
          <w:tcPr>
            <w:tcW w:w="1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0.711</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5,158,449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0.658</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Exercisable at the end of the year</w:t>
            </w:r>
          </w:p>
        </w:tc>
        <w:tc>
          <w:tcPr>
            <w:tcW w:w="2300" w:type="dxa"/>
            <w:vAlign w:val="bottom"/>
          </w:tcPr>
          <w:p>
            <w:pPr>
              <w:jc w:val="right"/>
              <w:spacing w:after="0"/>
              <w:rPr>
                <w:sz w:val="20"/>
                <w:szCs w:val="20"/>
                <w:color w:val="auto"/>
              </w:rPr>
            </w:pPr>
            <w:r>
              <w:rPr>
                <w:rFonts w:ascii="Arial" w:cs="Arial" w:eastAsia="Arial" w:hAnsi="Arial"/>
                <w:sz w:val="18"/>
                <w:szCs w:val="18"/>
                <w:color w:val="auto"/>
              </w:rPr>
              <w:t>3,985,882</w:t>
            </w: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0.497</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3,446,230</w:t>
            </w:r>
          </w:p>
        </w:tc>
        <w:tc>
          <w:tcPr>
            <w:tcW w:w="1160" w:type="dxa"/>
            <w:vAlign w:val="bottom"/>
          </w:tcPr>
          <w:p>
            <w:pPr>
              <w:jc w:val="right"/>
              <w:spacing w:after="0"/>
              <w:rPr>
                <w:sz w:val="20"/>
                <w:szCs w:val="20"/>
                <w:color w:val="auto"/>
              </w:rPr>
            </w:pPr>
            <w:r>
              <w:rPr>
                <w:rFonts w:ascii="Arial" w:cs="Arial" w:eastAsia="Arial" w:hAnsi="Arial"/>
                <w:sz w:val="18"/>
                <w:szCs w:val="18"/>
                <w:color w:val="auto"/>
              </w:rPr>
              <w:t>0.379</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35"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7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weighted average remaining contractual life of options as of December 31, 2017 and 2016 is 4.83 years and 5.61 years respectively. The weighted average grant date fair value of options granted during the year 2017 was $1.840 and for the year 2016 $1.350 respectively. During the year ended December 31, 2017, 100,717 options were exercised (2016: 113,437). During the year, the Company has recorded stock compensation expense of $41,056 (2016: $44,604).</w:t>
      </w:r>
    </w:p>
    <w:p>
      <w:pPr>
        <w:spacing w:after="0" w:line="318"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34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33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is authorized to issue two classes of shares designated as “Common stock” and “Preferred stock”. Preferred stock includes series A, series B1, series B2, series C, series C1 and series D preference shares. Each preferred stock is convertible into common stock in the ratio of 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Every member shall be entitled to one vote in respect of each share of common stock held by them. In case of each preference shares held, to that many votes to which he would be entitled if he converted such preference shares into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holders of preferred stock are entitled to receive when, as and if declared by the board, non-cumulative dividends at the annual dividend rate of 8% for the preferred stock prior and in preference to the payment of any dividends on the common stock in such calendar year. No dividend shall be paid on the shares of the common stock shares in any year until all dividends for such year have been declared and paid on the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holders of preferred stock prior and in preference to any distribution of any of the assets or funds of the Company to the holders of the shares of the common stock shall be entitled to receive for each outstanding preference shares then held by them an amount equal to, greater of original purchase price ($ 0.25 per preference shares of Series A, $ 0.329 per preferred stock of Series B1, and $ 0.499 per preferred stock of Series B2, $ 0.53 per preferred stock of Series C, $ 2.213 per preferred stock of Series C1 and $ 2.248 per preferred stock of Series D) as adjusted plus any declared but unpaid dividend or the amount that would be received if such preferred stock had been converted into shares of common stock immediately prior to such liquidation, dissolution or winding up. If upon the occurrence of a liquidation, dissolution or winding up, the assets and funds of the Company legally available for distribution to the members by any reason shall be insufficient to permit the payment of full liquidation preference, then the entire assets and funds of the Company legally available for distribution to the members shall be distributed pro-rata.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holder of a preferred stock shall be entitled to convert any or all of its preference shares at any time, without payment of any additional consideration, into such number of fully paid shares of common stock per preference share as is determined by dividing the original purchase price applicable to such series of preference shares by the conversion price applicable to such preference shares determined in each case, in effect at the time of conversion. Any conversion of preference shares shall be effected by the redemption of the relevant number of preference shares and the issuance of an appropriate number of shares of common stock.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3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aforementioned preference shares shall be automatically be converted into common stock:</w:t>
      </w:r>
    </w:p>
    <w:p>
      <w:pPr>
        <w:spacing w:after="0" w:line="252" w:lineRule="exact"/>
        <w:rPr>
          <w:sz w:val="20"/>
          <w:szCs w:val="20"/>
          <w:color w:val="auto"/>
        </w:rPr>
      </w:pPr>
    </w:p>
    <w:p>
      <w:pPr>
        <w:ind w:left="800" w:hanging="387"/>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closing of a firm commitment underwritten public offering on a global stock exchange in which</w:t>
      </w:r>
    </w:p>
    <w:p>
      <w:pPr>
        <w:spacing w:after="0" w:line="265" w:lineRule="exact"/>
        <w:rPr>
          <w:rFonts w:ascii="Arial" w:cs="Arial" w:eastAsia="Arial" w:hAnsi="Arial"/>
          <w:sz w:val="18"/>
          <w:szCs w:val="18"/>
          <w:color w:val="auto"/>
        </w:rPr>
      </w:pPr>
    </w:p>
    <w:p>
      <w:pPr>
        <w:ind w:left="1160" w:hanging="504"/>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Net aggregate proceeds to the Company of not less than $ 20,000,000 are raised (after deduction of underwriters commission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66" w:lineRule="exact"/>
        <w:rPr>
          <w:sz w:val="20"/>
          <w:szCs w:val="20"/>
          <w:color w:val="auto"/>
        </w:rPr>
      </w:pPr>
    </w:p>
    <w:p>
      <w:pPr>
        <w:ind w:firstLine="656"/>
        <w:spacing w:after="0" w:line="324" w:lineRule="auto"/>
        <w:tabs>
          <w:tab w:leader="none" w:pos="11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offering is made at an offer price per share of at least $ 2.5 (subject to appropriate adjustment for stock splits, stock dividends, combinations and other similar recapitalizations affecting the shares of the Company) (‘a qualified IPO’)</w:t>
      </w:r>
    </w:p>
    <w:p>
      <w:pPr>
        <w:spacing w:after="0" w:line="170" w:lineRule="exact"/>
        <w:rPr>
          <w:sz w:val="20"/>
          <w:szCs w:val="20"/>
          <w:color w:val="auto"/>
        </w:rPr>
      </w:pPr>
    </w:p>
    <w:p>
      <w:pPr>
        <w:ind w:firstLine="413"/>
        <w:spacing w:after="0" w:line="324" w:lineRule="auto"/>
        <w:tabs>
          <w:tab w:leader="none" w:pos="7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 the vote of the Required Holders, where Required Holders would mean the holders of at least 85% of the issued and outstanding shares of Series A preference shares, Series B preference shares, Series C preference shares and Series D preference shares.</w:t>
      </w:r>
    </w:p>
    <w:p>
      <w:pPr>
        <w:spacing w:after="0" w:line="58"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35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entered into non-cancellable operating leases for office spaces for a term of 3 to 10 years. The leasehold improvements are included in property and equipment and are being amortized over the shorter of the estimated useful life of the improvements and the lease term.</w:t>
      </w:r>
    </w:p>
    <w:p>
      <w:pPr>
        <w:spacing w:after="0" w:line="255"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7"/>
          <w:szCs w:val="17"/>
          <w:color w:val="auto"/>
        </w:rPr>
        <w:t>Minimum rent payments under operating leases are recognized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term of the lease including any periods of free rent. Rental expense for operating leases (except those with lease terms that were not renewed) during 2017 is $1,640,089 (2016: $1,698,672). Future minimum lease payments under non-cancellable operating leases (with initial or remaining lease terms in excess of one year) as of December 31, 2017:</w:t>
      </w:r>
    </w:p>
    <w:p>
      <w:pPr>
        <w:spacing w:after="0" w:line="200" w:lineRule="exact"/>
        <w:rPr>
          <w:sz w:val="20"/>
          <w:szCs w:val="20"/>
          <w:color w:val="auto"/>
        </w:rPr>
      </w:pP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720" w:type="dxa"/>
            <w:vAlign w:val="bottom"/>
          </w:tcPr>
          <w:p>
            <w:pPr>
              <w:jc w:val="right"/>
              <w:ind w:right="10"/>
              <w:spacing w:after="0"/>
              <w:rPr>
                <w:sz w:val="20"/>
                <w:szCs w:val="20"/>
                <w:color w:val="auto"/>
              </w:rPr>
            </w:pPr>
            <w:r>
              <w:rPr>
                <w:rFonts w:ascii="Arial" w:cs="Arial" w:eastAsia="Arial" w:hAnsi="Arial"/>
                <w:sz w:val="18"/>
                <w:szCs w:val="18"/>
                <w:b w:val="1"/>
                <w:bCs w:val="1"/>
                <w:color w:val="auto"/>
              </w:rPr>
              <w:t>Operating leases</w:t>
            </w:r>
          </w:p>
        </w:tc>
      </w:tr>
      <w:tr>
        <w:trPr>
          <w:trHeight w:val="27"/>
        </w:trPr>
        <w:tc>
          <w:tcPr>
            <w:tcW w:w="57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1,227,744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2019</w:t>
            </w:r>
          </w:p>
        </w:tc>
        <w:tc>
          <w:tcPr>
            <w:tcW w:w="4720" w:type="dxa"/>
            <w:vAlign w:val="bottom"/>
          </w:tcPr>
          <w:p>
            <w:pPr>
              <w:jc w:val="right"/>
              <w:ind w:right="10"/>
              <w:spacing w:after="0"/>
              <w:rPr>
                <w:sz w:val="20"/>
                <w:szCs w:val="20"/>
                <w:color w:val="auto"/>
              </w:rPr>
            </w:pPr>
            <w:r>
              <w:rPr>
                <w:rFonts w:ascii="Arial" w:cs="Arial" w:eastAsia="Arial" w:hAnsi="Arial"/>
                <w:sz w:val="18"/>
                <w:szCs w:val="18"/>
                <w:color w:val="auto"/>
              </w:rPr>
              <w:t>1,282,052</w:t>
            </w:r>
          </w:p>
        </w:tc>
      </w:tr>
      <w:tr>
        <w:trPr>
          <w:trHeight w:val="27"/>
        </w:trPr>
        <w:tc>
          <w:tcPr>
            <w:tcW w:w="57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1,169,944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2021 and later years</w:t>
            </w:r>
          </w:p>
        </w:tc>
        <w:tc>
          <w:tcPr>
            <w:tcW w:w="4720" w:type="dxa"/>
            <w:vAlign w:val="bottom"/>
          </w:tcPr>
          <w:p>
            <w:pPr>
              <w:jc w:val="right"/>
              <w:ind w:right="10"/>
              <w:spacing w:after="0"/>
              <w:rPr>
                <w:sz w:val="20"/>
                <w:szCs w:val="20"/>
                <w:color w:val="auto"/>
              </w:rPr>
            </w:pPr>
            <w:r>
              <w:rPr>
                <w:rFonts w:ascii="Arial" w:cs="Arial" w:eastAsia="Arial" w:hAnsi="Arial"/>
                <w:sz w:val="18"/>
                <w:szCs w:val="18"/>
                <w:color w:val="auto"/>
              </w:rPr>
              <w:t>2,488,752</w:t>
            </w:r>
          </w:p>
        </w:tc>
      </w:tr>
      <w:tr>
        <w:trPr>
          <w:trHeight w:val="27"/>
        </w:trPr>
        <w:tc>
          <w:tcPr>
            <w:tcW w:w="57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minimum lease payments</w:t>
            </w:r>
          </w:p>
        </w:tc>
        <w:tc>
          <w:tcPr>
            <w:tcW w:w="4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6,168,492</w:t>
            </w:r>
          </w:p>
        </w:tc>
      </w:tr>
      <w:tr>
        <w:trPr>
          <w:trHeight w:val="27"/>
        </w:trPr>
        <w:tc>
          <w:tcPr>
            <w:tcW w:w="576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16.</w:t>
            </w:r>
          </w:p>
        </w:tc>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Accrued and other current liabilities</w:t>
            </w:r>
          </w:p>
        </w:tc>
        <w:tc>
          <w:tcPr>
            <w:tcW w:w="25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697"/>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Particulars</w:t>
            </w:r>
          </w:p>
        </w:tc>
        <w:tc>
          <w:tcPr>
            <w:tcW w:w="2560" w:type="dxa"/>
            <w:vAlign w:val="bottom"/>
          </w:tcPr>
          <w:p>
            <w:pPr>
              <w:jc w:val="right"/>
              <w:ind w:right="350"/>
              <w:spacing w:after="0"/>
              <w:rPr>
                <w:sz w:val="20"/>
                <w:szCs w:val="20"/>
                <w:color w:val="auto"/>
              </w:rPr>
            </w:pPr>
            <w:r>
              <w:rPr>
                <w:rFonts w:ascii="Arial" w:cs="Arial" w:eastAsia="Arial" w:hAnsi="Arial"/>
                <w:sz w:val="18"/>
                <w:szCs w:val="18"/>
                <w:b w:val="1"/>
                <w:bCs w:val="1"/>
                <w:color w:val="auto"/>
              </w:rPr>
              <w:t>As at</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4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5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 2017</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liability for appeals</w:t>
            </w: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1,698,026</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1,800,000</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Accrued compensation to staff</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1,955,279</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2,115,544</w:t>
            </w: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from customers</w:t>
            </w: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991,958</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801,209</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Provision for expenses</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1,209,306</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913,530</w:t>
            </w: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to selling shareholders</w:t>
            </w: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523,782</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1,471,631</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270,191</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239,131</w:t>
            </w: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equalization reserve</w:t>
            </w: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120,995</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195,659</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Others</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311,558</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393,234</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7,081,095</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7,929,938</w:t>
            </w:r>
          </w:p>
        </w:tc>
      </w:tr>
      <w:tr>
        <w:trPr>
          <w:trHeight w:val="20"/>
        </w:trPr>
        <w:tc>
          <w:tcPr>
            <w:tcW w:w="4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3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December 31, 2017 accrued compensation to selling shareholders comprises of $185,373 payable to erstwhile shareholders of Clear Vision and $338,409 payable to erstwhile shareholders of SCIO Health Analytics (UK) Limited.</w:t>
      </w:r>
    </w:p>
    <w:p>
      <w:pPr>
        <w:spacing w:after="0" w:line="302" w:lineRule="exact"/>
        <w:rPr>
          <w:sz w:val="20"/>
          <w:szCs w:val="20"/>
          <w:color w:val="auto"/>
        </w:rPr>
      </w:pPr>
    </w:p>
    <w:p>
      <w:pPr>
        <w:ind w:left="560" w:hanging="552"/>
        <w:spacing w:after="0"/>
        <w:tabs>
          <w:tab w:leader="none" w:pos="5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3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as at December 31, 2017 and 2016 consists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420" w:type="dxa"/>
            <w:vAlign w:val="bottom"/>
          </w:tcPr>
          <w:p>
            <w:pPr>
              <w:jc w:val="right"/>
              <w:ind w:right="330"/>
              <w:spacing w:after="0"/>
              <w:rPr>
                <w:sz w:val="20"/>
                <w:szCs w:val="20"/>
                <w:color w:val="auto"/>
              </w:rPr>
            </w:pPr>
            <w:r>
              <w:rPr>
                <w:rFonts w:ascii="Arial" w:cs="Arial" w:eastAsia="Arial" w:hAnsi="Arial"/>
                <w:sz w:val="18"/>
                <w:szCs w:val="18"/>
                <w:b w:val="1"/>
                <w:bCs w:val="1"/>
                <w:color w:val="auto"/>
              </w:rPr>
              <w:t>As at</w:t>
            </w: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260" w:type="dxa"/>
            <w:vAlign w:val="bottom"/>
          </w:tcPr>
          <w:p>
            <w:pPr>
              <w:spacing w:after="0"/>
              <w:rPr>
                <w:sz w:val="20"/>
                <w:szCs w:val="20"/>
                <w:color w:val="auto"/>
              </w:rPr>
            </w:pPr>
          </w:p>
        </w:tc>
        <w:tc>
          <w:tcPr>
            <w:tcW w:w="24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 2017</w:t>
            </w: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Secured term loan from Silicon Valley Bank, interest at Prime Rate plus 2.25%</w:t>
            </w:r>
          </w:p>
        </w:tc>
        <w:tc>
          <w:tcPr>
            <w:tcW w:w="24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5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 monthly</w:t>
            </w:r>
          </w:p>
        </w:tc>
        <w:tc>
          <w:tcPr>
            <w:tcW w:w="2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12,203,249</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14,183,249</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4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12,203,249</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14,183,249</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installments</w:t>
            </w:r>
          </w:p>
        </w:tc>
        <w:tc>
          <w:tcPr>
            <w:tcW w:w="2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(1,980,000)</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(1,980,000)</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Long-term debt, excluding current installments</w:t>
            </w:r>
          </w:p>
        </w:tc>
        <w:tc>
          <w:tcPr>
            <w:tcW w:w="24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10,223,249</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12,203,249</w:t>
            </w:r>
          </w:p>
        </w:tc>
      </w:tr>
      <w:tr>
        <w:trPr>
          <w:trHeight w:val="27"/>
        </w:trPr>
        <w:tc>
          <w:tcPr>
            <w:tcW w:w="626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2016, the Company has entered into a debt financing agreement with Silicon Valley Bank for $20,500,000 facility, comprising of a term loan of $16,500,000 and a revolving line of credit of $4,000,000. The term loan is repayable in consecutive equal monthly payments of principal in an amount equal to one percent (1.00%) of the term loan amount commencing on January 2016. Remaining balance amount shall be payable on the date of maturity, i.e., December 31, 2020. The term loan carries interest of Prime Rate plus 2.25%. The term loan is secured by the first priority perfected security interest in all the domestic assets of the Company, including IP. The aggregate maturities of long-term debt due for each of the five years subsequent to December 31, 2017 are: $1,980,000 in 2018, $1,980,000 in 2019 and $8,243,249 in 2020.</w:t>
      </w:r>
    </w:p>
    <w:p>
      <w:pPr>
        <w:spacing w:after="0" w:line="324"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Merger of entities under common control</w:t>
      </w:r>
    </w:p>
    <w:p>
      <w:pPr>
        <w:spacing w:after="0" w:line="3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With effect from January 1, 2017, the Company’s subsidiaries Socrates, Inc. and Hospital Audit Locus, Inc. merged with SCIOinspire Corp. This has been treated as a transaction between entities under common control. Accordingly, the transfer of assets between entities under common control is accounted for at carrying values and does not have any impact on the consolidated financial statements.</w:t>
      </w:r>
    </w:p>
    <w:p>
      <w:pPr>
        <w:spacing w:after="0" w:line="96"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cash flows</w:t>
      </w:r>
    </w:p>
    <w:p>
      <w:pPr>
        <w:spacing w:after="0" w:line="3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20, 2016, the Group purchased the net assets of Clear Vision. Refer note 4 for a summary of the long-lived assets acquired and liabilities assumed as part of the acquisition. Interest payments for the years ended December 31, 2017 and 2016 were $856,052 and $909,284, respectively. Income taxes paid for these years were $1,491,255 and $1,363,721, respectively.</w:t>
      </w:r>
    </w:p>
    <w:p>
      <w:pPr>
        <w:spacing w:after="0" w:line="312"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subject to legal actions, administrative proceedings and claims which have arisen in the ordinary course of its business. The Company believes the resolution of these matters is not likely to have a material and adverse effect on the results of operations or the financial position of the Company. Legal costs incurred in connection with contingencies are expensed as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35"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 and 2016</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5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evaluated events and transactions subsequent to the balance sheet date through June 28, 2018, the date the consolidated financial statements were available for issuance.</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Pursuant to an Agreement of Merger (‘Merger agreement’) dated April 28, 2018, by and among SCIOinspire Holdings, Inc. as (the Company), Angler Seller Representative LLC (as Shareholders’ Representative), ExlService.com, LLC (as Buyer), ExlService Cayman Merger Sub (as Merger Sub) and ExlService Holdings, Inc. (EXL), the Merger Sub is proposed to be merged, on satisfaction or waiver of all the closing conditions in the Merger agreement, with and into the Company, with the Company continuing as the surviving entity and a wholly owned subsidiary of EXL.</w:t>
      </w:r>
    </w:p>
    <w:p>
      <w:pPr>
        <w:spacing w:after="0" w:line="6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aggregate merger consideration is $240 million, subject to adjustment based on, among other things, the Company’s cash, debt, working capital position and other adjustments as set forth in the Merger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SCIOinspire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June 30, 2018 (Unaudited)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June 30, 2018 (Unaudited) and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4020" w:type="dxa"/>
            <w:vAlign w:val="bottom"/>
          </w:tcPr>
          <w:p>
            <w:pPr>
              <w:jc w:val="right"/>
              <w:ind w:right="13"/>
              <w:spacing w:after="0"/>
              <w:rPr>
                <w:sz w:val="20"/>
                <w:szCs w:val="20"/>
                <w:color w:val="auto"/>
              </w:rPr>
            </w:pPr>
            <w:r>
              <w:rPr>
                <w:rFonts w:ascii="Arial" w:cs="Arial" w:eastAsia="Arial" w:hAnsi="Arial"/>
                <w:sz w:val="14"/>
                <w:szCs w:val="14"/>
                <w:b w:val="1"/>
                <w:bCs w:val="1"/>
                <w:color w:val="auto"/>
              </w:rPr>
              <w:t>Page(s)</w:t>
            </w:r>
          </w:p>
        </w:tc>
      </w:tr>
      <w:tr>
        <w:trPr>
          <w:trHeight w:val="249"/>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Consolidated Financial Statements</w:t>
            </w:r>
          </w:p>
        </w:tc>
        <w:tc>
          <w:tcPr>
            <w:tcW w:w="4020" w:type="dxa"/>
            <w:vAlign w:val="bottom"/>
          </w:tcPr>
          <w:p>
            <w:pPr>
              <w:spacing w:after="0"/>
              <w:rPr>
                <w:sz w:val="21"/>
                <w:szCs w:val="21"/>
                <w:color w:val="auto"/>
              </w:rPr>
            </w:pPr>
          </w:p>
        </w:tc>
      </w:tr>
      <w:tr>
        <w:trPr>
          <w:trHeight w:val="600"/>
        </w:trPr>
        <w:tc>
          <w:tcPr>
            <w:tcW w:w="7400" w:type="dxa"/>
            <w:vAlign w:val="bottom"/>
          </w:tcPr>
          <w:p>
            <w:pPr>
              <w:ind w:left="40"/>
              <w:spacing w:after="0"/>
              <w:rPr>
                <w:sz w:val="20"/>
                <w:szCs w:val="20"/>
                <w:color w:val="auto"/>
              </w:rPr>
            </w:pPr>
            <w:r>
              <w:rPr>
                <w:rFonts w:ascii="Arial" w:cs="Arial" w:eastAsia="Arial" w:hAnsi="Arial"/>
                <w:sz w:val="16"/>
                <w:szCs w:val="16"/>
                <w:color w:val="auto"/>
              </w:rPr>
              <w:t>Balance Sheet</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Statement of Operations and Comprehensive Income (Loss)</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Statement of Changes in Stockholders' Equity</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Statement of Cash Flows</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594"/>
        </w:trPr>
        <w:tc>
          <w:tcPr>
            <w:tcW w:w="7400" w:type="dxa"/>
            <w:vAlign w:val="bottom"/>
          </w:tcPr>
          <w:p>
            <w:pPr>
              <w:ind w:left="40"/>
              <w:spacing w:after="0"/>
              <w:rPr>
                <w:sz w:val="20"/>
                <w:szCs w:val="20"/>
                <w:color w:val="auto"/>
              </w:rPr>
            </w:pPr>
            <w:r>
              <w:rPr>
                <w:rFonts w:ascii="Arial" w:cs="Arial" w:eastAsia="Arial" w:hAnsi="Arial"/>
                <w:sz w:val="16"/>
                <w:szCs w:val="16"/>
                <w:color w:val="auto"/>
              </w:rPr>
              <w:t>Notes to Financial Statements</w:t>
            </w:r>
          </w:p>
        </w:tc>
        <w:tc>
          <w:tcPr>
            <w:tcW w:w="40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1277"/>
        </w:trPr>
        <w:tc>
          <w:tcPr>
            <w:tcW w:w="74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2040" w:type="dxa"/>
            <w:vAlign w:val="bottom"/>
            <w:gridSpan w:val="2"/>
          </w:tcPr>
          <w:p>
            <w:pPr>
              <w:ind w:left="1380"/>
              <w:spacing w:after="0"/>
              <w:rPr>
                <w:sz w:val="20"/>
                <w:szCs w:val="20"/>
                <w:color w:val="auto"/>
              </w:rPr>
            </w:pPr>
            <w:r>
              <w:rPr>
                <w:rFonts w:ascii="Arial" w:cs="Arial" w:eastAsia="Arial" w:hAnsi="Arial"/>
                <w:sz w:val="18"/>
                <w:szCs w:val="18"/>
                <w:b w:val="1"/>
                <w:bCs w:val="1"/>
                <w:color w:val="auto"/>
              </w:rPr>
              <w:t>As at</w:t>
            </w: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p>
        </w:tc>
        <w:tc>
          <w:tcPr>
            <w:tcW w:w="2040" w:type="dxa"/>
            <w:vAlign w:val="bottom"/>
            <w:gridSpan w:val="2"/>
          </w:tcPr>
          <w:p>
            <w:pPr>
              <w:ind w:left="780"/>
              <w:spacing w:after="0"/>
              <w:rPr>
                <w:sz w:val="20"/>
                <w:szCs w:val="20"/>
                <w:color w:val="auto"/>
              </w:rPr>
            </w:pPr>
            <w:r>
              <w:rPr>
                <w:rFonts w:ascii="Arial" w:cs="Arial" w:eastAsia="Arial" w:hAnsi="Arial"/>
                <w:sz w:val="18"/>
                <w:szCs w:val="18"/>
                <w:b w:val="1"/>
                <w:bCs w:val="1"/>
                <w:color w:val="auto"/>
              </w:rPr>
              <w:t>June 30, 2018</w:t>
            </w: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Cash and cash equivalents (Note 5)</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10,026,047</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6,088,890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received on behalf of customers</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2,789,930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2,301,863</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w w:val="95"/>
              </w:rPr>
              <w:t>Trade accounts receivable, less allowance for doubtful accounts of $75,000 (December 31, 2017:</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$200,000) (Note 6)</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6,077,673</w:t>
            </w:r>
          </w:p>
        </w:tc>
        <w:tc>
          <w:tcPr>
            <w:tcW w:w="100" w:type="dxa"/>
            <w:vAlign w:val="bottom"/>
          </w:tcPr>
          <w:p>
            <w:pPr>
              <w:spacing w:after="0"/>
              <w:rPr>
                <w:sz w:val="20"/>
                <w:szCs w:val="20"/>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6,667,643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13,846,227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9,182,623</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3,018,289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 (Note 7)</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2,246,332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1,340,727</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34,986,209</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28,600,035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Property and equipment, net (Note 9)</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8,859,439</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7,593,295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 (Note 10)</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2,390,298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2,890,715</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Goodwill (Note 11)</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17,511,162</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17,511,162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(Note 8)</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210,243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148,096</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Other assets (Note 7)</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1,449,702</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1,618,233</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65,407,053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58,361,536</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4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Current installments of long term debt (Note 16)</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1,980,000</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323,620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416,252</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208,085</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86,904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 (Note 15)</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8,777,229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7,081,095</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Subrogation services obligations</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2,798,771</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2,310,721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Overpayment services obligations</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10,593</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14,098,298</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11,885,565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Long term debt, excluding current installments (Note 16)</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8,949,660</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10,223,249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for employee benefits</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164,752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89,637</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209,500</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239,429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 (Note 8)</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2,273,990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478,122</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25,696,200</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22,916,002</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5640"/>
              <w:spacing w:after="0"/>
              <w:rPr>
                <w:sz w:val="20"/>
                <w:szCs w:val="20"/>
                <w:color w:val="auto"/>
              </w:rPr>
            </w:pPr>
            <w:r>
              <w:rPr>
                <w:rFonts w:ascii="Arial" w:cs="Arial" w:eastAsia="Arial" w:hAnsi="Arial"/>
                <w:sz w:val="18"/>
                <w:szCs w:val="18"/>
                <w:color w:val="auto"/>
              </w:rPr>
              <w:t>1</w:t>
            </w: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74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526"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b w:val="1"/>
                <w:bCs w:val="1"/>
                <w:color w:val="auto"/>
              </w:rPr>
              <w:t>As at</w:t>
            </w: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As at</w:t>
            </w:r>
          </w:p>
        </w:tc>
      </w:tr>
      <w:tr>
        <w:trPr>
          <w:trHeight w:val="234"/>
        </w:trPr>
        <w:tc>
          <w:tcPr>
            <w:tcW w:w="7300" w:type="dxa"/>
            <w:vAlign w:val="bottom"/>
          </w:tcPr>
          <w:p>
            <w:pPr>
              <w:spacing w:after="0"/>
              <w:rPr>
                <w:sz w:val="20"/>
                <w:szCs w:val="20"/>
                <w:color w:val="auto"/>
              </w:rPr>
            </w:pPr>
          </w:p>
        </w:tc>
        <w:tc>
          <w:tcPr>
            <w:tcW w:w="2160" w:type="dxa"/>
            <w:vAlign w:val="bottom"/>
            <w:gridSpan w:val="2"/>
          </w:tcPr>
          <w:p>
            <w:pPr>
              <w:ind w:left="900"/>
              <w:spacing w:after="0"/>
              <w:rPr>
                <w:sz w:val="20"/>
                <w:szCs w:val="20"/>
                <w:color w:val="auto"/>
              </w:rPr>
            </w:pPr>
            <w:r>
              <w:rPr>
                <w:rFonts w:ascii="Arial" w:cs="Arial" w:eastAsia="Arial" w:hAnsi="Arial"/>
                <w:sz w:val="18"/>
                <w:szCs w:val="18"/>
                <w:b w:val="1"/>
                <w:bCs w:val="1"/>
                <w:color w:val="auto"/>
              </w:rPr>
              <w:t>June 30, 2018</w:t>
            </w: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73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Common stock, $0.001 par value;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14,617</w:t>
            </w: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88,790,205 shares authorized as at June 30, 2018 and December 31, 2017;</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15,694,631 shares issued and outstanding as at June 30, 2018 and 14,616,677 shares issued and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at December 31, 2017</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A Preference shares, $0.001 par value;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40,110</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40,019</w:t>
            </w: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40,119,015 preference shares authorized as at June 30, 2018 and December 31, 2017;</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40,109,873 shares issued and outstanding as at June 30, 2018 and 40,019,015 shares issued and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outstanding as at December 31, 2017 (liquidation preference of $10,004,754 over common stock, as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June 30, 2018 and December 31, 2017)</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B1 Preference shares, $0.001 par value;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6,636</w:t>
            </w: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6,636,375 preference shares authorized and issued and outstanding as at June 30, 2018 and</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December 31, 2017; (liquidation preference of $2,183,000 over common stock, as at June 30, 2018</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December 31, 2017)</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B2 Preference shares, $0.001 par value;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7,441</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7,441</w:t>
            </w: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7,440,868 preference shares authorized and issued and outstanding as at June 30, 2018 and</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December 31, 2017 (liquidation preference of $3,717,000 over common stock as at June 30, 2018</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December 31, 2017)</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C Preference shares, $0.001 par value;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9,434</w:t>
            </w: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9,433,962 preference shares authorized and issued and outstanding as at June 30, 2018 and</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December 31,2017 (liquidation preference of $7,500,000 over common stock as at June 30, 2018</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December 31, 2017)</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C1 Preference shares, $0.001 par value;</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903,616 preference shares authorized and issued and outstanding as at June 30, 2018 and December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31, 2017 (liquidation preference of $2,000,000 over common stock as at June 30, 2018 and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Series D Preference shares, $0.001 par value;</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1,779,180 preference shares authorized and issued and outstanding as at June 30, 2018 and</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1,779,180 as at December 31, 2017 (liquidation preference of $4,000,000 over common stock as at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2018 and December 31, 2017)</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32,235,020</w:t>
            </w:r>
          </w:p>
        </w:tc>
        <w:tc>
          <w:tcPr>
            <w:tcW w:w="10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32,096,370</w:t>
            </w:r>
          </w:p>
        </w:tc>
      </w:tr>
      <w:tr>
        <w:trPr>
          <w:trHeight w:val="27"/>
        </w:trPr>
        <w:tc>
          <w:tcPr>
            <w:tcW w:w="7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surplus</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8,187,571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3,749,515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060" w:type="dxa"/>
            <w:vAlign w:val="bottom"/>
          </w:tcPr>
          <w:p>
            <w:pPr>
              <w:jc w:val="right"/>
              <w:spacing w:after="0"/>
              <w:rPr>
                <w:sz w:val="20"/>
                <w:szCs w:val="20"/>
                <w:color w:val="auto"/>
              </w:rPr>
            </w:pPr>
            <w:r>
              <w:rPr>
                <w:rFonts w:ascii="Arial" w:cs="Arial" w:eastAsia="Arial" w:hAnsi="Arial"/>
                <w:sz w:val="18"/>
                <w:szCs w:val="18"/>
                <w:color w:val="auto"/>
              </w:rPr>
              <w:t>(793,737)</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(481,181)</w:t>
            </w:r>
          </w:p>
        </w:tc>
      </w:tr>
      <w:tr>
        <w:trPr>
          <w:trHeight w:val="27"/>
        </w:trPr>
        <w:tc>
          <w:tcPr>
            <w:tcW w:w="73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39,710,853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35,445,534</w:t>
            </w:r>
          </w:p>
        </w:tc>
      </w:tr>
      <w:tr>
        <w:trPr>
          <w:trHeight w:val="324"/>
        </w:trPr>
        <w:tc>
          <w:tcPr>
            <w:tcW w:w="73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5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65,407,053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58,361,536</w:t>
            </w:r>
          </w:p>
        </w:tc>
      </w:tr>
      <w:tr>
        <w:trPr>
          <w:trHeight w:val="20"/>
        </w:trPr>
        <w:tc>
          <w:tcPr>
            <w:tcW w:w="73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11"/>
        </w:trPr>
        <w:tc>
          <w:tcPr>
            <w:tcW w:w="7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See accompanying notes to the unaudited consolidated financial statements.</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459"/>
        </w:trPr>
        <w:tc>
          <w:tcPr>
            <w:tcW w:w="7300" w:type="dxa"/>
            <w:vAlign w:val="bottom"/>
          </w:tcPr>
          <w:p>
            <w:pPr>
              <w:ind w:left="5640"/>
              <w:spacing w:after="0"/>
              <w:rPr>
                <w:sz w:val="20"/>
                <w:szCs w:val="20"/>
                <w:color w:val="auto"/>
              </w:rPr>
            </w:pPr>
            <w:r>
              <w:rPr>
                <w:rFonts w:ascii="Arial" w:cs="Arial" w:eastAsia="Arial" w:hAnsi="Arial"/>
                <w:sz w:val="18"/>
                <w:szCs w:val="18"/>
                <w:color w:val="auto"/>
              </w:rPr>
              <w:t>2</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00"/>
          </w:cols>
          <w:pgMar w:left="260" w:top="52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SCIOinspire Holdings,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amounts in United States Dollars except share data and as otherwise stated)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0" w:type="dxa"/>
            <w:vAlign w:val="bottom"/>
            <w:gridSpan w:val="3"/>
          </w:tcPr>
          <w:p>
            <w:pPr>
              <w:ind w:left="1220"/>
              <w:spacing w:after="0"/>
              <w:rPr>
                <w:sz w:val="20"/>
                <w:szCs w:val="20"/>
                <w:color w:val="auto"/>
              </w:rPr>
            </w:pPr>
            <w:r>
              <w:rPr>
                <w:rFonts w:ascii="Arial" w:cs="Arial" w:eastAsia="Arial" w:hAnsi="Arial"/>
                <w:sz w:val="18"/>
                <w:szCs w:val="18"/>
                <w:b w:val="1"/>
                <w:bCs w:val="1"/>
                <w:color w:val="auto"/>
                <w:w w:val="87"/>
              </w:rPr>
              <w:t>Six months ended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0" w:type="dxa"/>
            <w:vAlign w:val="bottom"/>
            <w:gridSpan w:val="3"/>
          </w:tcPr>
          <w:p>
            <w:pPr>
              <w:ind w:left="680"/>
              <w:spacing w:after="0"/>
              <w:rPr>
                <w:sz w:val="20"/>
                <w:szCs w:val="20"/>
                <w:color w:val="auto"/>
              </w:rPr>
            </w:pPr>
            <w:r>
              <w:rPr>
                <w:rFonts w:ascii="Arial" w:cs="Arial" w:eastAsia="Arial" w:hAnsi="Arial"/>
                <w:sz w:val="18"/>
                <w:szCs w:val="18"/>
                <w:b w:val="1"/>
                <w:bCs w:val="1"/>
                <w:color w:val="auto"/>
              </w:rPr>
              <w:t>June 30, 2018</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June 30, 2017</w:t>
            </w:r>
          </w:p>
        </w:tc>
        <w:tc>
          <w:tcPr>
            <w:tcW w:w="0" w:type="dxa"/>
            <w:vAlign w:val="bottom"/>
          </w:tcPr>
          <w:p>
            <w:pPr>
              <w:spacing w:after="0"/>
              <w:rPr>
                <w:sz w:val="1"/>
                <w:szCs w:val="1"/>
                <w:color w:val="auto"/>
              </w:rPr>
            </w:pPr>
          </w:p>
        </w:tc>
      </w:tr>
      <w:tr>
        <w:trPr>
          <w:trHeight w:val="27"/>
        </w:trPr>
        <w:tc>
          <w:tcPr>
            <w:tcW w:w="5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0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2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income</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41,060,075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32,803,997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color w:val="auto"/>
              </w:rPr>
              <w:t>150,988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41,211,063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32,805,537</w:t>
            </w: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employee benefits</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26,362,981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23,148,681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color w:val="auto"/>
              </w:rPr>
              <w:t>6,927,357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7,166,622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1,817,196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2,030,844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Transaction related costs</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color w:val="auto"/>
              </w:rPr>
              <w:t>1,628,697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95,006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379,943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431,102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080" w:type="dxa"/>
            <w:vAlign w:val="bottom"/>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37,116,174</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32,872,255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Profit/(Loss) before income taxes</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4,094,889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(66,718)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Income tax expense (Note 8)</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color w:val="auto"/>
              </w:rPr>
              <w:t>1,438,229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125,542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income/(loss)</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2,656,660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(192,260)</w:t>
            </w:r>
          </w:p>
        </w:tc>
        <w:tc>
          <w:tcPr>
            <w:tcW w:w="0" w:type="dxa"/>
            <w:vAlign w:val="bottom"/>
          </w:tcPr>
          <w:p>
            <w:pPr>
              <w:spacing w:after="0"/>
              <w:rPr>
                <w:sz w:val="1"/>
                <w:szCs w:val="1"/>
                <w:color w:val="auto"/>
              </w:rPr>
            </w:pPr>
          </w:p>
        </w:tc>
      </w:tr>
      <w:tr>
        <w:trPr>
          <w:trHeight w:val="311"/>
        </w:trPr>
        <w:tc>
          <w:tcPr>
            <w:tcW w:w="5580" w:type="dxa"/>
            <w:vAlign w:val="bottom"/>
            <w:tcBorders>
              <w:top w:val="single" w:sz="8" w:color="CCEEFF"/>
            </w:tcBorders>
            <w:shd w:val="clear" w:color="auto" w:fill="CCEEFF"/>
          </w:tcPr>
          <w:p>
            <w:pPr>
              <w:spacing w:after="0"/>
              <w:rPr>
                <w:sz w:val="24"/>
                <w:szCs w:val="24"/>
                <w:color w:val="auto"/>
              </w:rPr>
            </w:pPr>
          </w:p>
        </w:tc>
        <w:tc>
          <w:tcPr>
            <w:tcW w:w="2080" w:type="dxa"/>
            <w:vAlign w:val="bottom"/>
            <w:tcBorders>
              <w:top w:val="single" w:sz="8" w:color="CCEEFF"/>
            </w:tcBorders>
            <w:shd w:val="clear" w:color="auto" w:fill="CCEEFF"/>
          </w:tcPr>
          <w:p>
            <w:pPr>
              <w:spacing w:after="0"/>
              <w:rPr>
                <w:sz w:val="24"/>
                <w:szCs w:val="24"/>
                <w:color w:val="auto"/>
              </w:rPr>
            </w:pPr>
          </w:p>
        </w:tc>
        <w:tc>
          <w:tcPr>
            <w:tcW w:w="1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20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(312,556)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127,467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income/(loss)</w:t>
            </w:r>
          </w:p>
        </w:tc>
        <w:tc>
          <w:tcPr>
            <w:tcW w:w="3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(312,556)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127,467</w:t>
            </w: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comprehensive income/(loss)</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2,344,104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(64,793)</w:t>
            </w: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See accompanying notes to the unaudited consolidated financial statements.</w:t>
            </w:r>
          </w:p>
        </w:tc>
        <w:tc>
          <w:tcPr>
            <w:tcW w:w="20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580" w:type="dxa"/>
            <w:vAlign w:val="bottom"/>
          </w:tcPr>
          <w:p>
            <w:pPr>
              <w:spacing w:after="0"/>
              <w:rPr>
                <w:sz w:val="24"/>
                <w:szCs w:val="24"/>
                <w:color w:val="auto"/>
              </w:rPr>
            </w:pPr>
          </w:p>
        </w:tc>
        <w:tc>
          <w:tcPr>
            <w:tcW w:w="2080" w:type="dxa"/>
            <w:vAlign w:val="bottom"/>
          </w:tcPr>
          <w:p>
            <w:pPr>
              <w:jc w:val="right"/>
              <w:ind w:right="1810"/>
              <w:spacing w:after="0"/>
              <w:rPr>
                <w:sz w:val="20"/>
                <w:szCs w:val="20"/>
                <w:color w:val="auto"/>
              </w:rPr>
            </w:pPr>
            <w:r>
              <w:rPr>
                <w:rFonts w:ascii="Arial" w:cs="Arial" w:eastAsia="Arial" w:hAnsi="Arial"/>
                <w:sz w:val="18"/>
                <w:szCs w:val="18"/>
                <w:color w:val="auto"/>
              </w:rPr>
              <w:t>3</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6"/>
          <w:szCs w:val="16"/>
          <w:b w:val="1"/>
          <w:bCs w:val="1"/>
          <w:color w:val="auto"/>
        </w:rPr>
        <w:t>SCIOinspire Holdings, Inc.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Changes in Stockholders'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 amounts in United States Dollars except share data and as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112395</wp:posOffset>
            </wp:positionV>
            <wp:extent cx="6766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Series C1</w:t>
            </w: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Series A</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Series B1</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Series B2</w:t>
            </w:r>
          </w:p>
        </w:tc>
        <w:tc>
          <w:tcPr>
            <w:tcW w:w="5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Series C</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Preference</w:t>
            </w:r>
          </w:p>
        </w:tc>
        <w:tc>
          <w:tcPr>
            <w:tcW w:w="5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Series D</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Accumulated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2"/>
              </w:rPr>
              <w:t>Preference Shares</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7"/>
              </w:rPr>
              <w:t>Preference Shares</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7"/>
              </w:rPr>
              <w:t>Preference Shares</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7"/>
              </w:rPr>
              <w:t>Preference Shares</w:t>
            </w:r>
          </w:p>
        </w:tc>
        <w:tc>
          <w:tcPr>
            <w:tcW w:w="5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Shares</w:t>
            </w: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9"/>
              </w:rPr>
              <w:t>Preference Shares</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4"/>
              </w:rPr>
              <w:t>Additional</w:t>
            </w: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other</w:t>
            </w:r>
          </w:p>
        </w:tc>
        <w:tc>
          <w:tcPr>
            <w:tcW w:w="84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5"/>
        </w:trPr>
        <w:tc>
          <w:tcPr>
            <w:tcW w:w="7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20" w:type="dxa"/>
            <w:vAlign w:val="bottom"/>
            <w:gridSpan w:val="2"/>
            <w:vMerge w:val="restart"/>
          </w:tcPr>
          <w:p>
            <w:pPr>
              <w:jc w:val="right"/>
              <w:spacing w:after="0" w:line="135" w:lineRule="exact"/>
              <w:rPr>
                <w:sz w:val="20"/>
                <w:szCs w:val="20"/>
                <w:color w:val="auto"/>
              </w:rPr>
            </w:pPr>
            <w:r>
              <w:rPr>
                <w:rFonts w:ascii="Arial" w:cs="Arial" w:eastAsia="Arial" w:hAnsi="Arial"/>
                <w:sz w:val="13"/>
                <w:szCs w:val="13"/>
                <w:b w:val="1"/>
                <w:bCs w:val="1"/>
                <w:color w:val="auto"/>
              </w:rPr>
              <w:t>paid in comprehensive</w:t>
            </w:r>
          </w:p>
        </w:tc>
        <w:tc>
          <w:tcPr>
            <w:tcW w:w="840" w:type="dxa"/>
            <w:vAlign w:val="bottom"/>
            <w:vMerge w:val="restart"/>
          </w:tcPr>
          <w:p>
            <w:pPr>
              <w:jc w:val="right"/>
              <w:ind w:right="17"/>
              <w:spacing w:after="0" w:line="135" w:lineRule="exact"/>
              <w:rPr>
                <w:sz w:val="20"/>
                <w:szCs w:val="20"/>
                <w:color w:val="auto"/>
              </w:rPr>
            </w:pPr>
            <w:r>
              <w:rPr>
                <w:rFonts w:ascii="Arial" w:cs="Arial" w:eastAsia="Arial" w:hAnsi="Arial"/>
                <w:sz w:val="13"/>
                <w:szCs w:val="13"/>
                <w:b w:val="1"/>
                <w:bCs w:val="1"/>
                <w:color w:val="auto"/>
                <w:w w:val="90"/>
              </w:rPr>
              <w:t>Accumulated</w:t>
            </w:r>
          </w:p>
        </w:tc>
        <w:tc>
          <w:tcPr>
            <w:tcW w:w="820" w:type="dxa"/>
            <w:vAlign w:val="bottom"/>
            <w:vMerge w:val="restart"/>
          </w:tcPr>
          <w:p>
            <w:pPr>
              <w:jc w:val="right"/>
              <w:ind w:right="17"/>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7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Shares Amount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Shares Amount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capital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(loss)</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surplus</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0"/>
        </w:trPr>
        <w:tc>
          <w:tcPr>
            <w:tcW w:w="76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Balance at</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w w:val="97"/>
              </w:rPr>
              <w:t>January 01,</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40,019,015</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40,019</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93"/>
              </w:rPr>
              <w:t>7,440,868</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9,433,962</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903,616</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1,779,180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1,779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14,499,598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14,500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31,977,312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(644,487)</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4,886,318</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36,299,856</w:t>
            </w:r>
          </w:p>
        </w:tc>
        <w:tc>
          <w:tcPr>
            <w:tcW w:w="0" w:type="dxa"/>
            <w:vAlign w:val="bottom"/>
          </w:tcPr>
          <w:p>
            <w:pPr>
              <w:spacing w:after="0"/>
              <w:rPr>
                <w:sz w:val="1"/>
                <w:szCs w:val="1"/>
                <w:color w:val="auto"/>
              </w:rPr>
            </w:pPr>
          </w:p>
        </w:tc>
      </w:tr>
      <w:tr>
        <w:trPr>
          <w:trHeight w:val="148"/>
        </w:trPr>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Issue of</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common</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40"/>
              <w:spacing w:after="0"/>
              <w:rPr>
                <w:sz w:val="20"/>
                <w:szCs w:val="20"/>
                <w:color w:val="auto"/>
              </w:rPr>
            </w:pPr>
            <w:r>
              <w:rPr>
                <w:rFonts w:ascii="Arial" w:cs="Arial" w:eastAsia="Arial" w:hAnsi="Arial"/>
                <w:sz w:val="13"/>
                <w:szCs w:val="13"/>
                <w:color w:val="auto"/>
              </w:rPr>
              <w:t>stock</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23,862</w:t>
            </w:r>
          </w:p>
        </w:tc>
        <w:tc>
          <w:tcPr>
            <w:tcW w:w="460" w:type="dxa"/>
            <w:vAlign w:val="bottom"/>
          </w:tcPr>
          <w:p>
            <w:pPr>
              <w:jc w:val="right"/>
              <w:spacing w:after="0"/>
              <w:rPr>
                <w:sz w:val="20"/>
                <w:szCs w:val="20"/>
                <w:color w:val="auto"/>
              </w:rPr>
            </w:pPr>
            <w:r>
              <w:rPr>
                <w:rFonts w:ascii="Arial" w:cs="Arial" w:eastAsia="Arial" w:hAnsi="Arial"/>
                <w:sz w:val="13"/>
                <w:szCs w:val="13"/>
                <w:color w:val="auto"/>
              </w:rPr>
              <w:t>24</w:t>
            </w:r>
          </w:p>
        </w:tc>
        <w:tc>
          <w:tcPr>
            <w:tcW w:w="680" w:type="dxa"/>
            <w:vAlign w:val="bottom"/>
          </w:tcPr>
          <w:p>
            <w:pPr>
              <w:jc w:val="right"/>
              <w:spacing w:after="0"/>
              <w:rPr>
                <w:sz w:val="20"/>
                <w:szCs w:val="20"/>
                <w:color w:val="auto"/>
              </w:rPr>
            </w:pPr>
            <w:r>
              <w:rPr>
                <w:rFonts w:ascii="Arial" w:cs="Arial" w:eastAsia="Arial" w:hAnsi="Arial"/>
                <w:sz w:val="13"/>
                <w:szCs w:val="13"/>
                <w:color w:val="auto"/>
              </w:rPr>
              <w:t>53,623</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53,647</w:t>
            </w:r>
          </w:p>
        </w:tc>
        <w:tc>
          <w:tcPr>
            <w:tcW w:w="0" w:type="dxa"/>
            <w:vAlign w:val="bottom"/>
          </w:tcPr>
          <w:p>
            <w:pPr>
              <w:spacing w:after="0"/>
              <w:rPr>
                <w:sz w:val="1"/>
                <w:szCs w:val="1"/>
                <w:color w:val="auto"/>
              </w:rPr>
            </w:pPr>
          </w:p>
        </w:tc>
      </w:tr>
      <w:tr>
        <w:trPr>
          <w:trHeight w:val="15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24,372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24,465</w:t>
            </w:r>
          </w:p>
        </w:tc>
        <w:tc>
          <w:tcPr>
            <w:tcW w:w="0" w:type="dxa"/>
            <w:vAlign w:val="bottom"/>
          </w:tcPr>
          <w:p>
            <w:pPr>
              <w:spacing w:after="0"/>
              <w:rPr>
                <w:sz w:val="1"/>
                <w:szCs w:val="1"/>
                <w:color w:val="auto"/>
              </w:rPr>
            </w:pPr>
          </w:p>
        </w:tc>
      </w:tr>
      <w:tr>
        <w:trPr>
          <w:trHeight w:val="148"/>
        </w:trPr>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Stock</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w w:val="86"/>
              </w:rPr>
              <w:t>compensation</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40"/>
              <w:spacing w:after="0"/>
              <w:rPr>
                <w:sz w:val="20"/>
                <w:szCs w:val="20"/>
                <w:color w:val="auto"/>
              </w:rPr>
            </w:pPr>
            <w:r>
              <w:rPr>
                <w:rFonts w:ascii="Arial" w:cs="Arial" w:eastAsia="Arial" w:hAnsi="Arial"/>
                <w:sz w:val="13"/>
                <w:szCs w:val="13"/>
                <w:color w:val="auto"/>
              </w:rPr>
              <w:t>expense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25,028</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25,028</w:t>
            </w:r>
          </w:p>
        </w:tc>
        <w:tc>
          <w:tcPr>
            <w:tcW w:w="0" w:type="dxa"/>
            <w:vAlign w:val="bottom"/>
          </w:tcPr>
          <w:p>
            <w:pPr>
              <w:spacing w:after="0"/>
              <w:rPr>
                <w:sz w:val="1"/>
                <w:szCs w:val="1"/>
                <w:color w:val="auto"/>
              </w:rPr>
            </w:pPr>
          </w:p>
        </w:tc>
      </w:tr>
      <w:tr>
        <w:trPr>
          <w:trHeight w:val="15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for the</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period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(192,260)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(192,260)</w:t>
            </w:r>
          </w:p>
        </w:tc>
        <w:tc>
          <w:tcPr>
            <w:tcW w:w="0" w:type="dxa"/>
            <w:vAlign w:val="bottom"/>
          </w:tcPr>
          <w:p>
            <w:pPr>
              <w:spacing w:after="0"/>
              <w:rPr>
                <w:sz w:val="1"/>
                <w:szCs w:val="1"/>
                <w:color w:val="auto"/>
              </w:rPr>
            </w:pPr>
          </w:p>
        </w:tc>
      </w:tr>
      <w:tr>
        <w:trPr>
          <w:trHeight w:val="148"/>
        </w:trPr>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Foreign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currency</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translation</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gain</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net of tax $</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40"/>
              <w:spacing w:after="0"/>
              <w:rPr>
                <w:sz w:val="20"/>
                <w:szCs w:val="20"/>
                <w:color w:val="auto"/>
              </w:rPr>
            </w:pPr>
            <w:r>
              <w:rPr>
                <w:rFonts w:ascii="Arial" w:cs="Arial" w:eastAsia="Arial" w:hAnsi="Arial"/>
                <w:sz w:val="13"/>
                <w:szCs w:val="13"/>
                <w:color w:val="auto"/>
              </w:rPr>
              <w:t>Nil</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127,467</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127,467</w:t>
            </w:r>
          </w:p>
        </w:tc>
        <w:tc>
          <w:tcPr>
            <w:tcW w:w="0" w:type="dxa"/>
            <w:vAlign w:val="bottom"/>
          </w:tcPr>
          <w:p>
            <w:pPr>
              <w:spacing w:after="0"/>
              <w:rPr>
                <w:sz w:val="1"/>
                <w:szCs w:val="1"/>
                <w:color w:val="auto"/>
              </w:rPr>
            </w:pPr>
          </w:p>
        </w:tc>
      </w:tr>
      <w:tr>
        <w:trPr>
          <w:trHeight w:val="238"/>
        </w:trPr>
        <w:tc>
          <w:tcPr>
            <w:tcW w:w="76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76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Balance at</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June 30,</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40,019,015</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40,019</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93"/>
              </w:rPr>
              <w:t>7,440,868</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9,433,962</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903,616</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904</w:t>
            </w: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1,779,180</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1,779</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14,616,677</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14,617</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32,080,335</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(517,020)</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4,694,058</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36,338,203</w:t>
            </w:r>
          </w:p>
        </w:tc>
        <w:tc>
          <w:tcPr>
            <w:tcW w:w="0" w:type="dxa"/>
            <w:vAlign w:val="bottom"/>
          </w:tcPr>
          <w:p>
            <w:pPr>
              <w:spacing w:after="0"/>
              <w:rPr>
                <w:sz w:val="1"/>
                <w:szCs w:val="1"/>
                <w:color w:val="auto"/>
              </w:rPr>
            </w:pPr>
          </w:p>
        </w:tc>
      </w:tr>
      <w:tr>
        <w:trPr>
          <w:trHeight w:val="206"/>
        </w:trPr>
        <w:tc>
          <w:tcPr>
            <w:tcW w:w="76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2017</w:t>
            </w:r>
          </w:p>
        </w:tc>
        <w:tc>
          <w:tcPr>
            <w:tcW w:w="6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76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Balance at</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7"/>
              </w:rPr>
              <w:t>January 01,</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2018 as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previously</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reported</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89"/>
              </w:rPr>
              <w:t>40,019,015</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40,019</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w w:val="93"/>
              </w:rPr>
              <w:t>7,440,868</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9"/>
              </w:rPr>
              <w:t>9,433,962</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3"/>
              </w:rPr>
              <w:t>903,616</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904</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3"/>
              </w:rPr>
              <w:t>1,779,180</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1,779</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9"/>
              </w:rPr>
              <w:t>14,616,677</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14,617</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2"/>
              </w:rPr>
              <w:t>32,096,370</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(481,181)</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3,749,515</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35,445,534</w:t>
            </w:r>
          </w:p>
        </w:tc>
        <w:tc>
          <w:tcPr>
            <w:tcW w:w="0" w:type="dxa"/>
            <w:vAlign w:val="bottom"/>
          </w:tcPr>
          <w:p>
            <w:pPr>
              <w:spacing w:after="0"/>
              <w:rPr>
                <w:sz w:val="1"/>
                <w:szCs w:val="1"/>
                <w:color w:val="auto"/>
              </w:rPr>
            </w:pPr>
          </w:p>
        </w:tc>
      </w:tr>
      <w:tr>
        <w:trPr>
          <w:trHeight w:val="15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Adoption of</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ASC 606</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(Note 17)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1,781,396</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1,781,396</w:t>
            </w:r>
          </w:p>
        </w:tc>
        <w:tc>
          <w:tcPr>
            <w:tcW w:w="0" w:type="dxa"/>
            <w:vAlign w:val="bottom"/>
          </w:tcPr>
          <w:p>
            <w:pPr>
              <w:spacing w:after="0"/>
              <w:rPr>
                <w:sz w:val="1"/>
                <w:szCs w:val="1"/>
                <w:color w:val="auto"/>
              </w:rPr>
            </w:pPr>
          </w:p>
        </w:tc>
      </w:tr>
      <w:tr>
        <w:trPr>
          <w:trHeight w:val="148"/>
        </w:trPr>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Adjusted</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w w:val="90"/>
              </w:rPr>
              <w:t>balance as of</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January 01,</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40"/>
              <w:spacing w:after="0"/>
              <w:rPr>
                <w:sz w:val="20"/>
                <w:szCs w:val="20"/>
                <w:color w:val="auto"/>
              </w:rPr>
            </w:pPr>
            <w:r>
              <w:rPr>
                <w:rFonts w:ascii="Arial" w:cs="Arial" w:eastAsia="Arial" w:hAnsi="Arial"/>
                <w:sz w:val="13"/>
                <w:szCs w:val="13"/>
                <w:color w:val="auto"/>
              </w:rPr>
              <w:t>2018</w:t>
            </w:r>
          </w:p>
        </w:tc>
        <w:tc>
          <w:tcPr>
            <w:tcW w:w="620" w:type="dxa"/>
            <w:vAlign w:val="bottom"/>
          </w:tcPr>
          <w:p>
            <w:pPr>
              <w:jc w:val="right"/>
              <w:spacing w:after="0"/>
              <w:rPr>
                <w:sz w:val="20"/>
                <w:szCs w:val="20"/>
                <w:color w:val="auto"/>
              </w:rPr>
            </w:pPr>
            <w:r>
              <w:rPr>
                <w:rFonts w:ascii="Arial" w:cs="Arial" w:eastAsia="Arial" w:hAnsi="Arial"/>
                <w:sz w:val="13"/>
                <w:szCs w:val="13"/>
                <w:color w:val="auto"/>
                <w:w w:val="89"/>
              </w:rPr>
              <w:t>40,019,015</w:t>
            </w:r>
          </w:p>
        </w:tc>
        <w:tc>
          <w:tcPr>
            <w:tcW w:w="500" w:type="dxa"/>
            <w:vAlign w:val="bottom"/>
          </w:tcPr>
          <w:p>
            <w:pPr>
              <w:jc w:val="right"/>
              <w:spacing w:after="0"/>
              <w:rPr>
                <w:sz w:val="20"/>
                <w:szCs w:val="20"/>
                <w:color w:val="auto"/>
              </w:rPr>
            </w:pPr>
            <w:r>
              <w:rPr>
                <w:rFonts w:ascii="Arial" w:cs="Arial" w:eastAsia="Arial" w:hAnsi="Arial"/>
                <w:sz w:val="13"/>
                <w:szCs w:val="13"/>
                <w:color w:val="auto"/>
              </w:rPr>
              <w:t>40,019</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6,636,375</w:t>
            </w:r>
          </w:p>
        </w:tc>
        <w:tc>
          <w:tcPr>
            <w:tcW w:w="420" w:type="dxa"/>
            <w:vAlign w:val="bottom"/>
          </w:tcPr>
          <w:p>
            <w:pPr>
              <w:jc w:val="right"/>
              <w:spacing w:after="0"/>
              <w:rPr>
                <w:sz w:val="20"/>
                <w:szCs w:val="20"/>
                <w:color w:val="auto"/>
              </w:rPr>
            </w:pPr>
            <w:r>
              <w:rPr>
                <w:rFonts w:ascii="Arial" w:cs="Arial" w:eastAsia="Arial" w:hAnsi="Arial"/>
                <w:sz w:val="13"/>
                <w:szCs w:val="13"/>
                <w:color w:val="auto"/>
              </w:rPr>
              <w:t>6,636</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7,440,868</w:t>
            </w:r>
          </w:p>
        </w:tc>
        <w:tc>
          <w:tcPr>
            <w:tcW w:w="440" w:type="dxa"/>
            <w:vAlign w:val="bottom"/>
          </w:tcPr>
          <w:p>
            <w:pPr>
              <w:jc w:val="right"/>
              <w:spacing w:after="0"/>
              <w:rPr>
                <w:sz w:val="20"/>
                <w:szCs w:val="20"/>
                <w:color w:val="auto"/>
              </w:rPr>
            </w:pPr>
            <w:r>
              <w:rPr>
                <w:rFonts w:ascii="Arial" w:cs="Arial" w:eastAsia="Arial" w:hAnsi="Arial"/>
                <w:sz w:val="13"/>
                <w:szCs w:val="13"/>
                <w:color w:val="auto"/>
              </w:rPr>
              <w:t>7,441</w:t>
            </w:r>
          </w:p>
        </w:tc>
        <w:tc>
          <w:tcPr>
            <w:tcW w:w="560" w:type="dxa"/>
            <w:vAlign w:val="bottom"/>
          </w:tcPr>
          <w:p>
            <w:pPr>
              <w:jc w:val="right"/>
              <w:spacing w:after="0"/>
              <w:rPr>
                <w:sz w:val="20"/>
                <w:szCs w:val="20"/>
                <w:color w:val="auto"/>
              </w:rPr>
            </w:pPr>
            <w:r>
              <w:rPr>
                <w:rFonts w:ascii="Arial" w:cs="Arial" w:eastAsia="Arial" w:hAnsi="Arial"/>
                <w:sz w:val="13"/>
                <w:szCs w:val="13"/>
                <w:color w:val="auto"/>
                <w:w w:val="89"/>
              </w:rPr>
              <w:t>9,433,962</w:t>
            </w:r>
          </w:p>
        </w:tc>
        <w:tc>
          <w:tcPr>
            <w:tcW w:w="500" w:type="dxa"/>
            <w:vAlign w:val="bottom"/>
          </w:tcPr>
          <w:p>
            <w:pPr>
              <w:jc w:val="right"/>
              <w:spacing w:after="0"/>
              <w:rPr>
                <w:sz w:val="20"/>
                <w:szCs w:val="20"/>
                <w:color w:val="auto"/>
              </w:rPr>
            </w:pPr>
            <w:r>
              <w:rPr>
                <w:rFonts w:ascii="Arial" w:cs="Arial" w:eastAsia="Arial" w:hAnsi="Arial"/>
                <w:sz w:val="13"/>
                <w:szCs w:val="13"/>
                <w:color w:val="auto"/>
              </w:rPr>
              <w:t>9,434</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903,616</w:t>
            </w:r>
          </w:p>
        </w:tc>
        <w:tc>
          <w:tcPr>
            <w:tcW w:w="460" w:type="dxa"/>
            <w:vAlign w:val="bottom"/>
          </w:tcPr>
          <w:p>
            <w:pPr>
              <w:jc w:val="right"/>
              <w:spacing w:after="0"/>
              <w:rPr>
                <w:sz w:val="20"/>
                <w:szCs w:val="20"/>
                <w:color w:val="auto"/>
              </w:rPr>
            </w:pPr>
            <w:r>
              <w:rPr>
                <w:rFonts w:ascii="Arial" w:cs="Arial" w:eastAsia="Arial" w:hAnsi="Arial"/>
                <w:sz w:val="13"/>
                <w:szCs w:val="13"/>
                <w:color w:val="auto"/>
              </w:rPr>
              <w:t>904</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1,779,180</w:t>
            </w:r>
          </w:p>
        </w:tc>
        <w:tc>
          <w:tcPr>
            <w:tcW w:w="500" w:type="dxa"/>
            <w:vAlign w:val="bottom"/>
          </w:tcPr>
          <w:p>
            <w:pPr>
              <w:jc w:val="right"/>
              <w:spacing w:after="0"/>
              <w:rPr>
                <w:sz w:val="20"/>
                <w:szCs w:val="20"/>
                <w:color w:val="auto"/>
              </w:rPr>
            </w:pPr>
            <w:r>
              <w:rPr>
                <w:rFonts w:ascii="Arial" w:cs="Arial" w:eastAsia="Arial" w:hAnsi="Arial"/>
                <w:sz w:val="13"/>
                <w:szCs w:val="13"/>
                <w:color w:val="auto"/>
              </w:rPr>
              <w:t>1,779</w:t>
            </w:r>
          </w:p>
        </w:tc>
        <w:tc>
          <w:tcPr>
            <w:tcW w:w="660" w:type="dxa"/>
            <w:vAlign w:val="bottom"/>
          </w:tcPr>
          <w:p>
            <w:pPr>
              <w:jc w:val="right"/>
              <w:spacing w:after="0"/>
              <w:rPr>
                <w:sz w:val="20"/>
                <w:szCs w:val="20"/>
                <w:color w:val="auto"/>
              </w:rPr>
            </w:pPr>
            <w:r>
              <w:rPr>
                <w:rFonts w:ascii="Arial" w:cs="Arial" w:eastAsia="Arial" w:hAnsi="Arial"/>
                <w:sz w:val="13"/>
                <w:szCs w:val="13"/>
                <w:color w:val="auto"/>
                <w:w w:val="89"/>
              </w:rPr>
              <w:t>14,616,677</w:t>
            </w:r>
          </w:p>
        </w:tc>
        <w:tc>
          <w:tcPr>
            <w:tcW w:w="460" w:type="dxa"/>
            <w:vAlign w:val="bottom"/>
          </w:tcPr>
          <w:p>
            <w:pPr>
              <w:jc w:val="right"/>
              <w:spacing w:after="0"/>
              <w:rPr>
                <w:sz w:val="20"/>
                <w:szCs w:val="20"/>
                <w:color w:val="auto"/>
              </w:rPr>
            </w:pPr>
            <w:r>
              <w:rPr>
                <w:rFonts w:ascii="Arial" w:cs="Arial" w:eastAsia="Arial" w:hAnsi="Arial"/>
                <w:sz w:val="13"/>
                <w:szCs w:val="13"/>
                <w:color w:val="auto"/>
              </w:rPr>
              <w:t>14,617</w:t>
            </w:r>
          </w:p>
        </w:tc>
        <w:tc>
          <w:tcPr>
            <w:tcW w:w="680" w:type="dxa"/>
            <w:vAlign w:val="bottom"/>
          </w:tcPr>
          <w:p>
            <w:pPr>
              <w:jc w:val="right"/>
              <w:spacing w:after="0"/>
              <w:rPr>
                <w:sz w:val="20"/>
                <w:szCs w:val="20"/>
                <w:color w:val="auto"/>
              </w:rPr>
            </w:pPr>
            <w:r>
              <w:rPr>
                <w:rFonts w:ascii="Arial" w:cs="Arial" w:eastAsia="Arial" w:hAnsi="Arial"/>
                <w:sz w:val="13"/>
                <w:szCs w:val="13"/>
                <w:color w:val="auto"/>
                <w:w w:val="92"/>
              </w:rPr>
              <w:t>32,096,370</w:t>
            </w:r>
          </w:p>
        </w:tc>
        <w:tc>
          <w:tcPr>
            <w:tcW w:w="840" w:type="dxa"/>
            <w:vAlign w:val="bottom"/>
          </w:tcPr>
          <w:p>
            <w:pPr>
              <w:jc w:val="right"/>
              <w:spacing w:after="0"/>
              <w:rPr>
                <w:sz w:val="20"/>
                <w:szCs w:val="20"/>
                <w:color w:val="auto"/>
              </w:rPr>
            </w:pPr>
            <w:r>
              <w:rPr>
                <w:rFonts w:ascii="Arial" w:cs="Arial" w:eastAsia="Arial" w:hAnsi="Arial"/>
                <w:sz w:val="13"/>
                <w:szCs w:val="13"/>
                <w:color w:val="auto"/>
              </w:rPr>
              <w:t>(481,181)</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5,530,911</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37,226,930</w:t>
            </w:r>
          </w:p>
        </w:tc>
        <w:tc>
          <w:tcPr>
            <w:tcW w:w="0" w:type="dxa"/>
            <w:vAlign w:val="bottom"/>
          </w:tcPr>
          <w:p>
            <w:pPr>
              <w:spacing w:after="0"/>
              <w:rPr>
                <w:sz w:val="1"/>
                <w:szCs w:val="1"/>
                <w:color w:val="auto"/>
              </w:rPr>
            </w:pPr>
          </w:p>
        </w:tc>
      </w:tr>
      <w:tr>
        <w:trPr>
          <w:trHeight w:val="15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Issue of</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preference</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90,858</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22,624</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48"/>
        </w:trPr>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Exercise of</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40"/>
              <w:spacing w:after="0"/>
              <w:rPr>
                <w:sz w:val="20"/>
                <w:szCs w:val="20"/>
                <w:color w:val="auto"/>
              </w:rPr>
            </w:pPr>
            <w:r>
              <w:rPr>
                <w:rFonts w:ascii="Arial" w:cs="Arial" w:eastAsia="Arial" w:hAnsi="Arial"/>
                <w:sz w:val="13"/>
                <w:szCs w:val="13"/>
                <w:color w:val="auto"/>
              </w:rPr>
              <w:t>stock option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1,077,954</w:t>
            </w:r>
          </w:p>
        </w:tc>
        <w:tc>
          <w:tcPr>
            <w:tcW w:w="460" w:type="dxa"/>
            <w:vAlign w:val="bottom"/>
          </w:tcPr>
          <w:p>
            <w:pPr>
              <w:jc w:val="right"/>
              <w:spacing w:after="0"/>
              <w:rPr>
                <w:sz w:val="20"/>
                <w:szCs w:val="20"/>
                <w:color w:val="auto"/>
              </w:rPr>
            </w:pPr>
            <w:r>
              <w:rPr>
                <w:rFonts w:ascii="Arial" w:cs="Arial" w:eastAsia="Arial" w:hAnsi="Arial"/>
                <w:sz w:val="13"/>
                <w:szCs w:val="13"/>
                <w:color w:val="auto"/>
              </w:rPr>
              <w:t>1,078</w:t>
            </w:r>
          </w:p>
        </w:tc>
        <w:tc>
          <w:tcPr>
            <w:tcW w:w="680" w:type="dxa"/>
            <w:vAlign w:val="bottom"/>
          </w:tcPr>
          <w:p>
            <w:pPr>
              <w:jc w:val="right"/>
              <w:spacing w:after="0"/>
              <w:rPr>
                <w:sz w:val="20"/>
                <w:szCs w:val="20"/>
                <w:color w:val="auto"/>
              </w:rPr>
            </w:pPr>
            <w:r>
              <w:rPr>
                <w:rFonts w:ascii="Arial" w:cs="Arial" w:eastAsia="Arial" w:hAnsi="Arial"/>
                <w:sz w:val="13"/>
                <w:szCs w:val="13"/>
                <w:color w:val="auto"/>
              </w:rPr>
              <w:t>110,466</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111,544</w:t>
            </w:r>
          </w:p>
        </w:tc>
        <w:tc>
          <w:tcPr>
            <w:tcW w:w="0" w:type="dxa"/>
            <w:vAlign w:val="bottom"/>
          </w:tcPr>
          <w:p>
            <w:pPr>
              <w:spacing w:after="0"/>
              <w:rPr>
                <w:sz w:val="1"/>
                <w:szCs w:val="1"/>
                <w:color w:val="auto"/>
              </w:rPr>
            </w:pPr>
          </w:p>
        </w:tc>
      </w:tr>
      <w:tr>
        <w:trPr>
          <w:trHeight w:val="15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compensation</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5,560</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5,560</w:t>
            </w:r>
          </w:p>
        </w:tc>
        <w:tc>
          <w:tcPr>
            <w:tcW w:w="0" w:type="dxa"/>
            <w:vAlign w:val="bottom"/>
          </w:tcPr>
          <w:p>
            <w:pPr>
              <w:spacing w:after="0"/>
              <w:rPr>
                <w:sz w:val="1"/>
                <w:szCs w:val="1"/>
                <w:color w:val="auto"/>
              </w:rPr>
            </w:pPr>
          </w:p>
        </w:tc>
      </w:tr>
      <w:tr>
        <w:trPr>
          <w:trHeight w:val="148"/>
        </w:trPr>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8"/>
              </w:rPr>
              <w:t>Profit for the</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0" w:type="dxa"/>
            <w:vAlign w:val="bottom"/>
          </w:tcPr>
          <w:p>
            <w:pPr>
              <w:ind w:left="40"/>
              <w:spacing w:after="0"/>
              <w:rPr>
                <w:sz w:val="20"/>
                <w:szCs w:val="20"/>
                <w:color w:val="auto"/>
              </w:rPr>
            </w:pPr>
            <w:r>
              <w:rPr>
                <w:rFonts w:ascii="Arial" w:cs="Arial" w:eastAsia="Arial" w:hAnsi="Arial"/>
                <w:sz w:val="13"/>
                <w:szCs w:val="13"/>
                <w:color w:val="auto"/>
              </w:rPr>
              <w:t>period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2,656,660</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2,656,660</w:t>
            </w:r>
          </w:p>
        </w:tc>
        <w:tc>
          <w:tcPr>
            <w:tcW w:w="0" w:type="dxa"/>
            <w:vAlign w:val="bottom"/>
          </w:tcPr>
          <w:p>
            <w:pPr>
              <w:spacing w:after="0"/>
              <w:rPr>
                <w:sz w:val="1"/>
                <w:szCs w:val="1"/>
                <w:color w:val="auto"/>
              </w:rPr>
            </w:pPr>
          </w:p>
        </w:tc>
      </w:tr>
      <w:tr>
        <w:trPr>
          <w:trHeight w:val="15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Foreign</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currency</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translation</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loss</w:t>
            </w: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net of tax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Nil</w:t>
            </w:r>
          </w:p>
        </w:tc>
        <w:tc>
          <w:tcPr>
            <w:tcW w:w="6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(312,556)</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(312,556)</w:t>
            </w:r>
          </w:p>
        </w:tc>
        <w:tc>
          <w:tcPr>
            <w:tcW w:w="0" w:type="dxa"/>
            <w:vAlign w:val="bottom"/>
          </w:tcPr>
          <w:p>
            <w:pPr>
              <w:spacing w:after="0"/>
              <w:rPr>
                <w:sz w:val="1"/>
                <w:szCs w:val="1"/>
                <w:color w:val="auto"/>
              </w:rPr>
            </w:pPr>
          </w:p>
        </w:tc>
      </w:tr>
      <w:tr>
        <w:trPr>
          <w:trHeight w:val="230"/>
        </w:trPr>
        <w:tc>
          <w:tcPr>
            <w:tcW w:w="7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760" w:type="dxa"/>
            <w:vAlign w:val="bottom"/>
            <w:shd w:val="clear" w:color="auto" w:fill="CCEEFF"/>
          </w:tcPr>
          <w:p>
            <w:pPr>
              <w:ind w:left="40"/>
              <w:spacing w:after="0" w:line="124" w:lineRule="exact"/>
              <w:rPr>
                <w:sz w:val="20"/>
                <w:szCs w:val="20"/>
                <w:color w:val="auto"/>
              </w:rPr>
            </w:pPr>
            <w:r>
              <w:rPr>
                <w:rFonts w:ascii="Arial" w:cs="Arial" w:eastAsia="Arial" w:hAnsi="Arial"/>
                <w:sz w:val="13"/>
                <w:szCs w:val="13"/>
                <w:b w:val="1"/>
                <w:bCs w:val="1"/>
                <w:color w:val="auto"/>
              </w:rPr>
              <w:t>Balance at</w:t>
            </w:r>
          </w:p>
        </w:tc>
        <w:tc>
          <w:tcPr>
            <w:tcW w:w="6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June 30,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40,109,873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40,110</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9"/>
              </w:rPr>
              <w:t>6,636,375</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6,636</w:t>
            </w: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93"/>
              </w:rPr>
              <w:t>7,440,868</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7,441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9,433,962</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9,434</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903,616</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904</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1,779,180</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1,779</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15,694,631</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15,695</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32,235,020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(793,737)</w:t>
            </w: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8,187,571</w:t>
            </w: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39,710,853</w:t>
            </w:r>
          </w:p>
        </w:tc>
        <w:tc>
          <w:tcPr>
            <w:tcW w:w="0" w:type="dxa"/>
            <w:vAlign w:val="bottom"/>
          </w:tcPr>
          <w:p>
            <w:pPr>
              <w:spacing w:after="0"/>
              <w:rPr>
                <w:sz w:val="1"/>
                <w:szCs w:val="1"/>
                <w:color w:val="auto"/>
              </w:rPr>
            </w:pPr>
          </w:p>
        </w:tc>
      </w:tr>
      <w:tr>
        <w:trPr>
          <w:trHeight w:val="166"/>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accompanying notes to the unaudited consolidated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SCIOinspire Holdings, Inc.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 amounts in United States Dollars except share data and as otherwise 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380" w:type="dxa"/>
            <w:vAlign w:val="bottom"/>
            <w:gridSpan w:val="3"/>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8040" w:type="dxa"/>
            <w:vAlign w:val="bottom"/>
          </w:tcPr>
          <w:p>
            <w:pPr>
              <w:spacing w:after="0"/>
              <w:rPr>
                <w:sz w:val="24"/>
                <w:szCs w:val="24"/>
                <w:color w:val="auto"/>
              </w:rPr>
            </w:pPr>
          </w:p>
        </w:tc>
        <w:tc>
          <w:tcPr>
            <w:tcW w:w="180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2018</w:t>
            </w:r>
          </w:p>
        </w:tc>
        <w:tc>
          <w:tcPr>
            <w:tcW w:w="158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2017</w:t>
            </w:r>
          </w:p>
        </w:tc>
      </w:tr>
      <w:tr>
        <w:trPr>
          <w:trHeight w:val="270"/>
        </w:trPr>
        <w:tc>
          <w:tcPr>
            <w:tcW w:w="8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4"/>
        </w:trPr>
        <w:tc>
          <w:tcPr>
            <w:tcW w:w="8040" w:type="dxa"/>
            <w:vAlign w:val="bottom"/>
          </w:tcPr>
          <w:p>
            <w:pPr>
              <w:ind w:left="160"/>
              <w:spacing w:after="0"/>
              <w:rPr>
                <w:sz w:val="20"/>
                <w:szCs w:val="20"/>
                <w:color w:val="auto"/>
              </w:rPr>
            </w:pPr>
            <w:r>
              <w:rPr>
                <w:rFonts w:ascii="Arial" w:cs="Arial" w:eastAsia="Arial" w:hAnsi="Arial"/>
                <w:sz w:val="14"/>
                <w:szCs w:val="14"/>
                <w:color w:val="auto"/>
              </w:rPr>
              <w:t>Net income/(loss)</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2,656,660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(192,260)</w:t>
            </w:r>
          </w:p>
        </w:tc>
      </w:tr>
      <w:tr>
        <w:trPr>
          <w:trHeight w:val="276"/>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500"/>
              <w:spacing w:after="0"/>
              <w:rPr>
                <w:sz w:val="20"/>
                <w:szCs w:val="20"/>
                <w:color w:val="auto"/>
              </w:rPr>
            </w:pPr>
            <w:r>
              <w:rPr>
                <w:rFonts w:ascii="Arial" w:cs="Arial" w:eastAsia="Arial" w:hAnsi="Arial"/>
                <w:sz w:val="14"/>
                <w:szCs w:val="14"/>
                <w:color w:val="auto"/>
              </w:rPr>
              <w:t>Depreciation</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1,315,091</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1,528,739</w:t>
            </w:r>
          </w:p>
        </w:tc>
      </w:tr>
      <w:tr>
        <w:trPr>
          <w:trHeight w:val="276"/>
        </w:trPr>
        <w:tc>
          <w:tcPr>
            <w:tcW w:w="8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502,105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502,105</w:t>
            </w:r>
          </w:p>
        </w:tc>
      </w:tr>
      <w:tr>
        <w:trPr>
          <w:trHeight w:val="264"/>
        </w:trPr>
        <w:tc>
          <w:tcPr>
            <w:tcW w:w="8040" w:type="dxa"/>
            <w:vAlign w:val="bottom"/>
          </w:tcPr>
          <w:p>
            <w:pPr>
              <w:ind w:left="500"/>
              <w:spacing w:after="0"/>
              <w:rPr>
                <w:sz w:val="20"/>
                <w:szCs w:val="20"/>
                <w:color w:val="auto"/>
              </w:rPr>
            </w:pPr>
            <w:r>
              <w:rPr>
                <w:rFonts w:ascii="Arial" w:cs="Arial" w:eastAsia="Arial" w:hAnsi="Arial"/>
                <w:sz w:val="14"/>
                <w:szCs w:val="14"/>
                <w:color w:val="auto"/>
              </w:rPr>
              <w:t>Deferred tax expense</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1,150,565</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(36,833)</w:t>
            </w:r>
          </w:p>
        </w:tc>
      </w:tr>
      <w:tr>
        <w:trPr>
          <w:trHeight w:val="276"/>
        </w:trPr>
        <w:tc>
          <w:tcPr>
            <w:tcW w:w="8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Allowance for doubtful accounts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040" w:type="dxa"/>
            <w:vAlign w:val="bottom"/>
          </w:tcPr>
          <w:p>
            <w:pPr>
              <w:ind w:left="500"/>
              <w:spacing w:after="0"/>
              <w:rPr>
                <w:sz w:val="20"/>
                <w:szCs w:val="20"/>
                <w:color w:val="auto"/>
              </w:rPr>
            </w:pPr>
            <w:r>
              <w:rPr>
                <w:rFonts w:ascii="Arial" w:cs="Arial" w:eastAsia="Arial" w:hAnsi="Arial"/>
                <w:sz w:val="14"/>
                <w:szCs w:val="14"/>
                <w:color w:val="auto"/>
              </w:rPr>
              <w:t>Stock compensation expense</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5,560</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25,028</w:t>
            </w:r>
          </w:p>
        </w:tc>
      </w:tr>
      <w:tr>
        <w:trPr>
          <w:trHeight w:val="276"/>
        </w:trPr>
        <w:tc>
          <w:tcPr>
            <w:tcW w:w="8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Accounts receivable</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491,939</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419,358</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Unbilled revenue</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(2,007,313)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(2,601,664)</w:t>
            </w: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Other assets</w:t>
            </w:r>
          </w:p>
        </w:tc>
        <w:tc>
          <w:tcPr>
            <w:tcW w:w="1700" w:type="dxa"/>
            <w:vAlign w:val="bottom"/>
          </w:tcPr>
          <w:p>
            <w:pPr>
              <w:jc w:val="right"/>
              <w:spacing w:after="0"/>
              <w:rPr>
                <w:sz w:val="20"/>
                <w:szCs w:val="20"/>
                <w:color w:val="auto"/>
              </w:rPr>
            </w:pPr>
            <w:r>
              <w:rPr>
                <w:rFonts w:ascii="Arial" w:cs="Arial" w:eastAsia="Arial" w:hAnsi="Arial"/>
                <w:sz w:val="14"/>
                <w:szCs w:val="14"/>
                <w:color w:val="auto"/>
              </w:rPr>
              <w:t>(494,618)</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(120,087)</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Income taxes receivable/(payable)</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3,067,088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(693,381)</w:t>
            </w: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Accounts payable</w:t>
            </w:r>
          </w:p>
        </w:tc>
        <w:tc>
          <w:tcPr>
            <w:tcW w:w="1700" w:type="dxa"/>
            <w:vAlign w:val="bottom"/>
          </w:tcPr>
          <w:p>
            <w:pPr>
              <w:jc w:val="right"/>
              <w:spacing w:after="0"/>
              <w:rPr>
                <w:sz w:val="20"/>
                <w:szCs w:val="20"/>
                <w:color w:val="auto"/>
              </w:rPr>
            </w:pPr>
            <w:r>
              <w:rPr>
                <w:rFonts w:ascii="Arial" w:cs="Arial" w:eastAsia="Arial" w:hAnsi="Arial"/>
                <w:sz w:val="14"/>
                <w:szCs w:val="14"/>
                <w:color w:val="auto"/>
              </w:rPr>
              <w:t>(90,528)</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(17,544)</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Accrued and other liabilities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1,478,199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74,938</w:t>
            </w: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Cash received on behalf of customers</w:t>
            </w:r>
          </w:p>
        </w:tc>
        <w:tc>
          <w:tcPr>
            <w:tcW w:w="1700" w:type="dxa"/>
            <w:vAlign w:val="bottom"/>
          </w:tcPr>
          <w:p>
            <w:pPr>
              <w:jc w:val="right"/>
              <w:spacing w:after="0"/>
              <w:rPr>
                <w:sz w:val="20"/>
                <w:szCs w:val="20"/>
                <w:color w:val="auto"/>
              </w:rPr>
            </w:pPr>
            <w:r>
              <w:rPr>
                <w:rFonts w:ascii="Arial" w:cs="Arial" w:eastAsia="Arial" w:hAnsi="Arial"/>
                <w:sz w:val="14"/>
                <w:szCs w:val="14"/>
                <w:color w:val="auto"/>
              </w:rPr>
              <w:t>(488,067)</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(630,136)</w:t>
            </w:r>
          </w:p>
        </w:tc>
      </w:tr>
      <w:tr>
        <w:trPr>
          <w:trHeight w:val="27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Subrogation services obligations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488,049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570,801</w:t>
            </w:r>
          </w:p>
        </w:tc>
      </w:tr>
      <w:tr>
        <w:trPr>
          <w:trHeight w:val="264"/>
        </w:trPr>
        <w:tc>
          <w:tcPr>
            <w:tcW w:w="8040" w:type="dxa"/>
            <w:vAlign w:val="bottom"/>
          </w:tcPr>
          <w:p>
            <w:pPr>
              <w:ind w:left="860"/>
              <w:spacing w:after="0"/>
              <w:rPr>
                <w:sz w:val="20"/>
                <w:szCs w:val="20"/>
                <w:color w:val="auto"/>
              </w:rPr>
            </w:pPr>
            <w:r>
              <w:rPr>
                <w:rFonts w:ascii="Arial" w:cs="Arial" w:eastAsia="Arial" w:hAnsi="Arial"/>
                <w:sz w:val="14"/>
                <w:szCs w:val="14"/>
                <w:color w:val="auto"/>
              </w:rPr>
              <w:t>Overpayment services obligations</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(7,106)</w:t>
            </w:r>
          </w:p>
        </w:tc>
      </w:tr>
      <w:tr>
        <w:trPr>
          <w:trHeight w:val="256"/>
        </w:trPr>
        <w:tc>
          <w:tcPr>
            <w:tcW w:w="804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Net cash provided by/(used in) operating activities</w:t>
            </w:r>
          </w:p>
        </w:tc>
        <w:tc>
          <w:tcPr>
            <w:tcW w:w="1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8,149,730</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(1,178,042)</w:t>
            </w:r>
          </w:p>
        </w:tc>
      </w:tr>
      <w:tr>
        <w:trPr>
          <w:trHeight w:val="324"/>
        </w:trPr>
        <w:tc>
          <w:tcPr>
            <w:tcW w:w="8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4"/>
        </w:trPr>
        <w:tc>
          <w:tcPr>
            <w:tcW w:w="8040" w:type="dxa"/>
            <w:vAlign w:val="bottom"/>
          </w:tcPr>
          <w:p>
            <w:pPr>
              <w:ind w:left="160"/>
              <w:spacing w:after="0"/>
              <w:rPr>
                <w:sz w:val="20"/>
                <w:szCs w:val="20"/>
                <w:color w:val="auto"/>
              </w:rPr>
            </w:pPr>
            <w:r>
              <w:rPr>
                <w:rFonts w:ascii="Arial" w:cs="Arial" w:eastAsia="Arial" w:hAnsi="Arial"/>
                <w:sz w:val="14"/>
                <w:szCs w:val="14"/>
                <w:color w:val="auto"/>
              </w:rPr>
              <w:t>Acquisition of business, net of cash</w:t>
            </w:r>
          </w:p>
        </w:tc>
        <w:tc>
          <w:tcPr>
            <w:tcW w:w="1700" w:type="dxa"/>
            <w:vAlign w:val="bottom"/>
          </w:tcPr>
          <w:p>
            <w:pPr>
              <w:jc w:val="right"/>
              <w:spacing w:after="0"/>
              <w:rPr>
                <w:sz w:val="20"/>
                <w:szCs w:val="20"/>
                <w:color w:val="auto"/>
              </w:rPr>
            </w:pPr>
            <w:r>
              <w:rPr>
                <w:rFonts w:ascii="Arial" w:cs="Arial" w:eastAsia="Arial" w:hAnsi="Arial"/>
                <w:sz w:val="14"/>
                <w:szCs w:val="14"/>
                <w:color w:val="auto"/>
              </w:rPr>
              <w:t>(417,076)</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(684,341)</w:t>
            </w:r>
          </w:p>
        </w:tc>
      </w:tr>
      <w:tr>
        <w:trPr>
          <w:trHeight w:val="270"/>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(2,636,112)</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(2,490,571)</w:t>
            </w:r>
          </w:p>
        </w:tc>
      </w:tr>
      <w:tr>
        <w:trPr>
          <w:trHeight w:val="250"/>
        </w:trPr>
        <w:tc>
          <w:tcPr>
            <w:tcW w:w="8040" w:type="dxa"/>
            <w:vAlign w:val="bottom"/>
          </w:tcPr>
          <w:p>
            <w:pPr>
              <w:ind w:left="860"/>
              <w:spacing w:after="0"/>
              <w:rPr>
                <w:sz w:val="20"/>
                <w:szCs w:val="20"/>
                <w:color w:val="auto"/>
              </w:rPr>
            </w:pPr>
            <w:r>
              <w:rPr>
                <w:rFonts w:ascii="Arial" w:cs="Arial" w:eastAsia="Arial" w:hAnsi="Arial"/>
                <w:sz w:val="14"/>
                <w:szCs w:val="14"/>
                <w:b w:val="1"/>
                <w:bCs w:val="1"/>
                <w:color w:val="auto"/>
              </w:rPr>
              <w:t>Net cash used in investing activities</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(3,053,188)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(3,174,912)</w:t>
            </w:r>
          </w:p>
        </w:tc>
      </w:tr>
      <w:tr>
        <w:trPr>
          <w:trHeight w:val="330"/>
        </w:trPr>
        <w:tc>
          <w:tcPr>
            <w:tcW w:w="80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Principal payments on long-term debt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(1,273,589)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(990,000)</w:t>
            </w:r>
          </w:p>
        </w:tc>
      </w:tr>
      <w:tr>
        <w:trPr>
          <w:trHeight w:val="264"/>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Proceeds from exercise of options</w:t>
            </w: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111,544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78,112</w:t>
            </w:r>
          </w:p>
        </w:tc>
      </w:tr>
      <w:tr>
        <w:trPr>
          <w:trHeight w:val="256"/>
        </w:trPr>
        <w:tc>
          <w:tcPr>
            <w:tcW w:w="8040" w:type="dxa"/>
            <w:vAlign w:val="bottom"/>
            <w:shd w:val="clear" w:color="auto" w:fill="CCEEFF"/>
          </w:tcPr>
          <w:p>
            <w:pPr>
              <w:ind w:left="860"/>
              <w:spacing w:after="0"/>
              <w:rPr>
                <w:sz w:val="20"/>
                <w:szCs w:val="20"/>
                <w:color w:val="auto"/>
              </w:rPr>
            </w:pPr>
            <w:r>
              <w:rPr>
                <w:rFonts w:ascii="Arial" w:cs="Arial" w:eastAsia="Arial" w:hAnsi="Arial"/>
                <w:sz w:val="14"/>
                <w:szCs w:val="14"/>
                <w:b w:val="1"/>
                <w:bCs w:val="1"/>
                <w:color w:val="auto"/>
              </w:rPr>
              <w:t>Net cash used in financing activities</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(1,162,045)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(911,888)</w:t>
            </w:r>
          </w:p>
        </w:tc>
      </w:tr>
      <w:tr>
        <w:trPr>
          <w:trHeight w:val="324"/>
        </w:trPr>
        <w:tc>
          <w:tcPr>
            <w:tcW w:w="8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Effect of exchange rate changes on cash</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2,660</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29,634</w:t>
            </w:r>
          </w:p>
        </w:tc>
      </w:tr>
      <w:tr>
        <w:trPr>
          <w:trHeight w:val="250"/>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1700" w:type="dxa"/>
            <w:vAlign w:val="bottom"/>
          </w:tcPr>
          <w:p>
            <w:pPr>
              <w:jc w:val="right"/>
              <w:ind w:right="48"/>
              <w:spacing w:after="0"/>
              <w:rPr>
                <w:sz w:val="20"/>
                <w:szCs w:val="20"/>
                <w:color w:val="auto"/>
              </w:rPr>
            </w:pPr>
            <w:r>
              <w:rPr>
                <w:rFonts w:ascii="Arial" w:cs="Arial" w:eastAsia="Arial" w:hAnsi="Arial"/>
                <w:sz w:val="14"/>
                <w:szCs w:val="14"/>
                <w:b w:val="1"/>
                <w:bCs w:val="1"/>
                <w:color w:val="auto"/>
              </w:rPr>
              <w:t>3,937,157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(5,235,208)</w:t>
            </w:r>
          </w:p>
        </w:tc>
      </w:tr>
      <w:tr>
        <w:trPr>
          <w:trHeight w:val="270"/>
        </w:trPr>
        <w:tc>
          <w:tcPr>
            <w:tcW w:w="8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6,088,890</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13,655,743</w:t>
            </w:r>
          </w:p>
        </w:tc>
      </w:tr>
      <w:tr>
        <w:trPr>
          <w:trHeight w:val="283"/>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10,026,047</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8,420,535</w:t>
            </w:r>
          </w:p>
        </w:tc>
      </w:tr>
      <w:tr>
        <w:trPr>
          <w:trHeight w:val="305"/>
        </w:trPr>
        <w:tc>
          <w:tcPr>
            <w:tcW w:w="80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Supplement disclosures of cash flow information:</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198,071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1,258,057</w:t>
            </w: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color w:val="auto"/>
              </w:rPr>
              <w:t>Cash paid during the period for interest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379,943</w:t>
            </w:r>
          </w:p>
        </w:tc>
        <w:tc>
          <w:tcPr>
            <w:tcW w:w="10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431,102</w:t>
            </w:r>
          </w:p>
        </w:tc>
      </w:tr>
      <w:tr>
        <w:trPr>
          <w:trHeight w:val="330"/>
        </w:trPr>
        <w:tc>
          <w:tcPr>
            <w:tcW w:w="80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8040" w:type="dxa"/>
            <w:vAlign w:val="bottom"/>
          </w:tcPr>
          <w:p>
            <w:pPr>
              <w:ind w:left="40"/>
              <w:spacing w:after="0"/>
              <w:rPr>
                <w:sz w:val="20"/>
                <w:szCs w:val="20"/>
                <w:color w:val="auto"/>
              </w:rPr>
            </w:pPr>
            <w:r>
              <w:rPr>
                <w:rFonts w:ascii="Arial" w:cs="Arial" w:eastAsia="Arial" w:hAnsi="Arial"/>
                <w:sz w:val="14"/>
                <w:szCs w:val="14"/>
                <w:b w:val="1"/>
                <w:bCs w:val="1"/>
                <w:color w:val="auto"/>
              </w:rPr>
              <w:t>Non cash investing activities:</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8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for business acquisition</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accompanying notes to the unaudited consolidated financial statements.</w:t>
      </w:r>
    </w:p>
    <w:p>
      <w:pPr>
        <w:sectPr>
          <w:pgSz w:w="11900" w:h="16838" w:orient="portrait"/>
          <w:cols w:equalWidth="0" w:num="1">
            <w:col w:w="11420"/>
          </w:cols>
          <w:pgMar w:left="240" w:top="531"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31" w:right="239" w:bottom="1440" w:gutter="0" w:footer="0" w:header="0"/>
          <w:type w:val="continuous"/>
        </w:sectPr>
      </w:pPr>
    </w:p>
    <w:bookmarkStart w:id="41" w:name="page42"/>
    <w:bookmarkEnd w:id="41"/>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19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3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SCIOinspire Holdings Inc. (“the Company”) was incorporated under the law of Cayman Islands on July 30, 2007, by a team of professionals having expertise in the Healthcare industry, as an exempted company with limited liability. The Company through its subsidiaries (“the Group”) offer Cost containment / Payment Integrity services, Facility and claims audit, Analytics and Data Management, Healthcare Analytics, Actuarial Consulting, Risk Adjustment, Software – Hosting / License, Business Process Outsourcing services, Commercial Effectiveness etc., to companies in the Healthcare and Pharmaceutical industry.</w:t>
      </w:r>
    </w:p>
    <w:p>
      <w:pPr>
        <w:spacing w:after="0" w:line="265" w:lineRule="exact"/>
        <w:rPr>
          <w:sz w:val="20"/>
          <w:szCs w:val="20"/>
          <w:color w:val="auto"/>
        </w:rPr>
      </w:pPr>
    </w:p>
    <w:p>
      <w:pPr>
        <w:ind w:right="7700" w:firstLine="8"/>
        <w:spacing w:after="0" w:line="597" w:lineRule="auto"/>
        <w:tabs>
          <w:tab w:leader="none" w:pos="32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preparation</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unaudited interim consolidated financial statements include the accounts of the SCIOinspire Holdings Inc. and its wholly owned subsidiaries – SCIOinspire Corp, SCIOinspire Consulting Services (India) Private Limited, SCIO Health Analytics (UK) Limited and Data Intelligence Limited, and have been prepared in conformity with accounting principles generally accepted in the United States of America (US GAAP) for interim financial information.</w:t>
      </w:r>
    </w:p>
    <w:p>
      <w:pPr>
        <w:spacing w:after="0" w:line="26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unaudited interim consolidated financial statements reflect all adjustments (of a normal and recurring nature) that management considers necessary for a fair presentation of such statements for the interim periods presented. The unaudited interim consolidated statements of operations for the interim periods presented are not necessarily indicative of the results for the full year or for any subsequent period.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reported amounts of revenues and expenses during the reporting period. Actual results could differ from those estimates. Significant items subject to such estimates and assumptions include the useful lives of property and equipment, the carrying amount of intangible assets and goodwill, allowances for doubtful accounts, liability for appeals, deferred tax asset valuation allowances, provisions, share based compensation, income tax uncertainties and other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significant inter-company balances and transactions have been eliminated in consolidation. The Group consolidates entities in which it has a controlling financial interest based on either the variable interest entity (VIE) or voting interest model. The Group currently has no involvement with variable interest entities.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Controlling interest in businesses under common control</w:t>
      </w:r>
    </w:p>
    <w:p>
      <w:pPr>
        <w:spacing w:after="0" w:line="9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Group accounts for transactions between entities under common control, by initially recognizing the assets and liabilities transferred at the date of acquisition at the carrying values. Refer Note 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42" w:name="page43"/>
    <w:bookmarkEnd w:id="42"/>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Significant Accounting Policies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unaudited consolidated financial statements are reported in United States Dollar. The functional currency of the Company and its subsidiaries is United States Dollars, except that of the Indian subsidiary whose functional currency is Indian Rupees and for SCIO Health Analytics (UK) Ltd. the functional currency is Pound Sterling. The translation of the Indian Rupee and Pound Sterling into United States Dollars is performed for balance sheet accounts using the exchange rates in effect as at the balance sheet date and for the statement of operations using the average exchange rate prevailing during the period. The gains or losses resulting from such translation are reported under accumulated other comprehensive income / (loss), net, as a separate component of equity.</w:t>
      </w:r>
    </w:p>
    <w:p>
      <w:pPr>
        <w:spacing w:after="0" w:line="2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Foreign currency denominated monetary assets and monetary liabilities at the period-end are translated at the period-end exchange rate. Exchange rate differences resulting from foreign exchange transactions settled during the period, including period-end translation of monetary assets and liabilities are recognized in the consolidated statement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Group considers all highly liquid investments with a maturity of three months or less when purchased to be cash equivalents. Cash and cash equivalents consist of cash and deposits with banks with an initial term of less than three months, which are unrestricted as to its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received on behalf of customers</w:t>
      </w:r>
    </w:p>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part of its subrogation services, the Group receives cash payments on behalf of its clients, which the Group is obligated to remit to various clients after recovering its fees and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31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Trade accounts receivable are recorded at the invoiced amount and do not bear interest. Amounts collected on accounts receivable are included in net cash provided by operating activities in the statements of cash flows. The Group maintains an allowance for doubtful accounts for estimated losses inherent in its accounts receivable portfolio. In establishing the required allowance, management considers historical losses adjusted to take into account current market conditions and the Group’s customers’ financial condition, the amount of receivables in dispute, and the current receivables aging and current payment patterns. The Group reviews its allowance for doubtful accounts periodically. Account balances are charged off against the allowance after all means of collection have been exhausted and the potential for recovery is considered remote. The Group does not have any off-balance-sheet credit exposure related to its customers. Allowances for doubtful accounts recognized during the six months period ended June 30, 2018 was $75,000 (June 30, 2017: Nil).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31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Except as described below, the Group has consistently applied the accounting policies to all periods presented in these consolidated financial statements. On January 1, 2018, the date of initial application, the Group adopted Topic 606 using the cumulative-effect method by recognizing the cumulative effect of initially applying Topic 606 as an adjustment to the opening balance of equity, resulting in an increase of $1,781,396, primarily on account of recognition of revenue on contingent contracts in the audit and recovery services prior to collection of payments as part of variable consideration as permitted under topic</w:t>
      </w:r>
    </w:p>
    <w:p>
      <w:pPr>
        <w:spacing w:after="0" w:line="2" w:lineRule="exact"/>
        <w:rPr>
          <w:sz w:val="20"/>
          <w:szCs w:val="20"/>
          <w:color w:val="auto"/>
        </w:rPr>
      </w:pPr>
    </w:p>
    <w:p>
      <w:pPr>
        <w:ind w:left="5660" w:right="4080" w:hanging="5652"/>
        <w:spacing w:after="0" w:line="793" w:lineRule="auto"/>
        <w:tabs>
          <w:tab w:leader="none" w:pos="3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initial application scopes in those contracts which were not completed as at January 1, 2018. 7</w:t>
      </w:r>
    </w:p>
    <w:p>
      <w:pPr>
        <w:sectPr>
          <w:pgSz w:w="11900" w:h="16838" w:orient="portrait"/>
          <w:cols w:equalWidth="0" w:num="1">
            <w:col w:w="11420"/>
          </w:cols>
          <w:pgMar w:left="240" w:top="135" w:right="239" w:bottom="1440" w:gutter="0" w:footer="0" w:header="0"/>
        </w:sectPr>
      </w:pPr>
    </w:p>
    <w:bookmarkStart w:id="43" w:name="page44"/>
    <w:bookmarkEnd w:id="43"/>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Significant Accounting Policies (continued)</w:t>
      </w:r>
    </w:p>
    <w:p>
      <w:pPr>
        <w:spacing w:after="0" w:line="32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Results for reporting periods beginning January 1, 2018 are presented under Topic 606, while prior period amounts are not adjusted and continue to be reported in accordance with Group’s historical accounting under Topic 605.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Group offers Cost containment / Payment Integrity services, Facility and claims audit, Analytics and Data Management, Healthcare Analytics, Actuarial Consulting, Risk Adjustment, Software – Hosting / License, Business Process Outsourcing services, Commercial Effectiveness etc., to companies in the Healthcare and Pharmaceutical industry.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30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Group’s contracts with customers do not generally bundle different services together except for software and related services contracts. In such software and related services contracts, revenue is allocated to each performance obligation based on the relative standalone selling price.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 of Contracts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Revenue from audit and recovery services is derived from contingent and non-contingent fee arrangements.</w:t>
      </w:r>
    </w:p>
    <w:p>
      <w:pPr>
        <w:spacing w:after="0" w:line="3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from certain audit and recovery services contracts are contingent on collection of overpayments identified by the Group. Such revenue are categorized as contingent fee arrangements. Under Topic 606, contingent revenues are estimated in accordance with the guidance on variable consideration in Topic 606 and accounted as revenue when there is probability of collection.</w:t>
      </w:r>
    </w:p>
    <w:p>
      <w:pPr>
        <w:spacing w:after="0" w:line="2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Revenues from services having non-contingent fee arrangements are substantially provided on a time-and-material basis and are recognized based on the contractual terms as the services are performed.</w:t>
      </w:r>
    </w:p>
    <w:p>
      <w:pPr>
        <w:spacing w:after="0" w:line="25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Direct and incremental costs pertaining to such services are amortized over the period of contract. The costs deferred are limited to the extent of future contractual revenues for work completed and recoverability established as at the Balance sheet date. These deferred cost are included as part of the other assets as and when applicable.</w:t>
      </w:r>
    </w:p>
    <w:p>
      <w:pPr>
        <w:spacing w:after="0" w:line="2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Revenue from annual maintenance contracts are recognized ratably over the period in which services are rendered. Revenues from services which are substantially provided on a time-and-material basis are recognized based on the contractual terms as the services are performed.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30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All Contracts entered into by the Group specify the payment terms. Usual payment terms range between 30-60 days. The Group does not have any extended payment terms clauses in existing contracts.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30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transaction price shall include an estimate of variable consideration to the extent that it is ‘probable’ that a significant reversal in the amount of cumulative revenue will not occur when the uncertainty associated with the variable consideration is subsequently resolved.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44" w:name="page45"/>
    <w:bookmarkEnd w:id="44"/>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7180" w:firstLine="8"/>
        <w:spacing w:after="0" w:line="669" w:lineRule="auto"/>
        <w:tabs>
          <w:tab w:leader="none" w:pos="18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Summary of Significant Accounting Policies (continued) Allocation of transaction price to performance obligations</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Group considers the nature of the variable payment and whether it relates specifically to its efforts to satisfy a specific part of the contract.</w:t>
      </w:r>
    </w:p>
    <w:p>
      <w:pPr>
        <w:spacing w:after="0" w:line="26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certain contingency based business, providers (third parties) have the right to appeal a claim and may pursue additional appeals if the initial appeal is found in favor of Group’s customers. For revenue realized from such contingency business, the Group accrues an estimated liability based on the amount of fees which are subject to appeal and which we estimate are probable of being returned to providers following a successful appeal. This estimated liability for appeals is an offset to revenue on our consolidated statements of operations. The estimates are based on historical experience with appeals. The estimated liability of appeals of $2,000,000 as at June 30, 2018 and $1,698,026 as at December 31, 2017 represent our best estimate of the potential amount of repayments related to appeals of claims for which fees were previously collected and recognized as revenue. The estimates are based on historical experience with appeals. To the extent the amount to be returned to providers following a successful appeal exceeds the amount accrued, revenue in the applicable period would be reduced by the amount of the excess. The inability to correctly estimate the estimated liabilities could adversely affect our revenue in future periods.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consolidated financial statements</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summarizes the impacts of adopting Topic 606 on the Group’s consolidated financial statements for the six months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45" w:name="page46"/>
    <w:bookmarkEnd w:id="45"/>
    <w:p>
      <w:pPr>
        <w:jc w:val="center"/>
        <w:ind w:left="260" w:right="2800"/>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2. Summary of Significant Accounting Policies (continued)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940" w:type="dxa"/>
            <w:vAlign w:val="bottom"/>
          </w:tcPr>
          <w:p>
            <w:pPr>
              <w:spacing w:after="0"/>
              <w:rPr>
                <w:sz w:val="20"/>
                <w:szCs w:val="20"/>
                <w:color w:val="auto"/>
              </w:rPr>
            </w:pPr>
            <w:r>
              <w:rPr>
                <w:rFonts w:ascii="Arial" w:cs="Arial" w:eastAsia="Arial" w:hAnsi="Arial"/>
                <w:sz w:val="18"/>
                <w:szCs w:val="18"/>
                <w:b w:val="1"/>
                <w:bCs w:val="1"/>
                <w:color w:val="auto"/>
              </w:rPr>
              <w:t>Consolidated balance sheet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4"/>
                <w:szCs w:val="24"/>
                <w:color w:val="auto"/>
              </w:rPr>
            </w:pPr>
          </w:p>
        </w:tc>
        <w:tc>
          <w:tcPr>
            <w:tcW w:w="5460" w:type="dxa"/>
            <w:vAlign w:val="bottom"/>
            <w:gridSpan w:val="5"/>
          </w:tcPr>
          <w:p>
            <w:pPr>
              <w:jc w:val="right"/>
              <w:ind w:right="1070"/>
              <w:spacing w:after="0"/>
              <w:rPr>
                <w:sz w:val="20"/>
                <w:szCs w:val="20"/>
                <w:color w:val="auto"/>
              </w:rPr>
            </w:pPr>
            <w:r>
              <w:rPr>
                <w:rFonts w:ascii="Arial" w:cs="Arial" w:eastAsia="Arial" w:hAnsi="Arial"/>
                <w:sz w:val="18"/>
                <w:szCs w:val="18"/>
                <w:b w:val="1"/>
                <w:bCs w:val="1"/>
                <w:color w:val="auto"/>
              </w:rPr>
              <w:t>Impact of changes in accounting policies</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at June 30, 2018</w:t>
            </w: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40" w:type="dxa"/>
            <w:vAlign w:val="bottom"/>
            <w:vMerge w:val="continue"/>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As reported</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Adjustments</w:t>
            </w: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Balances without adoption</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right"/>
              <w:ind w:right="570"/>
              <w:spacing w:after="0"/>
              <w:rPr>
                <w:sz w:val="20"/>
                <w:szCs w:val="20"/>
                <w:color w:val="auto"/>
              </w:rPr>
            </w:pPr>
            <w:r>
              <w:rPr>
                <w:rFonts w:ascii="Arial" w:cs="Arial" w:eastAsia="Arial" w:hAnsi="Arial"/>
                <w:sz w:val="18"/>
                <w:szCs w:val="18"/>
                <w:b w:val="1"/>
                <w:bCs w:val="1"/>
                <w:color w:val="auto"/>
              </w:rPr>
              <w:t>of Topic 606</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10,026,047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10,026,047</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Cash received on behalf of customers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2,789,930</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2,789,930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6,077,673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6,077,673</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13,846,227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(4,238,754)</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9,607,473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2,246,332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2,246,332</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34,986,209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(4,238,754)</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30,747,455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8,859,439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8,859,439</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2,390,298</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2,390,298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17,511,162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17,511,162</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210,243</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210,243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1,449,702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1,449,702</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65,407,053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(4,238,754)</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61,168,299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Current liabilities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Current installments of long term debt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1,980,000</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323,620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323,620</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208,085</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208,085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current liabilities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8,777,229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(301,973)</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8,475,256</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Subrogation services obligations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2,798,771</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2,798,771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Overpayment services obligations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10,593</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14,098,298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(301,973)</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13,796,325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 excluding current installments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8,949,660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8,949,660</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Liability for employee benefits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164,752</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164,752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209,500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209,500</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2,273,990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(877,229)</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1,396,761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25,696,200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(1,179,202)</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24,516,998</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$0.001 par value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Series A Preference shares, $0.001 par value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40,110</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40,110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B1 Preference shares, $0.001 par value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Series B2 Preference shares, $0.001 par value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7,441</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C Preference shares, $0.001 par value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Series C1 Preference shares, $0.001 par value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Preference shares, $0.001 par value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Additional paid in capital</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32,235,020</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32,235,020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surplus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8,187,571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(3,059,552)</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5,128,019</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Pr>
          <w:p>
            <w:pPr>
              <w:jc w:val="right"/>
              <w:spacing w:after="0"/>
              <w:rPr>
                <w:sz w:val="20"/>
                <w:szCs w:val="20"/>
                <w:color w:val="auto"/>
              </w:rPr>
            </w:pPr>
            <w:r>
              <w:rPr>
                <w:rFonts w:ascii="Arial" w:cs="Arial" w:eastAsia="Arial" w:hAnsi="Arial"/>
                <w:sz w:val="18"/>
                <w:szCs w:val="18"/>
                <w:color w:val="auto"/>
              </w:rPr>
              <w:t>(793,737)</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(793,737)</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39,710,853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(3,059,552)</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36,651,301</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65,407,053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(4,238,754)</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61,168,299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5"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35" w:right="259" w:bottom="1440" w:gutter="0" w:footer="0" w:header="0"/>
          <w:type w:val="continuous"/>
        </w:sectPr>
      </w:pPr>
    </w:p>
    <w:bookmarkStart w:id="46" w:name="page47"/>
    <w:bookmarkEnd w:id="46"/>
    <w:p>
      <w:pPr>
        <w:jc w:val="center"/>
        <w:ind w:left="260" w:right="2800"/>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2. Summary of Significant Accounting Policies (continued)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gridSpan w:val="7"/>
          </w:tcPr>
          <w:p>
            <w:pPr>
              <w:jc w:val="right"/>
              <w:ind w:right="1130"/>
              <w:spacing w:after="0"/>
              <w:rPr>
                <w:sz w:val="20"/>
                <w:szCs w:val="20"/>
                <w:color w:val="auto"/>
              </w:rPr>
            </w:pPr>
            <w:r>
              <w:rPr>
                <w:rFonts w:ascii="Arial" w:cs="Arial" w:eastAsia="Arial" w:hAnsi="Arial"/>
                <w:sz w:val="18"/>
                <w:szCs w:val="18"/>
                <w:b w:val="1"/>
                <w:bCs w:val="1"/>
                <w:color w:val="auto"/>
              </w:rPr>
              <w:t>Impact of changes in accounting policies</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period ended June 30, 2018</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20" w:type="dxa"/>
            <w:vAlign w:val="bottom"/>
            <w:vMerge w:val="continue"/>
          </w:tcPr>
          <w:p>
            <w:pPr>
              <w:spacing w:after="0"/>
              <w:rPr>
                <w:sz w:val="18"/>
                <w:szCs w:val="18"/>
                <w:color w:val="auto"/>
              </w:rPr>
            </w:pPr>
          </w:p>
        </w:tc>
        <w:tc>
          <w:tcPr>
            <w:tcW w:w="1840" w:type="dxa"/>
            <w:vAlign w:val="bottom"/>
            <w:gridSpan w:val="5"/>
          </w:tcPr>
          <w:p>
            <w:pPr>
              <w:ind w:left="300"/>
              <w:spacing w:after="0"/>
              <w:rPr>
                <w:sz w:val="20"/>
                <w:szCs w:val="20"/>
                <w:color w:val="auto"/>
              </w:rPr>
            </w:pPr>
            <w:r>
              <w:rPr>
                <w:rFonts w:ascii="Arial" w:cs="Arial" w:eastAsia="Arial" w:hAnsi="Arial"/>
                <w:sz w:val="18"/>
                <w:szCs w:val="18"/>
                <w:b w:val="1"/>
                <w:bCs w:val="1"/>
                <w:color w:val="auto"/>
              </w:rPr>
              <w:t>As reported</w:t>
            </w: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Adjustments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Balances without adoption</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of Topic 606</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income</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41,060,075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(1,582,463)</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39,477,612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150,988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150,988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41,211,063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(1,582,463)</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39,628,600</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Salaries and employee benefits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26,362,981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26,362,981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6,927,357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6,927,357</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1,817,196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1,817,196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related costs</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1,628,697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1,628,697</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379,943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379,943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37,116,174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37,116,174</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Profit before income taxes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4,094,889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(1,582,463)</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2,512,426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1,438,229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(304,307)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1,133,922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2,656,660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(1,278,156)</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1,378,504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(312,556)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(312,556)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income/(loss)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(312,556)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(312,556)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Net comprehensive income/(loss)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2,344,104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(1,278,156)</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1,065,948</w:t>
            </w:r>
          </w:p>
        </w:tc>
        <w:tc>
          <w:tcPr>
            <w:tcW w:w="0" w:type="dxa"/>
            <w:vAlign w:val="bottom"/>
          </w:tcPr>
          <w:p>
            <w:pPr>
              <w:spacing w:after="0"/>
              <w:rPr>
                <w:sz w:val="1"/>
                <w:szCs w:val="1"/>
                <w:color w:val="auto"/>
              </w:rPr>
            </w:pPr>
          </w:p>
        </w:tc>
      </w:tr>
      <w:tr>
        <w:trPr>
          <w:trHeight w:val="459"/>
        </w:trPr>
        <w:tc>
          <w:tcPr>
            <w:tcW w:w="582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gridSpan w:val="7"/>
          </w:tcPr>
          <w:p>
            <w:pPr>
              <w:jc w:val="right"/>
              <w:ind w:right="970"/>
              <w:spacing w:after="0"/>
              <w:rPr>
                <w:sz w:val="20"/>
                <w:szCs w:val="20"/>
                <w:color w:val="auto"/>
              </w:rPr>
            </w:pPr>
            <w:r>
              <w:rPr>
                <w:rFonts w:ascii="Arial" w:cs="Arial" w:eastAsia="Arial" w:hAnsi="Arial"/>
                <w:sz w:val="18"/>
                <w:szCs w:val="18"/>
                <w:b w:val="1"/>
                <w:bCs w:val="1"/>
                <w:color w:val="auto"/>
              </w:rPr>
              <w:t>Impact of changes in accounting policies</w:t>
            </w:r>
          </w:p>
        </w:tc>
        <w:tc>
          <w:tcPr>
            <w:tcW w:w="0" w:type="dxa"/>
            <w:vAlign w:val="bottom"/>
          </w:tcPr>
          <w:p>
            <w:pPr>
              <w:spacing w:after="0"/>
              <w:rPr>
                <w:sz w:val="1"/>
                <w:szCs w:val="1"/>
                <w:color w:val="auto"/>
              </w:rPr>
            </w:pPr>
          </w:p>
        </w:tc>
      </w:tr>
      <w:tr>
        <w:trPr>
          <w:trHeight w:val="252"/>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For the six months period ended June 30, 2018</w:t>
            </w:r>
          </w:p>
        </w:tc>
        <w:tc>
          <w:tcPr>
            <w:tcW w:w="340" w:type="dxa"/>
            <w:vAlign w:val="bottom"/>
          </w:tcPr>
          <w:p>
            <w:pPr>
              <w:spacing w:after="0"/>
              <w:rPr>
                <w:sz w:val="21"/>
                <w:szCs w:val="21"/>
                <w:color w:val="auto"/>
              </w:rPr>
            </w:pPr>
          </w:p>
        </w:tc>
        <w:tc>
          <w:tcPr>
            <w:tcW w:w="1500" w:type="dxa"/>
            <w:vAlign w:val="bottom"/>
            <w:gridSpan w:val="4"/>
          </w:tcPr>
          <w:p>
            <w:pPr>
              <w:ind w:left="240"/>
              <w:spacing w:after="0"/>
              <w:rPr>
                <w:sz w:val="20"/>
                <w:szCs w:val="20"/>
                <w:color w:val="auto"/>
              </w:rPr>
            </w:pPr>
            <w:r>
              <w:rPr>
                <w:rFonts w:ascii="Arial" w:cs="Arial" w:eastAsia="Arial" w:hAnsi="Arial"/>
                <w:sz w:val="18"/>
                <w:szCs w:val="18"/>
                <w:b w:val="1"/>
                <w:bCs w:val="1"/>
                <w:color w:val="auto"/>
              </w:rPr>
              <w:t>As reported</w:t>
            </w: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Adjustments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Balances without adoption</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of Topic 606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2,656,660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(1,278,156)</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1,378,504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9"/>
              </w:rPr>
              <w:t>Adjustments to reconcile net income to net cash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1,315,091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1,315,091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502,105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502,105</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Deferred income tax expense</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1,150,565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(304,307)</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846,258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491,939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491,939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1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(2,007,313)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1,582,463</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(424,850)</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(494,618)</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(494,618)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receivable/(payable)</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3,067,088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3,067,088</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(90,528)</w:t>
            </w: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(90,528)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1,478,199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1,478,199</w:t>
            </w: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35" w:right="259" w:bottom="1440" w:gutter="0" w:footer="0" w:header="0"/>
          <w:type w:val="continuous"/>
        </w:sectPr>
      </w:pPr>
    </w:p>
    <w:bookmarkStart w:id="47" w:name="page48"/>
    <w:bookmarkEnd w:id="47"/>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i w:val="1"/>
                <w:iCs w:val="1"/>
                <w:color w:val="auto"/>
              </w:rPr>
              <w:t>2. Summary of Significant Accounting Policies (continued)</w:t>
            </w: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5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on behalf of customers</w:t>
            </w:r>
          </w:p>
        </w:tc>
        <w:tc>
          <w:tcPr>
            <w:tcW w:w="31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(488,067)</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(488,067)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Subrogation services obligations</w:t>
            </w:r>
          </w:p>
        </w:tc>
        <w:tc>
          <w:tcPr>
            <w:tcW w:w="3160" w:type="dxa"/>
            <w:vAlign w:val="bottom"/>
          </w:tcPr>
          <w:p>
            <w:pPr>
              <w:jc w:val="right"/>
              <w:ind w:right="610"/>
              <w:spacing w:after="0"/>
              <w:rPr>
                <w:sz w:val="20"/>
                <w:szCs w:val="20"/>
                <w:color w:val="auto"/>
              </w:rPr>
            </w:pPr>
            <w:r>
              <w:rPr>
                <w:rFonts w:ascii="Arial" w:cs="Arial" w:eastAsia="Arial" w:hAnsi="Arial"/>
                <w:sz w:val="18"/>
                <w:szCs w:val="18"/>
                <w:color w:val="auto"/>
              </w:rPr>
              <w:t>488,049</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488,049</w:t>
            </w:r>
          </w:p>
        </w:tc>
      </w:tr>
      <w:tr>
        <w:trPr>
          <w:trHeight w:val="27"/>
        </w:trPr>
        <w:tc>
          <w:tcPr>
            <w:tcW w:w="5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Overpayment services obligations</w:t>
            </w:r>
          </w:p>
        </w:tc>
        <w:tc>
          <w:tcPr>
            <w:tcW w:w="31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160" w:type="dxa"/>
            <w:vAlign w:val="bottom"/>
          </w:tcPr>
          <w:p>
            <w:pPr>
              <w:jc w:val="right"/>
              <w:ind w:right="610"/>
              <w:spacing w:after="0"/>
              <w:rPr>
                <w:sz w:val="20"/>
                <w:szCs w:val="20"/>
                <w:color w:val="auto"/>
              </w:rPr>
            </w:pPr>
            <w:r>
              <w:rPr>
                <w:rFonts w:ascii="Arial" w:cs="Arial" w:eastAsia="Arial" w:hAnsi="Arial"/>
                <w:sz w:val="18"/>
                <w:szCs w:val="18"/>
                <w:b w:val="1"/>
                <w:bCs w:val="1"/>
                <w:color w:val="auto"/>
              </w:rPr>
              <w:t>8,149,730</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8,149,730</w:t>
            </w:r>
          </w:p>
        </w:tc>
      </w:tr>
      <w:tr>
        <w:trPr>
          <w:trHeight w:val="27"/>
        </w:trPr>
        <w:tc>
          <w:tcPr>
            <w:tcW w:w="5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Acquisition of business, net of cash</w:t>
            </w:r>
          </w:p>
        </w:tc>
        <w:tc>
          <w:tcPr>
            <w:tcW w:w="3160" w:type="dxa"/>
            <w:vAlign w:val="bottom"/>
          </w:tcPr>
          <w:p>
            <w:pPr>
              <w:jc w:val="right"/>
              <w:ind w:right="550"/>
              <w:spacing w:after="0"/>
              <w:rPr>
                <w:sz w:val="20"/>
                <w:szCs w:val="20"/>
                <w:color w:val="auto"/>
              </w:rPr>
            </w:pPr>
            <w:r>
              <w:rPr>
                <w:rFonts w:ascii="Arial" w:cs="Arial" w:eastAsia="Arial" w:hAnsi="Arial"/>
                <w:sz w:val="18"/>
                <w:szCs w:val="18"/>
                <w:color w:val="auto"/>
              </w:rPr>
              <w:t>(417,076)</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(417,076)</w:t>
            </w:r>
          </w:p>
        </w:tc>
      </w:tr>
      <w:tr>
        <w:trPr>
          <w:trHeight w:val="27"/>
        </w:trPr>
        <w:tc>
          <w:tcPr>
            <w:tcW w:w="5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1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(2,636,112)</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(2,636,112)</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160" w:type="dxa"/>
            <w:vAlign w:val="bottom"/>
          </w:tcPr>
          <w:p>
            <w:pPr>
              <w:jc w:val="right"/>
              <w:ind w:right="550"/>
              <w:spacing w:after="0"/>
              <w:rPr>
                <w:sz w:val="20"/>
                <w:szCs w:val="20"/>
                <w:color w:val="auto"/>
              </w:rPr>
            </w:pPr>
            <w:r>
              <w:rPr>
                <w:rFonts w:ascii="Arial" w:cs="Arial" w:eastAsia="Arial" w:hAnsi="Arial"/>
                <w:sz w:val="18"/>
                <w:szCs w:val="18"/>
                <w:b w:val="1"/>
                <w:bCs w:val="1"/>
                <w:color w:val="auto"/>
              </w:rPr>
              <w:t>(3,053,188)</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(3,053,188)</w:t>
            </w:r>
          </w:p>
        </w:tc>
      </w:tr>
      <w:tr>
        <w:trPr>
          <w:trHeight w:val="27"/>
        </w:trPr>
        <w:tc>
          <w:tcPr>
            <w:tcW w:w="5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3160" w:type="dxa"/>
            <w:vAlign w:val="bottom"/>
          </w:tcPr>
          <w:p>
            <w:pPr>
              <w:jc w:val="right"/>
              <w:ind w:right="550"/>
              <w:spacing w:after="0"/>
              <w:rPr>
                <w:sz w:val="20"/>
                <w:szCs w:val="20"/>
                <w:color w:val="auto"/>
              </w:rPr>
            </w:pPr>
            <w:r>
              <w:rPr>
                <w:rFonts w:ascii="Arial" w:cs="Arial" w:eastAsia="Arial" w:hAnsi="Arial"/>
                <w:sz w:val="18"/>
                <w:szCs w:val="18"/>
                <w:color w:val="auto"/>
              </w:rPr>
              <w:t>(1,273,589)</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(1,273,589)</w:t>
            </w:r>
          </w:p>
        </w:tc>
      </w:tr>
      <w:tr>
        <w:trPr>
          <w:trHeight w:val="27"/>
        </w:trPr>
        <w:tc>
          <w:tcPr>
            <w:tcW w:w="5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options</w:t>
            </w:r>
          </w:p>
        </w:tc>
        <w:tc>
          <w:tcPr>
            <w:tcW w:w="31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111,544</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111,544</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160" w:type="dxa"/>
            <w:vAlign w:val="bottom"/>
          </w:tcPr>
          <w:p>
            <w:pPr>
              <w:jc w:val="right"/>
              <w:ind w:right="550"/>
              <w:spacing w:after="0"/>
              <w:rPr>
                <w:sz w:val="20"/>
                <w:szCs w:val="20"/>
                <w:color w:val="auto"/>
              </w:rPr>
            </w:pPr>
            <w:r>
              <w:rPr>
                <w:rFonts w:ascii="Arial" w:cs="Arial" w:eastAsia="Arial" w:hAnsi="Arial"/>
                <w:sz w:val="18"/>
                <w:szCs w:val="18"/>
                <w:b w:val="1"/>
                <w:bCs w:val="1"/>
                <w:color w:val="auto"/>
              </w:rPr>
              <w:t>(1,162,045)</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(1,162,045)</w:t>
            </w:r>
          </w:p>
        </w:tc>
      </w:tr>
      <w:tr>
        <w:trPr>
          <w:trHeight w:val="27"/>
        </w:trPr>
        <w:tc>
          <w:tcPr>
            <w:tcW w:w="5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1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2,660</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160" w:type="dxa"/>
            <w:vAlign w:val="bottom"/>
          </w:tcPr>
          <w:p>
            <w:pPr>
              <w:jc w:val="right"/>
              <w:ind w:right="610"/>
              <w:spacing w:after="0"/>
              <w:rPr>
                <w:sz w:val="20"/>
                <w:szCs w:val="20"/>
                <w:color w:val="auto"/>
              </w:rPr>
            </w:pPr>
            <w:r>
              <w:rPr>
                <w:rFonts w:ascii="Arial" w:cs="Arial" w:eastAsia="Arial" w:hAnsi="Arial"/>
                <w:sz w:val="18"/>
                <w:szCs w:val="18"/>
                <w:b w:val="1"/>
                <w:bCs w:val="1"/>
                <w:color w:val="auto"/>
              </w:rPr>
              <w:t>3,937,157</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3,937,157</w:t>
            </w:r>
          </w:p>
        </w:tc>
      </w:tr>
      <w:tr>
        <w:trPr>
          <w:trHeight w:val="27"/>
        </w:trPr>
        <w:tc>
          <w:tcPr>
            <w:tcW w:w="58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1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6,088,890</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6,088,890</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160" w:type="dxa"/>
            <w:vAlign w:val="bottom"/>
          </w:tcPr>
          <w:p>
            <w:pPr>
              <w:jc w:val="right"/>
              <w:ind w:right="610"/>
              <w:spacing w:after="0"/>
              <w:rPr>
                <w:sz w:val="20"/>
                <w:szCs w:val="20"/>
                <w:color w:val="auto"/>
              </w:rPr>
            </w:pPr>
            <w:r>
              <w:rPr>
                <w:rFonts w:ascii="Arial" w:cs="Arial" w:eastAsia="Arial" w:hAnsi="Arial"/>
                <w:sz w:val="18"/>
                <w:szCs w:val="18"/>
                <w:b w:val="1"/>
                <w:bCs w:val="1"/>
                <w:color w:val="auto"/>
              </w:rPr>
              <w:t>10,026,047</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10,026,047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Property and equipment are stated at cost less accumulated depreciation. Upon the sale or retirement of property and equipment, the accounts are relieved of the cost and the related accumulated depreciation, with any resulting gain or loss included in the statement of operations. Plant and equipment under finance leases are stated at the present value of minimum lease payments.</w:t>
      </w:r>
    </w:p>
    <w:p>
      <w:pPr>
        <w:spacing w:after="0" w:line="2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Depreciation on property and equipment is calculated on the straight-line method over the estimated useful lives of the assets. The estimated useful life of machinery and equipment ranges from 3 to 5 years, furniture and fixtures 5 years. Leasehold improvements are depreciated over the lease period or estimated useful lives which is shorter. Expenditures for major renewals and enhancements that extend the useful lives of property and equipment are capitalized. Expenditure for maintenance and repairs are charged to expense as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30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Once the technology feasibility is established as per ASC 985-20, the Group capitalizes costs associated with the acquisition or development of major software for internal and external use in the consolidated balance sheet and amortizes the assets over the expected life of the software, generally between one to seven years. The Group only capitalizes subsequent additions, modifications or upgrades to internal-use software to the extent that such changes allow the software to perform a task it previously did not perform. The Group expenses software maintenance and training costs as incurred. Capitalized software costs have been disclosed as part of property and equipment. The Group has capitalized internally-developed software costs of $2,149,539 for the six months period ended June 30, 2018 (year ended December 31, 2017: $3,775,827).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5" w:right="239" w:bottom="1440" w:gutter="0" w:footer="0" w:header="0"/>
        </w:sectPr>
      </w:pPr>
    </w:p>
    <w:bookmarkStart w:id="48" w:name="page49"/>
    <w:bookmarkEnd w:id="48"/>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Significant Accounting Policies (continued)</w:t>
      </w:r>
    </w:p>
    <w:p>
      <w:pPr>
        <w:spacing w:after="0" w:line="86"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Business combinations, goodwill and intangible assets</w:t>
      </w:r>
    </w:p>
    <w:p>
      <w:pPr>
        <w:spacing w:after="0" w:line="3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Group accounts for its business combinations by recognizing the identifiable tangible and intangible assets acquired and liabilities assumed, and any non-controlling interest in the acquired business, measured at their acquisition date fair values. All assets and liabilities of the acquired businesses, including goodwill, are assigned to reporting units. The contingent consideration arrangements are fair valued at the acquisition date and included on that basis in the purchase price consideration and transaction costs are expensed as incurred.</w:t>
      </w:r>
    </w:p>
    <w:p>
      <w:pPr>
        <w:spacing w:after="0" w:line="26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Goodwill represents future economic benefits arising from other assets acquired in a business combination that are not individually identified and separately recognized. Indefinite-lived intangible assets are not amortized because there is no foreseeable limit to cash flows generated from them. All assets and liabilities of an acquired business including goodwill are assigned to reporting units.</w:t>
      </w:r>
    </w:p>
    <w:p>
      <w:pPr>
        <w:spacing w:after="0" w:line="276"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7"/>
          <w:szCs w:val="17"/>
          <w:color w:val="auto"/>
        </w:rPr>
        <w:t>Goodwill is not amortized but is tested for impairment at least on an annual basis on December 31, based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goodwill impairment test is performed to measure the amount of impairment loss, if any. The second step of the process involves a comparison of the implied fair value and carrying value of the goodwill of that reporting unit. If the carrying value of the goodwill exceeds the implied fair value of the goodwill, an impairment loss is recognized in an amount equal to the excess. Goodwill of a reporting unit is tested for impairment annually or more frequently if an event occurs or circumstances change that would more likely than not reduce the fair value of the reporting unit below its carrying amount</w:t>
      </w:r>
      <w:r>
        <w:rPr>
          <w:rFonts w:ascii="Arial" w:cs="Arial" w:eastAsia="Arial" w:hAnsi="Arial"/>
          <w:sz w:val="18"/>
          <w:szCs w:val="18"/>
          <w:color w:val="auto"/>
        </w:rPr>
        <w:t>.</w:t>
      </w:r>
      <w:r>
        <w:rPr>
          <w:rFonts w:ascii="Arial" w:cs="Arial" w:eastAsia="Arial" w:hAnsi="Arial"/>
          <w:sz w:val="17"/>
          <w:szCs w:val="17"/>
          <w:color w:val="auto"/>
        </w:rPr>
        <w:t xml:space="preserve"> The Group performed its annual impairment review of all its reporting units as at December 31, 2017; based on this assessment, the Group had recorded goodwill impairment loss of $4,578,675 as at December 31, 2017 relating its reporting unit - SCIO Health Analytics (UK) Limited.</w:t>
      </w:r>
    </w:p>
    <w:p>
      <w:pPr>
        <w:spacing w:after="0" w:line="25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Intangible assets acquired individually, with a group of other assets or in a business combination are carried at cost less accumulated amortization and impairment. The Group’s intangible assets include customer contracts and non-compete and are amortized on a straight line basis over their estimated useful life of 4 to 10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finite life intangibles</w:t>
      </w:r>
    </w:p>
    <w:p>
      <w:pPr>
        <w:spacing w:after="0" w:line="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Group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 party independent appraisals, as considered necessary.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5" w:right="239" w:bottom="1440" w:gutter="0" w:footer="0" w:header="0"/>
        </w:sectPr>
      </w:pPr>
    </w:p>
    <w:bookmarkStart w:id="49" w:name="page50"/>
    <w:bookmarkEnd w:id="49"/>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Significant Accounting Policies (continued)</w:t>
      </w:r>
    </w:p>
    <w:p>
      <w:pPr>
        <w:spacing w:after="0" w:line="86"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Commitments and contingencies</w:t>
      </w:r>
    </w:p>
    <w:p>
      <w:pPr>
        <w:spacing w:after="0" w:line="310"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Liabilities for loss contingencies arising from claims, assessments, litigations, fines and penalties and other sources are recorded when it is probable that a liability has been incurred and the amount can be reasonably estimated. Legal costs incurred in connection with loss contingencies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Income taxes are accounted under the asset and liability method. The current charge for income tax expense is calculated in accordance with the relevant tax regulations applicable to each entity.</w:t>
      </w:r>
    </w:p>
    <w:p>
      <w:pPr>
        <w:spacing w:after="0" w:line="25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Group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Group recognizes interest related to unrecognized tax benefits in interest expense. The Group accounts for residual income tax effects in Accumulated other comprehensive income due to a change in tax law or a change in judgment about realization of a valuation allowance, if any, using the portfolio method and only releases residual amounts when the entire portfolio is liquidated.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310"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8"/>
          <w:szCs w:val="18"/>
          <w:color w:val="auto"/>
        </w:rPr>
        <w:t>The Group recognizes all stock-based compensation as a cost in the unaudited consolidated financial statements. Equity</w:t>
      </w:r>
      <w:r>
        <w:rPr>
          <w:rFonts w:ascii="MS PGothic" w:cs="MS PGothic" w:eastAsia="MS PGothic" w:hAnsi="MS PGothic"/>
          <w:sz w:val="18"/>
          <w:szCs w:val="18"/>
          <w:color w:val="auto"/>
        </w:rPr>
        <w:t>‑</w:t>
      </w:r>
      <w:r>
        <w:rPr>
          <w:rFonts w:ascii="Arial" w:cs="Arial" w:eastAsia="Arial" w:hAnsi="Arial"/>
          <w:sz w:val="18"/>
          <w:szCs w:val="18"/>
          <w:color w:val="auto"/>
        </w:rPr>
        <w:t>classified awards are measured at the grant date fair value of the award. The Group has recorded compensation expense based on estimated grant date fair value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and estimates the number of forfeitures expected to occur.</w:t>
      </w:r>
    </w:p>
    <w:p>
      <w:pPr>
        <w:spacing w:after="0" w:line="2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Excess tax benefits of awards that are recognized in equity related to stock option exercises are reflected as financing cash inflows. Stock based compensation benefits have been issued by the SCIOinspire Holdings Inc., the holding company since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Group leases its office space pursuant to long-term, non-cancellable lease agreements, which have been accounted for as operating leases.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Accordingly, rent expense incurred in excess of rent paid is reflected as deferred rent.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5" w:right="239" w:bottom="1440" w:gutter="0" w:footer="0" w:header="0"/>
        </w:sectPr>
      </w:pPr>
    </w:p>
    <w:bookmarkStart w:id="50" w:name="page51"/>
    <w:bookmarkEnd w:id="50"/>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Summary of Significant Accounting Policies (continued)</w:t>
      </w:r>
    </w:p>
    <w:p>
      <w:pPr>
        <w:spacing w:after="0" w:line="86"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Retirement benefits to employees</w:t>
      </w:r>
    </w:p>
    <w:p>
      <w:pPr>
        <w:spacing w:after="0" w:line="337"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Defined contribution plan</w:t>
      </w:r>
    </w:p>
    <w:p>
      <w:pPr>
        <w:spacing w:after="0" w:line="32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Group does not have any pension or post retirement plans for any of its employees in US other than the 401(k) Plan administered by Trans America Financial Life Insurance Company. The net periodic costs are recognized as employees render the services necessary to earn the postretirement benefits.</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India, the employees receive benefits from a provident fund, where the employer and employees each make monthly contributions to the plan at a pre-determined rate to the Regional Provident Fund Commissioner. Employer’s contribution to the fund is charged as an expense to the statement of operations.</w:t>
      </w:r>
    </w:p>
    <w:p>
      <w:pPr>
        <w:spacing w:after="0" w:line="289"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Defined benefit plan</w:t>
      </w:r>
    </w:p>
    <w:p>
      <w:pPr>
        <w:spacing w:after="0" w:line="2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accordance with the Payment of Gratuity Act, 1972, applicable for Indian companies, the Group provides for a lump sum payment to eligible employees, at retirement or termination of employment based on the last drawn salary and years of employment with the Group. The gratuity fund is managed by third party fund managers. Current service costs for defined benefit plans are accrued in the period to which they relate. The liability in respect of defined benefit plans is calculated annually by the Group. The Group records annual amounts relating to its defined benefit plans based on calculations that incorporate various actuarial and other assumptions, including discount rates, mortality, assumed rates of return, compensation increases and turnover rates. The Group reviews its assumptions on an annual basis and makes modifications to the assumptions based on current rates and trends when it is appropriate to do so.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00" w:lineRule="exact"/>
        <w:rPr>
          <w:sz w:val="20"/>
          <w:szCs w:val="20"/>
          <w:color w:val="auto"/>
        </w:rPr>
      </w:pPr>
    </w:p>
    <w:p>
      <w:pPr>
        <w:spacing w:after="0" w:line="3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Group uses valuation approaches that maximize the use of observable inputs and minimize the use of unobservable inputs to the extent possible. The Group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in accordance with ASU 2011-04 (see note 4 to the unaudited consolidated financial statements):</w:t>
      </w:r>
    </w:p>
    <w:p>
      <w:pPr>
        <w:spacing w:after="0" w:line="188"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1 Inputs: Unadjusted quoted prices in active markets for identical assets or liabilities accessible to the reporting entity at the measurement date.</w:t>
      </w:r>
    </w:p>
    <w:p>
      <w:pPr>
        <w:spacing w:after="0" w:line="248" w:lineRule="exact"/>
        <w:rPr>
          <w:rFonts w:ascii="Arial" w:cs="Arial" w:eastAsia="Arial" w:hAnsi="Arial"/>
          <w:sz w:val="16"/>
          <w:szCs w:val="16"/>
          <w:color w:val="auto"/>
        </w:rPr>
      </w:pPr>
    </w:p>
    <w:p>
      <w:pPr>
        <w:ind w:left="420" w:right="20" w:hanging="412"/>
        <w:spacing w:after="0" w:line="277"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70"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5" w:right="239" w:bottom="1440" w:gutter="0" w:footer="0" w:header="0"/>
        </w:sectPr>
      </w:pPr>
    </w:p>
    <w:bookmarkStart w:id="51" w:name="page52"/>
    <w:bookmarkEnd w:id="51"/>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Summary of Significant Accounting Policies (continued)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310"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In May 2014, Financial Accounting Standards Board (“FASB”) issued ASU No. 2014-09 (Topic 606) "Revenue from Contracts with Customers" Topic 606 supersedes the revenue recognition requirements in Topic 605 “Revenue Recognition” (Topic 605), and requires entities to recognize revenue when control of the promised goods or services is transferred to customers at an amount that reflects the consideration to which the entity expects to be entitled to in exchange for those goods or services. The Group adopted Topic 606 as of January 1, 2018 using the cumulative transition method. Refer to Note 17 to the unaudited consolidated financial statements for details.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1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February 2016, the FASB issued ASU 2016-02, Leases (Topic 842), which requires lessees to recognize leases on-balance sheet and disclose key information about leasing arrangements. The new standard establishes a right of 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new standard is effective for the Group for annual and interim periods in fiscal years beginning after December 15, 2019, with early adoption permitted.</w:t>
      </w:r>
    </w:p>
    <w:p>
      <w:pPr>
        <w:spacing w:after="0" w:line="2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(Topic 350), which eliminates Step 2 from the goodwill impairment test. A goodwill impairment will now be the amount by which a reporting unit's carrying value exceeds its fair value, however, the loss recognized should not exceed the total amount of goodwill allocated to that reporting unit. ASU 2017-04 is effective for annual and interim periods in fiscal years beginning after December 15, 2019. Early adoption is permitted for interim or annual goodwill impairment tests performed after January 1, 2017 and should be applied prospectively.</w:t>
      </w:r>
    </w:p>
    <w:p>
      <w:pPr>
        <w:spacing w:after="0" w:line="26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June 2016, FASB issued ASU No. 2016-13, Financial Instruments - Credit Losses, which requires a financial asset (or a group of financial assets) measured at amortized cost basis to be presented at the net amount expected to be collected.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Group is currently evaluating the effects that the above standards will have on its consolidated financial statements and related disclosures.</w:t>
      </w:r>
    </w:p>
    <w:p>
      <w:pPr>
        <w:spacing w:after="0" w:line="26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risks and uncertainties including business and credit concentrations</w:t>
      </w:r>
    </w:p>
    <w:p>
      <w:pPr>
        <w:spacing w:after="0" w:line="3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Financial instruments that potentially subject the Group to a concentrate on of credit risk consist of bank balances, accounts receivable and unbilled revenue. By their nature, all such financial instruments involve risk including credit risk of non-performance by counter parties. In the management’s opinion, as at June 30, 2018, there was no significant risk of loss in the event of non-performance by the counter parties to these financial instruments other than the amounts already provided for in the consolidated financial statements.</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Accounts receivable are uncollateralized customer obligations due under normal trade terms. The carrying amount of receivables is reduced by a valuation allowance that reflects management’s best estimate of the amounts that will not be collected.</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six months period ended June 30, 2018 and June 30, 2017 one of the customers individually provided 34% and 39% of total revenue respectively. As at June 30, 2018 and as at December 31, 2017 one of the customers constituted around 32% and 38% of total accounts receivable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5" w:right="239" w:bottom="1440" w:gutter="0" w:footer="0" w:header="0"/>
        </w:sectPr>
      </w:pPr>
    </w:p>
    <w:bookmarkStart w:id="52" w:name="page53"/>
    <w:bookmarkEnd w:id="52"/>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the carrying amounts and estimated fair value of the Group’s financial instruments at June 30, 2018 and December 31, 2017. Fair value is defined as the amount that would be received to sell an asset or paid to transfer a liability in an orderly transaction between market participants at the measurement date.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980" w:type="dxa"/>
            <w:vAlign w:val="bottom"/>
            <w:gridSpan w:val="3"/>
          </w:tcPr>
          <w:p>
            <w:pPr>
              <w:ind w:left="700"/>
              <w:spacing w:after="0"/>
              <w:rPr>
                <w:sz w:val="20"/>
                <w:szCs w:val="20"/>
                <w:color w:val="auto"/>
              </w:rPr>
            </w:pPr>
            <w:r>
              <w:rPr>
                <w:rFonts w:ascii="Arial" w:cs="Arial" w:eastAsia="Arial" w:hAnsi="Arial"/>
                <w:sz w:val="18"/>
                <w:szCs w:val="18"/>
                <w:b w:val="1"/>
                <w:bCs w:val="1"/>
                <w:color w:val="auto"/>
              </w:rPr>
              <w:t>As at June 30, 2018</w:t>
            </w:r>
          </w:p>
        </w:tc>
        <w:tc>
          <w:tcPr>
            <w:tcW w:w="28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As at December 31, 2017</w:t>
            </w:r>
          </w:p>
        </w:tc>
      </w:tr>
      <w:tr>
        <w:trPr>
          <w:trHeight w:val="27"/>
        </w:trPr>
        <w:tc>
          <w:tcPr>
            <w:tcW w:w="56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60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Fair value</w:t>
            </w: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34"/>
        </w:trPr>
        <w:tc>
          <w:tcPr>
            <w:tcW w:w="5600" w:type="dxa"/>
            <w:vAlign w:val="bottom"/>
          </w:tcPr>
          <w:p>
            <w:pPr>
              <w:spacing w:after="0"/>
              <w:rPr>
                <w:sz w:val="20"/>
                <w:szCs w:val="20"/>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spacing w:after="0"/>
              <w:rPr>
                <w:sz w:val="20"/>
                <w:szCs w:val="20"/>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10,026,047</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10,026,047</w:t>
            </w:r>
          </w:p>
        </w:tc>
        <w:tc>
          <w:tcPr>
            <w:tcW w:w="1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6,088,890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6,088,890</w:t>
            </w:r>
          </w:p>
        </w:tc>
      </w:tr>
      <w:tr>
        <w:trPr>
          <w:trHeight w:val="27"/>
        </w:trPr>
        <w:tc>
          <w:tcPr>
            <w:tcW w:w="5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on behalf of customers</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2,789,930</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2,789,930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2,301,863</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2,301,863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6,077,673</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6,077,673</w:t>
            </w:r>
          </w:p>
        </w:tc>
        <w:tc>
          <w:tcPr>
            <w:tcW w:w="1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6,667,643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6,667,643</w:t>
            </w:r>
          </w:p>
        </w:tc>
      </w:tr>
      <w:tr>
        <w:trPr>
          <w:trHeight w:val="27"/>
        </w:trPr>
        <w:tc>
          <w:tcPr>
            <w:tcW w:w="5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13,846,227</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13,846,227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9,182,623</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9,182,623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393,825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393,825</w:t>
            </w:r>
          </w:p>
        </w:tc>
        <w:tc>
          <w:tcPr>
            <w:tcW w:w="1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411,517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411,517</w:t>
            </w:r>
          </w:p>
        </w:tc>
      </w:tr>
      <w:tr>
        <w:trPr>
          <w:trHeight w:val="27"/>
        </w:trPr>
        <w:tc>
          <w:tcPr>
            <w:tcW w:w="5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5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10,929,660</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10,929,660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12,203,249</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12,203,249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323,620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323,620</w:t>
            </w:r>
          </w:p>
        </w:tc>
        <w:tc>
          <w:tcPr>
            <w:tcW w:w="1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416,252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416,252</w:t>
            </w:r>
          </w:p>
        </w:tc>
      </w:tr>
      <w:tr>
        <w:trPr>
          <w:trHeight w:val="27"/>
        </w:trPr>
        <w:tc>
          <w:tcPr>
            <w:tcW w:w="5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current liabilities</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8,777,229</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8,777,229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7,081,095</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7,081,095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Subrogation services obligations</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2,798,771</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2,798,771</w:t>
            </w:r>
          </w:p>
        </w:tc>
        <w:tc>
          <w:tcPr>
            <w:tcW w:w="1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2,310,721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2,310,721</w:t>
            </w:r>
          </w:p>
        </w:tc>
      </w:tr>
      <w:tr>
        <w:trPr>
          <w:trHeight w:val="27"/>
        </w:trPr>
        <w:tc>
          <w:tcPr>
            <w:tcW w:w="5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Overpayment services obligations</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10,593</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10,593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10,593</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10,593</w:t>
            </w:r>
          </w:p>
        </w:tc>
      </w:tr>
      <w:tr>
        <w:trPr>
          <w:trHeight w:val="27"/>
        </w:trPr>
        <w:tc>
          <w:tcPr>
            <w:tcW w:w="56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values of the financial instruments shown in the above table as at June 30, 2018 and December 31, 2017 represent the amounts that would be received to sell those assets or that would be paid to transfer those liabilities in an orderly transaction between market participants at that date. Those fair value measurements maximize the use of observable inputs. However, in situations where there is little, if any, market activity for the asset or liability at the measurement date, the fair value measurement reflects the Group’s own judgments about the assumptions that market participants would use in pricing the asset or liability.</w:t>
      </w:r>
    </w:p>
    <w:p>
      <w:pPr>
        <w:spacing w:after="0" w:line="26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Those judgments are developed by the Group based on the best information available in the circumstances, including expected cash flows and appropriately risk adjusted discount rates, available observable and unobservable inputs.</w:t>
      </w: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w:t>
      </w:r>
    </w:p>
    <w:p>
      <w:pPr>
        <w:spacing w:after="0" w:line="360" w:lineRule="exact"/>
        <w:rPr>
          <w:sz w:val="20"/>
          <w:szCs w:val="20"/>
          <w:color w:val="auto"/>
        </w:rPr>
      </w:pPr>
    </w:p>
    <w:p>
      <w:pPr>
        <w:jc w:val="both"/>
        <w:ind w:firstLine="332"/>
        <w:spacing w:after="0" w:line="336" w:lineRule="auto"/>
        <w:tabs>
          <w:tab w:leader="none" w:pos="779" w:val="left"/>
        </w:tabs>
        <w:numPr>
          <w:ilvl w:val="0"/>
          <w:numId w:val="53"/>
        </w:numPr>
        <w:rPr>
          <w:rFonts w:ascii="Arial" w:cs="Arial" w:eastAsia="Arial" w:hAnsi="Arial"/>
          <w:sz w:val="17"/>
          <w:szCs w:val="17"/>
          <w:color w:val="auto"/>
        </w:rPr>
      </w:pPr>
      <w:r>
        <w:rPr>
          <w:rFonts w:ascii="Arial" w:cs="Arial" w:eastAsia="Arial" w:hAnsi="Arial"/>
          <w:sz w:val="17"/>
          <w:szCs w:val="17"/>
          <w:color w:val="auto"/>
        </w:rPr>
        <w:t>Cash and cash equivalents, cash received on behalf of customers, trade accounts receivable, unbilled revenue, other assets, long-term debt, trade accounts payable, accrued and other current liabilities, subrogation services obligations, overpayment services obligations and other liabilities: The carrying amounts, at face value or cost plus accrued interest, approximate fair value because of the short maturity of these instruments.</w:t>
      </w:r>
    </w:p>
    <w:p>
      <w:pPr>
        <w:spacing w:after="0" w:line="164" w:lineRule="exact"/>
        <w:rPr>
          <w:rFonts w:ascii="Arial" w:cs="Arial" w:eastAsia="Arial" w:hAnsi="Arial"/>
          <w:sz w:val="17"/>
          <w:szCs w:val="17"/>
          <w:color w:val="auto"/>
        </w:rPr>
      </w:pPr>
    </w:p>
    <w:p>
      <w:pPr>
        <w:ind w:left="180" w:right="20" w:firstLine="152"/>
        <w:spacing w:after="0" w:line="324" w:lineRule="auto"/>
        <w:tabs>
          <w:tab w:leader="none" w:pos="7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Non-financial assets and liabilities not included above: The fair value of goodwill is determined by estimating the expected present value of future cash flows without reference to observable market transactions.</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5" w:right="239" w:bottom="1440" w:gutter="0" w:footer="0" w:header="0"/>
          <w:type w:val="continuous"/>
        </w:sectPr>
      </w:pPr>
    </w:p>
    <w:bookmarkStart w:id="53" w:name="page54"/>
    <w:bookmarkEnd w:id="53"/>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1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Accrued and other current liabilities include accrued earn-out consideration payable to selling shareholders. The following table provides a roll-forward of the fair value of earn-out consideration categorized as level 3 in the fair value hierarchy for the six months period ended June 30, 2018 and for the year ended December 31, 2017:</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Earn-out consideration payable in connection with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made during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Closing balance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Six months period ended</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2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June 30, 2018</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jc w:val="right"/>
              <w:ind w:right="10"/>
              <w:spacing w:after="0"/>
              <w:rPr>
                <w:sz w:val="20"/>
                <w:szCs w:val="20"/>
                <w:color w:val="auto"/>
              </w:rPr>
            </w:pPr>
            <w:r>
              <w:rPr>
                <w:rFonts w:ascii="Arial" w:cs="Arial" w:eastAsia="Arial" w:hAnsi="Arial"/>
                <w:sz w:val="18"/>
                <w:szCs w:val="18"/>
                <w:color w:val="auto"/>
              </w:rPr>
              <w:t>523,782</w:t>
            </w:r>
          </w:p>
        </w:tc>
        <w:tc>
          <w:tcPr>
            <w:tcW w:w="100" w:type="dxa"/>
            <w:vAlign w:val="bottom"/>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1,471,631</w:t>
            </w:r>
          </w:p>
        </w:tc>
      </w:tr>
      <w:tr>
        <w:trPr>
          <w:trHeight w:val="270"/>
        </w:trPr>
        <w:tc>
          <w:tcPr>
            <w:tcW w:w="2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337,573</w:t>
            </w:r>
          </w:p>
        </w:tc>
      </w:tr>
      <w:tr>
        <w:trPr>
          <w:trHeight w:val="270"/>
        </w:trPr>
        <w:tc>
          <w:tcPr>
            <w:tcW w:w="2180" w:type="dxa"/>
            <w:vAlign w:val="bottom"/>
          </w:tcPr>
          <w:p>
            <w:pPr>
              <w:jc w:val="right"/>
              <w:spacing w:after="0"/>
              <w:rPr>
                <w:sz w:val="20"/>
                <w:szCs w:val="20"/>
                <w:color w:val="auto"/>
              </w:rPr>
            </w:pPr>
            <w:r>
              <w:rPr>
                <w:rFonts w:ascii="Arial" w:cs="Arial" w:eastAsia="Arial" w:hAnsi="Arial"/>
                <w:sz w:val="18"/>
                <w:szCs w:val="18"/>
                <w:color w:val="auto"/>
              </w:rPr>
              <w:t>(417,076)</w:t>
            </w:r>
          </w:p>
        </w:tc>
        <w:tc>
          <w:tcPr>
            <w:tcW w:w="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(1,263,594)</w:t>
            </w:r>
          </w:p>
        </w:tc>
      </w:tr>
      <w:tr>
        <w:trPr>
          <w:trHeight w:val="270"/>
        </w:trPr>
        <w:tc>
          <w:tcPr>
            <w:tcW w:w="2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(21,828)</w:t>
            </w: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jc w:val="right"/>
              <w:ind w:right="10"/>
              <w:spacing w:after="0"/>
              <w:rPr>
                <w:sz w:val="20"/>
                <w:szCs w:val="20"/>
                <w:color w:val="auto"/>
              </w:rPr>
            </w:pPr>
            <w:r>
              <w:rPr>
                <w:rFonts w:ascii="Arial" w:cs="Arial" w:eastAsia="Arial" w:hAnsi="Arial"/>
                <w:sz w:val="18"/>
                <w:szCs w:val="18"/>
                <w:b w:val="1"/>
                <w:bCs w:val="1"/>
                <w:color w:val="auto"/>
              </w:rPr>
              <w:t>106,706</w:t>
            </w:r>
          </w:p>
        </w:tc>
        <w:tc>
          <w:tcPr>
            <w:tcW w:w="100" w:type="dxa"/>
            <w:vAlign w:val="bottom"/>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rPr>
              <w:t>523,782</w:t>
            </w:r>
          </w:p>
        </w:tc>
      </w:tr>
    </w:tbl>
    <w:p>
      <w:pPr>
        <w:spacing w:after="0" w:line="53" w:lineRule="exact"/>
        <w:rPr>
          <w:sz w:val="20"/>
          <w:szCs w:val="20"/>
          <w:color w:val="auto"/>
        </w:rPr>
      </w:pPr>
    </w:p>
    <w:p>
      <w:pPr>
        <w:sectPr>
          <w:pgSz w:w="11900" w:h="16838" w:orient="portrait"/>
          <w:cols w:equalWidth="0" w:num="2">
            <w:col w:w="6480" w:space="720"/>
            <w:col w:w="4220"/>
          </w:cols>
          <w:pgMar w:left="240" w:top="135" w:right="239" w:bottom="1440" w:gutter="0" w:footer="0" w:header="0"/>
          <w:type w:val="continuous"/>
        </w:sectPr>
      </w:pPr>
    </w:p>
    <w:p>
      <w:pPr>
        <w:ind w:firstLine="405"/>
        <w:spacing w:after="0" w:line="277" w:lineRule="auto"/>
        <w:rPr>
          <w:sz w:val="20"/>
          <w:szCs w:val="20"/>
          <w:color w:val="auto"/>
        </w:rPr>
      </w:pPr>
      <w:r>
        <w:rPr>
          <w:rFonts w:ascii="Arial" w:cs="Arial" w:eastAsia="Arial" w:hAnsi="Arial"/>
          <w:sz w:val="18"/>
          <w:szCs w:val="18"/>
          <w:color w:val="auto"/>
        </w:rPr>
        <w:t>*Includes interest expense and impact of changes in foreign exchange. These are included in interest expense and other expenses respectively, in the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-302260</wp:posOffset>
            </wp:positionV>
            <wp:extent cx="2675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As at</w:t>
            </w: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960" w:type="dxa"/>
            <w:vAlign w:val="bottom"/>
          </w:tcPr>
          <w:p>
            <w:pPr>
              <w:spacing w:after="0"/>
              <w:rPr>
                <w:sz w:val="20"/>
                <w:szCs w:val="20"/>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 2018</w:t>
            </w: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696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64"/>
        </w:trPr>
        <w:tc>
          <w:tcPr>
            <w:tcW w:w="69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on hand</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Bank balances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10,025,356</w:t>
            </w:r>
          </w:p>
        </w:tc>
        <w:tc>
          <w:tcPr>
            <w:tcW w:w="1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6,087,734</w:t>
            </w:r>
          </w:p>
        </w:tc>
      </w:tr>
      <w:tr>
        <w:trPr>
          <w:trHeight w:val="27"/>
        </w:trPr>
        <w:tc>
          <w:tcPr>
            <w:tcW w:w="69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10,026,047</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6,088,890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w:t>
      </w:r>
    </w:p>
    <w:p>
      <w:pPr>
        <w:spacing w:after="0" w:line="310"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Trade accounts receivable as at June 30, 2018 amounted to $6,077,673, net of allowance for doubtful accounts. The Group maintains an allowance for doubtful accounts based on financial condition of the customer and aging of the account receivable. Accounts receivables are not collateralized.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age profile of accounts receivable is given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Period in days</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As at</w:t>
            </w: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As at</w:t>
            </w:r>
          </w:p>
        </w:tc>
      </w:tr>
      <w:tr>
        <w:trPr>
          <w:trHeight w:val="234"/>
        </w:trPr>
        <w:tc>
          <w:tcPr>
            <w:tcW w:w="6960" w:type="dxa"/>
            <w:vAlign w:val="bottom"/>
          </w:tcPr>
          <w:p>
            <w:pPr>
              <w:spacing w:after="0"/>
              <w:rPr>
                <w:sz w:val="20"/>
                <w:szCs w:val="20"/>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 2018</w:t>
            </w: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69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 – 30</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5,724,327</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5,885,080</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31 – 60</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253,846</w:t>
            </w:r>
          </w:p>
        </w:tc>
        <w:tc>
          <w:tcPr>
            <w:tcW w:w="1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487,431</w:t>
            </w:r>
          </w:p>
        </w:tc>
      </w:tr>
      <w:tr>
        <w:trPr>
          <w:trHeight w:val="27"/>
        </w:trPr>
        <w:tc>
          <w:tcPr>
            <w:tcW w:w="6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 – 90</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71,516</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120,110</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More than 90</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123,770</w:t>
            </w:r>
          </w:p>
        </w:tc>
        <w:tc>
          <w:tcPr>
            <w:tcW w:w="1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375,022</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40" w:type="dxa"/>
            <w:vAlign w:val="bottom"/>
            <w:tcBorders>
              <w:top w:val="single" w:sz="8" w:color="CCEEFF"/>
              <w:bottom w:val="single" w:sz="8" w:color="CCEEFF"/>
            </w:tcBorders>
            <w:shd w:val="clear" w:color="auto" w:fill="CCEEFF"/>
          </w:tcPr>
          <w:p>
            <w:pPr>
              <w:spacing w:after="0"/>
              <w:rPr>
                <w:sz w:val="22"/>
                <w:szCs w:val="22"/>
                <w:color w:val="auto"/>
              </w:rPr>
            </w:pPr>
          </w:p>
        </w:tc>
        <w:tc>
          <w:tcPr>
            <w:tcW w:w="2720" w:type="dxa"/>
            <w:vAlign w:val="bottom"/>
            <w:tcBorders>
              <w:top w:val="single" w:sz="8" w:color="CCEEFF"/>
              <w:bottom w:val="single" w:sz="8" w:color="CCEEFF"/>
            </w:tcBorders>
            <w:shd w:val="clear" w:color="auto" w:fill="CCEEFF"/>
          </w:tcPr>
          <w:p>
            <w:pPr>
              <w:spacing w:after="0"/>
              <w:rPr>
                <w:sz w:val="22"/>
                <w:szCs w:val="22"/>
                <w:color w:val="auto"/>
              </w:rPr>
            </w:pPr>
          </w:p>
        </w:tc>
        <w:tc>
          <w:tcPr>
            <w:tcW w:w="2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6,173,459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6,867,643</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Less : Allowance for doubtful accounts</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(95,786)</w:t>
            </w:r>
          </w:p>
        </w:tc>
        <w:tc>
          <w:tcPr>
            <w:tcW w:w="1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7"/>
        </w:trPr>
        <w:tc>
          <w:tcPr>
            <w:tcW w:w="42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6,077,673</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6,667,643</w:t>
            </w:r>
          </w:p>
        </w:tc>
      </w:tr>
      <w:tr>
        <w:trPr>
          <w:trHeight w:val="453"/>
        </w:trPr>
        <w:tc>
          <w:tcPr>
            <w:tcW w:w="4240" w:type="dxa"/>
            <w:vAlign w:val="bottom"/>
          </w:tcPr>
          <w:p>
            <w:pPr>
              <w:spacing w:after="0"/>
              <w:rPr>
                <w:sz w:val="24"/>
                <w:szCs w:val="24"/>
                <w:color w:val="auto"/>
              </w:rPr>
            </w:pPr>
          </w:p>
        </w:tc>
        <w:tc>
          <w:tcPr>
            <w:tcW w:w="2720" w:type="dxa"/>
            <w:vAlign w:val="bottom"/>
          </w:tcPr>
          <w:p>
            <w:pPr>
              <w:jc w:val="right"/>
              <w:ind w:right="1070"/>
              <w:spacing w:after="0"/>
              <w:rPr>
                <w:sz w:val="20"/>
                <w:szCs w:val="20"/>
                <w:color w:val="auto"/>
              </w:rPr>
            </w:pPr>
            <w:r>
              <w:rPr>
                <w:rFonts w:ascii="Arial" w:cs="Arial" w:eastAsia="Arial" w:hAnsi="Arial"/>
                <w:sz w:val="18"/>
                <w:szCs w:val="18"/>
                <w:color w:val="auto"/>
              </w:rPr>
              <w:t>18</w:t>
            </w:r>
          </w:p>
        </w:tc>
        <w:tc>
          <w:tcPr>
            <w:tcW w:w="2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35" w:right="239" w:bottom="1440" w:gutter="0" w:footer="0" w:header="0"/>
          <w:type w:val="continuous"/>
        </w:sectPr>
      </w:pPr>
    </w:p>
    <w:bookmarkStart w:id="54" w:name="page55"/>
    <w:bookmarkEnd w:id="54"/>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31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As at</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June 30, 2018</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Prepayments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1,316,727</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691,077</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receivables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473,730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201,670</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Other advances</w:t>
            </w:r>
          </w:p>
        </w:tc>
        <w:tc>
          <w:tcPr>
            <w:tcW w:w="2040" w:type="dxa"/>
            <w:vAlign w:val="bottom"/>
          </w:tcPr>
          <w:p>
            <w:pPr>
              <w:jc w:val="right"/>
              <w:spacing w:after="0"/>
              <w:rPr>
                <w:sz w:val="20"/>
                <w:szCs w:val="20"/>
                <w:color w:val="auto"/>
              </w:rPr>
            </w:pPr>
            <w:r>
              <w:rPr>
                <w:rFonts w:ascii="Arial" w:cs="Arial" w:eastAsia="Arial" w:hAnsi="Arial"/>
                <w:sz w:val="18"/>
                <w:szCs w:val="18"/>
                <w:color w:val="auto"/>
              </w:rPr>
              <w:t>154,196</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146,301</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costs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301,679</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301,679</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2,246,332</w:t>
            </w:r>
          </w:p>
        </w:tc>
        <w:tc>
          <w:tcPr>
            <w:tcW w:w="12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1,340,727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 (non-current)</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Deferred costs</w:t>
            </w:r>
          </w:p>
        </w:tc>
        <w:tc>
          <w:tcPr>
            <w:tcW w:w="2040" w:type="dxa"/>
            <w:vAlign w:val="bottom"/>
          </w:tcPr>
          <w:p>
            <w:pPr>
              <w:jc w:val="right"/>
              <w:spacing w:after="0"/>
              <w:rPr>
                <w:sz w:val="20"/>
                <w:szCs w:val="20"/>
                <w:color w:val="auto"/>
              </w:rPr>
            </w:pPr>
            <w:r>
              <w:rPr>
                <w:rFonts w:ascii="Arial" w:cs="Arial" w:eastAsia="Arial" w:hAnsi="Arial"/>
                <w:sz w:val="18"/>
                <w:szCs w:val="18"/>
                <w:color w:val="auto"/>
              </w:rPr>
              <w:t>1,055,877</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1,206,716</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Advances and deposits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393,825</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411,517</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1,449,702</w:t>
            </w: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1,618,233</w:t>
            </w: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9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Income taxes</w:t>
            </w: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00" w:type="dxa"/>
            <w:vAlign w:val="bottom"/>
            <w:vMerge w:val="continue"/>
          </w:tcPr>
          <w:p>
            <w:pPr>
              <w:spacing w:after="0"/>
              <w:rPr>
                <w:sz w:val="24"/>
                <w:szCs w:val="24"/>
                <w:color w:val="auto"/>
              </w:rPr>
            </w:pPr>
          </w:p>
        </w:tc>
        <w:tc>
          <w:tcPr>
            <w:tcW w:w="690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determines its tax provision for interim periods using an estimate of its annual effective tax rate adjusted for discrete items, if any, that are taken into account in the relevant period. Each interim period, the Company updates its estimate of the annual effective tax rate, and if its estimated tax rate changes, the Company makes a cumulative adjustment.</w:t>
      </w:r>
    </w:p>
    <w:p>
      <w:pPr>
        <w:spacing w:after="0" w:line="2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2017 the U.S. government enacted comprehensive tax legislation, the Tax Cuts and Jobs Act (the Act), which significantly revises the ongoing U.S. corporate income tax law by lowering the U.S. federal corporate income tax rate from 34% to 21%, implementing a modified territorial tax system, imposing a one-time tax on foreign unremitted earnings and setting limitations on deductibility of certain costs (e.g., interest expense and executive compensation), among other things.</w:t>
      </w:r>
    </w:p>
    <w:p>
      <w:pPr>
        <w:spacing w:after="0" w:line="26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recorded income tax expense of $1,438,229 and $125,542 for the six months periods ended June 30, 2018 and 2017, respectively. The effective tax rate decreased from 177% during the six months period ended June 30, 2017 to 34.3% during the six months period June 30, 2018 (excluding losses of the U.K entity). This is primarily due to the change in the pre-tax income/ loss across geographies as disclosed in the table below. In addition, the corporate tax rate in Cayman Islands is Nil and these losses are not available for set-off against the profits earned in other geographies.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The geography-wise income (loss) before income taxes is as below:</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60"/>
        </w:trPr>
        <w:tc>
          <w:tcPr>
            <w:tcW w:w="6740" w:type="dxa"/>
            <w:vAlign w:val="bottom"/>
          </w:tcPr>
          <w:p>
            <w:pPr>
              <w:spacing w:after="0"/>
              <w:rPr>
                <w:sz w:val="24"/>
                <w:szCs w:val="24"/>
                <w:color w:val="auto"/>
              </w:rPr>
            </w:pPr>
          </w:p>
        </w:tc>
        <w:tc>
          <w:tcPr>
            <w:tcW w:w="2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Six months period ended</w:t>
            </w: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Six months period ended</w:t>
            </w:r>
          </w:p>
        </w:tc>
      </w:tr>
      <w:tr>
        <w:trPr>
          <w:trHeight w:val="234"/>
        </w:trPr>
        <w:tc>
          <w:tcPr>
            <w:tcW w:w="6740" w:type="dxa"/>
            <w:vAlign w:val="bottom"/>
          </w:tcPr>
          <w:p>
            <w:pPr>
              <w:spacing w:after="0"/>
              <w:rPr>
                <w:sz w:val="20"/>
                <w:szCs w:val="20"/>
                <w:color w:val="auto"/>
              </w:rPr>
            </w:pPr>
          </w:p>
        </w:tc>
        <w:tc>
          <w:tcPr>
            <w:tcW w:w="2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 2018</w:t>
            </w: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 2017</w:t>
            </w:r>
          </w:p>
        </w:tc>
      </w:tr>
      <w:tr>
        <w:trPr>
          <w:trHeight w:val="27"/>
        </w:trPr>
        <w:tc>
          <w:tcPr>
            <w:tcW w:w="67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Cayman Islands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(1,880,185)</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(492,535)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5,252,465</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98,333</w:t>
            </w: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821,407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465,143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U.K.</w:t>
            </w:r>
          </w:p>
        </w:tc>
        <w:tc>
          <w:tcPr>
            <w:tcW w:w="2280" w:type="dxa"/>
            <w:vAlign w:val="bottom"/>
          </w:tcPr>
          <w:p>
            <w:pPr>
              <w:jc w:val="right"/>
              <w:spacing w:after="0"/>
              <w:rPr>
                <w:sz w:val="20"/>
                <w:szCs w:val="20"/>
                <w:color w:val="auto"/>
              </w:rPr>
            </w:pPr>
            <w:r>
              <w:rPr>
                <w:rFonts w:ascii="Arial" w:cs="Arial" w:eastAsia="Arial" w:hAnsi="Arial"/>
                <w:sz w:val="18"/>
                <w:szCs w:val="18"/>
                <w:color w:val="auto"/>
              </w:rPr>
              <w:t>(98,798)</w:t>
            </w:r>
          </w:p>
        </w:tc>
        <w:tc>
          <w:tcPr>
            <w:tcW w:w="1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(138,659)</w:t>
            </w:r>
          </w:p>
        </w:tc>
      </w:tr>
      <w:tr>
        <w:trPr>
          <w:trHeight w:val="27"/>
        </w:trPr>
        <w:tc>
          <w:tcPr>
            <w:tcW w:w="67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4,094,889</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(67,718)</w:t>
            </w:r>
          </w:p>
        </w:tc>
      </w:tr>
      <w:tr>
        <w:trPr>
          <w:trHeight w:val="20"/>
        </w:trPr>
        <w:tc>
          <w:tcPr>
            <w:tcW w:w="67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rate reconciliation</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Income tax expense differed from the amounts computed by applying the U.S. federal income tax rate of 21% to pretax book income (June 30, 2017: 34%). The significant reconciling items from the expected income tax expense to the actual income tax expense include state and local income taxes, change in valuation allowance, R&amp;D research tax credits and tax rate differentials of Cayman Islands, UK and India.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5" w:right="239" w:bottom="1440" w:gutter="0" w:footer="0" w:header="0"/>
        </w:sectPr>
      </w:pPr>
    </w:p>
    <w:bookmarkStart w:id="55" w:name="page56"/>
    <w:bookmarkEnd w:id="55"/>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components of deferred taxes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temporary differences that give rise to significant portions of the deferred tax assets at June 30, 2018 and December 31, 2017 are related to net operating loss carryforwards, tax credit carryforwards, provision for estimated liabilities and employee related liabilities (principally due to accrual for financial reporting purposes). The temporary differences that give rise to significant portions of the deferred tax liabilities at June 30, 2018 and December 31, 2017 are related to unbilled revenue, transaction related costs, property and equipment and intangible assets.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Management assessed that there are no uncertain unrecognized tax benefits and that the tax positions taken have met the minimum statutory requirements to avoid payment of penalties.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total valuation allowance for deferred tax assets as at June 30, 2018 and December 31,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Particulars</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Six months period ended</w:t>
            </w: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 December</w:t>
            </w:r>
          </w:p>
        </w:tc>
      </w:tr>
      <w:tr>
        <w:trPr>
          <w:trHeight w:val="234"/>
        </w:trPr>
        <w:tc>
          <w:tcPr>
            <w:tcW w:w="708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June 30, 2018</w:t>
            </w: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31, 2017</w:t>
            </w:r>
          </w:p>
        </w:tc>
      </w:tr>
      <w:tr>
        <w:trPr>
          <w:trHeight w:val="27"/>
        </w:trPr>
        <w:tc>
          <w:tcPr>
            <w:tcW w:w="70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Opening valuation allowance</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1,183,620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1,266,488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 during the year</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62,583</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116,457</w:t>
            </w:r>
          </w:p>
        </w:tc>
      </w:tr>
      <w:tr>
        <w:trPr>
          <w:trHeight w:val="27"/>
        </w:trPr>
        <w:tc>
          <w:tcPr>
            <w:tcW w:w="7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during the year</w:t>
            </w: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(199,325)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Closing valuation allowance</w:t>
            </w:r>
          </w:p>
        </w:tc>
        <w:tc>
          <w:tcPr>
            <w:tcW w:w="2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1,246,203</w:t>
            </w:r>
          </w:p>
        </w:tc>
        <w:tc>
          <w:tcPr>
            <w:tcW w:w="10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1,183,620</w:t>
            </w:r>
          </w:p>
        </w:tc>
      </w:tr>
      <w:tr>
        <w:trPr>
          <w:trHeight w:val="27"/>
        </w:trPr>
        <w:tc>
          <w:tcPr>
            <w:tcW w:w="70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405"/>
        <w:spacing w:after="0" w:line="218" w:lineRule="exact"/>
        <w:rPr>
          <w:sz w:val="20"/>
          <w:szCs w:val="20"/>
          <w:color w:val="auto"/>
        </w:rPr>
      </w:pPr>
      <w:r>
        <w:rPr>
          <w:rFonts w:ascii="Arial" w:cs="Arial" w:eastAsia="Arial" w:hAnsi="Arial"/>
          <w:sz w:val="18"/>
          <w:szCs w:val="18"/>
          <w:color w:val="auto"/>
        </w:rPr>
        <w:t>In assessing the realizability of deferred tax assets, management considers whether it is more-likely-than-not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w:t>
      </w:r>
      <w:r>
        <w:rPr>
          <w:rFonts w:ascii="MS PGothic" w:cs="MS PGothic" w:eastAsia="MS PGothic" w:hAnsi="MS PGothic"/>
          <w:sz w:val="18"/>
          <w:szCs w:val="18"/>
          <w:color w:val="auto"/>
        </w:rPr>
        <w:t>‑</w:t>
      </w:r>
      <w:r>
        <w:rPr>
          <w:rFonts w:ascii="Arial" w:cs="Arial" w:eastAsia="Arial" w:hAnsi="Arial"/>
          <w:sz w:val="18"/>
          <w:szCs w:val="18"/>
          <w:color w:val="auto"/>
        </w:rPr>
        <w:t>planning strategies in making this assessment. Based upon the level of historical taxable income and projections for future taxable income over the periods in which the deferred tax assets are deductible, management believes it is more-likely-than-not that the Group will realize the benefits of these deductible differences, net of the existing valuation allowances at June 30, 2018. The majority of the Group's deferred tax assets not reduced by valuation allowance are supported by reversing taxable temporary differences. The amount of the deferred tax asset considered realizable, however, could be reduced in the near term if estimates of future taxable income during the carryforward period are reduced.</w:t>
      </w:r>
    </w:p>
    <w:p>
      <w:pPr>
        <w:spacing w:after="0" w:line="20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Group intends to indefinitely reinvest all of its accumulated and future foreign earnings outside the Cayman Islands. If such earnings were repatriated to Cayman Islands, they would be subject to withholding or dividend distribution taxes. Due to the various methods by which such earnings could be repatriated in the future, the amount of taxes attributable to the undistributed earnings are dependent on circumstances existing if, and when remittance occurs. The amount of such temporary differences totaled $22,723,697 as at June 30, 2018. Determination of the amount of any unrecognized deferred income tax liability on this temporary difference is not practicable because of the complexities of the hypothetical calculation.</w:t>
      </w:r>
    </w:p>
    <w:p>
      <w:pPr>
        <w:spacing w:after="0" w:line="213" w:lineRule="exact"/>
        <w:rPr>
          <w:sz w:val="20"/>
          <w:szCs w:val="20"/>
          <w:color w:val="auto"/>
        </w:rPr>
      </w:pPr>
    </w:p>
    <w:p>
      <w:pPr>
        <w:jc w:val="both"/>
        <w:ind w:right="20" w:firstLine="405"/>
        <w:spacing w:after="0" w:line="364" w:lineRule="auto"/>
        <w:rPr>
          <w:sz w:val="20"/>
          <w:szCs w:val="20"/>
          <w:color w:val="auto"/>
        </w:rPr>
      </w:pPr>
      <w:r>
        <w:rPr>
          <w:rFonts w:ascii="Arial" w:cs="Arial" w:eastAsia="Arial" w:hAnsi="Arial"/>
          <w:sz w:val="16"/>
          <w:szCs w:val="16"/>
          <w:color w:val="auto"/>
        </w:rPr>
        <w:t>The Group’s deferred tax assets related to net operating loss carryforwards are expected to expire over various periods. The Group has $69,725,327 of state tax NOLs and tax credits of $1,059,446 in the U.S. which will expire on various dates beginning in 2027 and 2025 respectively. The Group also has $2,492,405 of carryforward losses and $4,253 of tax credits in UK which can be carried forward indefinitely for use against future income.</w:t>
      </w:r>
    </w:p>
    <w:p>
      <w:pPr>
        <w:spacing w:after="0" w:line="12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Group is subject to the continual examination of its income tax returns by the IRS and other domestic and foreign tax authorities. For U.S, India and UK the earliest years open for examination are fiscal years beginning on or after January 1, 2014, April 1, 2009 and January 1, 2016 respectively.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5" w:right="239" w:bottom="1440" w:gutter="0" w:footer="0" w:header="0"/>
        </w:sectPr>
      </w:pPr>
    </w:p>
    <w:bookmarkStart w:id="56" w:name="page57"/>
    <w:bookmarkEnd w:id="56"/>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9.</w:t>
            </w:r>
          </w:p>
        </w:tc>
        <w:tc>
          <w:tcPr>
            <w:tcW w:w="690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consist of the following:</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As at</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June 30, 2018</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40"/>
              <w:spacing w:after="0"/>
              <w:rPr>
                <w:sz w:val="20"/>
                <w:szCs w:val="20"/>
                <w:color w:val="auto"/>
              </w:rPr>
            </w:pPr>
            <w:r>
              <w:rPr>
                <w:rFonts w:ascii="Arial" w:cs="Arial" w:eastAsia="Arial" w:hAnsi="Arial"/>
                <w:sz w:val="18"/>
                <w:szCs w:val="18"/>
                <w:color w:val="auto"/>
              </w:rPr>
              <w:t>Machinery and equipment</w:t>
            </w: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gridSpan w:val="2"/>
            <w:vMerge w:val="continue"/>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5,850,640</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5,675,491</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924,128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723,449</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598,577</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727,043</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17,407,096</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15,185,158</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24,780,441</w:t>
            </w:r>
          </w:p>
        </w:tc>
        <w:tc>
          <w:tcPr>
            <w:tcW w:w="12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22,311,141</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(15,921,002)</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(14,717,846)</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8,859,439</w:t>
            </w: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7,593,295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75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*Includes software under development of $1,518,404 as at June 30, 2018 (December 31, 2017:$1,210,499).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-130175</wp:posOffset>
            </wp:positionV>
            <wp:extent cx="2675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depreciation for the six months periods ended June 30, 2018 and June 30, 2017 was $1,315,091 and $1,528,739, respectively.</w:t>
      </w:r>
    </w:p>
    <w:p>
      <w:pPr>
        <w:spacing w:after="0" w:line="329" w:lineRule="exact"/>
        <w:rPr>
          <w:sz w:val="20"/>
          <w:szCs w:val="20"/>
          <w:color w:val="auto"/>
        </w:rPr>
      </w:pPr>
    </w:p>
    <w:p>
      <w:pPr>
        <w:ind w:left="560" w:hanging="552"/>
        <w:spacing w:after="0"/>
        <w:tabs>
          <w:tab w:leader="none" w:pos="5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Acquired intangible assets, either individually or with a group of other assets or in a business combination,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 at</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4"/>
        </w:trPr>
        <w:tc>
          <w:tcPr>
            <w:tcW w:w="7200" w:type="dxa"/>
            <w:vAlign w:val="bottom"/>
          </w:tcPr>
          <w:p>
            <w:pPr>
              <w:spacing w:after="0"/>
              <w:rPr>
                <w:sz w:val="20"/>
                <w:szCs w:val="20"/>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June 30, 2018</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 (Hospital Audit Locus Inc.)</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3,109,000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3,109,000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Customer relationship/Non-Compete (Clear Vision)</w:t>
            </w:r>
          </w:p>
        </w:tc>
        <w:tc>
          <w:tcPr>
            <w:tcW w:w="1940" w:type="dxa"/>
            <w:vAlign w:val="bottom"/>
          </w:tcPr>
          <w:p>
            <w:pPr>
              <w:jc w:val="right"/>
              <w:spacing w:after="0"/>
              <w:rPr>
                <w:sz w:val="20"/>
                <w:szCs w:val="20"/>
                <w:color w:val="auto"/>
              </w:rPr>
            </w:pPr>
            <w:r>
              <w:rPr>
                <w:rFonts w:ascii="Arial" w:cs="Arial" w:eastAsia="Arial" w:hAnsi="Arial"/>
                <w:sz w:val="18"/>
                <w:szCs w:val="18"/>
                <w:color w:val="auto"/>
              </w:rPr>
              <w:t>2,533,408</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2,533,408</w:t>
            </w: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 (Socrates Inc.)</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Customer relationship (SCIO Health Analytics (UK) Limited)</w:t>
            </w:r>
          </w:p>
        </w:tc>
        <w:tc>
          <w:tcPr>
            <w:tcW w:w="1940" w:type="dxa"/>
            <w:vAlign w:val="bottom"/>
          </w:tcPr>
          <w:p>
            <w:pPr>
              <w:jc w:val="right"/>
              <w:spacing w:after="0"/>
              <w:rPr>
                <w:sz w:val="20"/>
                <w:szCs w:val="20"/>
                <w:color w:val="auto"/>
              </w:rPr>
            </w:pPr>
            <w:r>
              <w:rPr>
                <w:rFonts w:ascii="Arial" w:cs="Arial" w:eastAsia="Arial" w:hAnsi="Arial"/>
                <w:sz w:val="18"/>
                <w:szCs w:val="18"/>
                <w:color w:val="auto"/>
              </w:rPr>
              <w:t>1,081,632</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1,081,632</w:t>
            </w: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(Solucia division)</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72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8,124,040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8,124,040</w:t>
            </w:r>
          </w:p>
        </w:tc>
      </w:tr>
      <w:tr>
        <w:trPr>
          <w:trHeight w:val="27"/>
        </w:trPr>
        <w:tc>
          <w:tcPr>
            <w:tcW w:w="4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2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(5,733,742)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(5,233,325)</w:t>
            </w:r>
          </w:p>
        </w:tc>
      </w:tr>
      <w:tr>
        <w:trPr>
          <w:trHeight w:val="237"/>
        </w:trPr>
        <w:tc>
          <w:tcPr>
            <w:tcW w:w="4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2,390,298</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2,890,715</w:t>
            </w:r>
          </w:p>
        </w:tc>
      </w:tr>
      <w:tr>
        <w:trPr>
          <w:trHeight w:val="27"/>
        </w:trPr>
        <w:tc>
          <w:tcPr>
            <w:tcW w:w="4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45"/>
        </w:trPr>
        <w:tc>
          <w:tcPr>
            <w:tcW w:w="40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18"/>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Intangible assets subject to amortization</w:t>
            </w:r>
          </w:p>
        </w:tc>
        <w:tc>
          <w:tcPr>
            <w:tcW w:w="2260" w:type="dxa"/>
            <w:vAlign w:val="bottom"/>
          </w:tcPr>
          <w:p>
            <w:pPr>
              <w:jc w:val="right"/>
              <w:ind w:right="150"/>
              <w:spacing w:after="0"/>
              <w:rPr>
                <w:sz w:val="20"/>
                <w:szCs w:val="20"/>
                <w:color w:val="auto"/>
              </w:rPr>
            </w:pPr>
            <w:r>
              <w:rPr>
                <w:rFonts w:ascii="Arial" w:cs="Arial" w:eastAsia="Arial" w:hAnsi="Arial"/>
                <w:sz w:val="18"/>
                <w:szCs w:val="18"/>
                <w:b w:val="1"/>
                <w:bCs w:val="1"/>
                <w:color w:val="auto"/>
              </w:rPr>
              <w:t>Gross carrying</w:t>
            </w: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Weighted average</w:t>
            </w:r>
          </w:p>
        </w:tc>
        <w:tc>
          <w:tcPr>
            <w:tcW w:w="1860" w:type="dxa"/>
            <w:vAlign w:val="bottom"/>
          </w:tcPr>
          <w:p>
            <w:pPr>
              <w:jc w:val="right"/>
              <w:ind w:right="390"/>
              <w:spacing w:after="0"/>
              <w:rPr>
                <w:sz w:val="20"/>
                <w:szCs w:val="20"/>
                <w:color w:val="auto"/>
              </w:rPr>
            </w:pPr>
            <w:r>
              <w:rPr>
                <w:rFonts w:ascii="Arial" w:cs="Arial" w:eastAsia="Arial" w:hAnsi="Arial"/>
                <w:sz w:val="18"/>
                <w:szCs w:val="18"/>
                <w:b w:val="1"/>
                <w:bCs w:val="1"/>
                <w:color w:val="auto"/>
              </w:rPr>
              <w:t>Accumulated</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Net carrying</w:t>
            </w:r>
          </w:p>
        </w:tc>
      </w:tr>
      <w:tr>
        <w:trPr>
          <w:trHeight w:val="234"/>
        </w:trPr>
        <w:tc>
          <w:tcPr>
            <w:tcW w:w="4000" w:type="dxa"/>
            <w:vAlign w:val="bottom"/>
          </w:tcPr>
          <w:p>
            <w:pPr>
              <w:spacing w:after="0"/>
              <w:rPr>
                <w:sz w:val="20"/>
                <w:szCs w:val="20"/>
                <w:color w:val="auto"/>
              </w:rPr>
            </w:pPr>
          </w:p>
        </w:tc>
        <w:tc>
          <w:tcPr>
            <w:tcW w:w="226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amortization period</w:t>
            </w: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amortization</w:t>
            </w:r>
          </w:p>
        </w:tc>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7"/>
        </w:trPr>
        <w:tc>
          <w:tcPr>
            <w:tcW w:w="4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4,190,632</w:t>
            </w:r>
          </w:p>
        </w:tc>
        <w:tc>
          <w:tcPr>
            <w:tcW w:w="1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8 yrs</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3,278,178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912,454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relationships – Clear Vision</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2,513,408</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6 yrs</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1,047,231</w:t>
            </w:r>
          </w:p>
        </w:tc>
        <w:tc>
          <w:tcPr>
            <w:tcW w:w="1440" w:type="dxa"/>
            <w:vAlign w:val="bottom"/>
          </w:tcPr>
          <w:p>
            <w:pPr>
              <w:jc w:val="right"/>
              <w:spacing w:after="0"/>
              <w:rPr>
                <w:sz w:val="20"/>
                <w:szCs w:val="20"/>
                <w:color w:val="auto"/>
              </w:rPr>
            </w:pPr>
            <w:r>
              <w:rPr>
                <w:rFonts w:ascii="Arial" w:cs="Arial" w:eastAsia="Arial" w:hAnsi="Arial"/>
                <w:sz w:val="18"/>
                <w:szCs w:val="18"/>
                <w:color w:val="auto"/>
              </w:rPr>
              <w:t>1,466,177</w:t>
            </w:r>
          </w:p>
        </w:tc>
      </w:tr>
      <w:tr>
        <w:trPr>
          <w:trHeight w:val="27"/>
        </w:trPr>
        <w:tc>
          <w:tcPr>
            <w:tcW w:w="4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1,350,000</w:t>
            </w:r>
          </w:p>
        </w:tc>
        <w:tc>
          <w:tcPr>
            <w:tcW w:w="1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5 yrs</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1,350,000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5 yrs</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50,000</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5 yrs</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8,333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8,124,040</w:t>
            </w:r>
          </w:p>
        </w:tc>
        <w:tc>
          <w:tcPr>
            <w:tcW w:w="9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5,733,742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2,390,298</w:t>
            </w:r>
          </w:p>
        </w:tc>
      </w:tr>
      <w:tr>
        <w:trPr>
          <w:trHeight w:val="27"/>
        </w:trPr>
        <w:tc>
          <w:tcPr>
            <w:tcW w:w="4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Aggregate amortization expense for the six month periods ended June 30, 2018 and June 30, 2017 were $502,105 and $502,105 respectively. Estimated amortization expense for the six months ended December 31, 2018 is $501,771, for the year ended December 31, 2019 is $733,135, for the year ended December 31, 2020 is $733,135, for the year ended December 31, 2021 is $422,257.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5" w:right="239" w:bottom="1440" w:gutter="0" w:footer="0" w:header="0"/>
        </w:sectPr>
      </w:pPr>
    </w:p>
    <w:bookmarkStart w:id="57" w:name="page58"/>
    <w:bookmarkEnd w:id="57"/>
    <w:p>
      <w:pPr>
        <w:jc w:val="center"/>
        <w:ind w:left="260" w:right="2800"/>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640" w:type="dxa"/>
            <w:vAlign w:val="bottom"/>
          </w:tcPr>
          <w:p>
            <w:pPr>
              <w:ind w:left="220"/>
              <w:spacing w:after="0"/>
              <w:rPr>
                <w:sz w:val="20"/>
                <w:szCs w:val="20"/>
                <w:color w:val="auto"/>
              </w:rPr>
            </w:pPr>
            <w:r>
              <w:rPr>
                <w:rFonts w:ascii="Arial" w:cs="Arial" w:eastAsia="Arial" w:hAnsi="Arial"/>
                <w:sz w:val="18"/>
                <w:szCs w:val="18"/>
                <w:b w:val="1"/>
                <w:bCs w:val="1"/>
                <w:color w:val="auto"/>
              </w:rPr>
              <w:t>Goodwill</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27"/>
        </w:trPr>
        <w:tc>
          <w:tcPr>
            <w:tcW w:w="320" w:type="dxa"/>
            <w:vAlign w:val="bottom"/>
          </w:tcPr>
          <w:p>
            <w:pPr>
              <w:spacing w:after="0"/>
              <w:rPr>
                <w:sz w:val="24"/>
                <w:szCs w:val="24"/>
                <w:color w:val="auto"/>
              </w:rPr>
            </w:pPr>
          </w:p>
        </w:tc>
        <w:tc>
          <w:tcPr>
            <w:tcW w:w="6640" w:type="dxa"/>
            <w:vAlign w:val="bottom"/>
          </w:tcPr>
          <w:p>
            <w:pPr>
              <w:ind w:left="100"/>
              <w:spacing w:after="0"/>
              <w:rPr>
                <w:sz w:val="20"/>
                <w:szCs w:val="20"/>
                <w:color w:val="auto"/>
              </w:rPr>
            </w:pPr>
            <w:r>
              <w:rPr>
                <w:rFonts w:ascii="Arial" w:cs="Arial" w:eastAsia="Arial" w:hAnsi="Arial"/>
                <w:sz w:val="18"/>
                <w:szCs w:val="18"/>
                <w:color w:val="auto"/>
              </w:rPr>
              <w:t>The carrying amount of goodwill is as follows:</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0"/>
        </w:trPr>
        <w:tc>
          <w:tcPr>
            <w:tcW w:w="696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Particulars</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As at</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4"/>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Acquisition of :</w:t>
            </w:r>
          </w:p>
        </w:tc>
        <w:tc>
          <w:tcPr>
            <w:tcW w:w="2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June 30, 2018</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6960" w:type="dxa"/>
            <w:vAlign w:val="bottom"/>
            <w:tcBorders>
              <w:bottom w:val="single" w:sz="8" w:color="CCEEFF"/>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Hospital Audit Locus, Inc.</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5,759,810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5,759,810</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Solucia</w:t>
            </w:r>
          </w:p>
        </w:tc>
        <w:tc>
          <w:tcPr>
            <w:tcW w:w="2280" w:type="dxa"/>
            <w:vAlign w:val="bottom"/>
          </w:tcPr>
          <w:p>
            <w:pPr>
              <w:jc w:val="right"/>
              <w:spacing w:after="0"/>
              <w:rPr>
                <w:sz w:val="20"/>
                <w:szCs w:val="20"/>
                <w:color w:val="auto"/>
              </w:rPr>
            </w:pPr>
            <w:r>
              <w:rPr>
                <w:rFonts w:ascii="Arial" w:cs="Arial" w:eastAsia="Arial" w:hAnsi="Arial"/>
                <w:sz w:val="18"/>
                <w:szCs w:val="18"/>
                <w:color w:val="auto"/>
              </w:rPr>
              <w:t>542,837</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542,837</w:t>
            </w:r>
          </w:p>
        </w:tc>
      </w:tr>
      <w:tr>
        <w:trPr>
          <w:trHeight w:val="27"/>
        </w:trPr>
        <w:tc>
          <w:tcPr>
            <w:tcW w:w="69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Socrates, Inc.</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2,564,467</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2,564,467</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SCIO Health Analytics (UK) Limited</w:t>
            </w:r>
          </w:p>
        </w:tc>
        <w:tc>
          <w:tcPr>
            <w:tcW w:w="2280" w:type="dxa"/>
            <w:vAlign w:val="bottom"/>
          </w:tcPr>
          <w:p>
            <w:pPr>
              <w:jc w:val="right"/>
              <w:spacing w:after="0"/>
              <w:rPr>
                <w:sz w:val="20"/>
                <w:szCs w:val="20"/>
                <w:color w:val="auto"/>
              </w:rPr>
            </w:pPr>
            <w:r>
              <w:rPr>
                <w:rFonts w:ascii="Arial" w:cs="Arial" w:eastAsia="Arial" w:hAnsi="Arial"/>
                <w:sz w:val="18"/>
                <w:szCs w:val="18"/>
                <w:color w:val="auto"/>
              </w:rPr>
              <w:t>8,689,765</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8,689,765</w:t>
            </w:r>
          </w:p>
        </w:tc>
      </w:tr>
      <w:tr>
        <w:trPr>
          <w:trHeight w:val="27"/>
        </w:trPr>
        <w:tc>
          <w:tcPr>
            <w:tcW w:w="69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Clear Vision</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4,532,958</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4,532,958</w:t>
            </w: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closing balance</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22,089,837</w:t>
            </w:r>
          </w:p>
        </w:tc>
        <w:tc>
          <w:tcPr>
            <w:tcW w:w="120" w:type="dxa"/>
            <w:vAlign w:val="bottom"/>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22,089,837</w:t>
            </w:r>
          </w:p>
        </w:tc>
      </w:tr>
      <w:tr>
        <w:trPr>
          <w:trHeight w:val="27"/>
        </w:trPr>
        <w:tc>
          <w:tcPr>
            <w:tcW w:w="69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(4,578,675)</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(4,578,675)</w:t>
            </w:r>
          </w:p>
        </w:tc>
      </w:tr>
      <w:tr>
        <w:trPr>
          <w:trHeight w:val="257"/>
        </w:trPr>
        <w:tc>
          <w:tcPr>
            <w:tcW w:w="69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closing balance</w:t>
            </w: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17,511,162</w:t>
            </w:r>
          </w:p>
        </w:tc>
        <w:tc>
          <w:tcPr>
            <w:tcW w:w="12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17,511,162</w:t>
            </w:r>
          </w:p>
        </w:tc>
      </w:tr>
      <w:tr>
        <w:trPr>
          <w:trHeight w:val="20"/>
        </w:trPr>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has been allocated to the following reporting units, which represent different business units of the Group, as follows:</w:t>
      </w:r>
    </w:p>
    <w:p>
      <w:pPr>
        <w:sectPr>
          <w:pgSz w:w="11900" w:h="16838" w:orient="portrait"/>
          <w:cols w:equalWidth="0" w:num="1">
            <w:col w:w="11420"/>
          </w:cols>
          <w:pgMar w:left="240" w:top="135" w:right="23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Particulars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closing balance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hanging="552"/>
        <w:spacing w:after="0"/>
        <w:tabs>
          <w:tab w:leader="none" w:pos="56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Stock based compensation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 at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4"/>
        </w:trPr>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June 30, 2018</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right"/>
              <w:spacing w:after="0"/>
              <w:rPr>
                <w:sz w:val="20"/>
                <w:szCs w:val="20"/>
                <w:color w:val="auto"/>
              </w:rPr>
            </w:pPr>
            <w:r>
              <w:rPr>
                <w:rFonts w:ascii="Arial" w:cs="Arial" w:eastAsia="Arial" w:hAnsi="Arial"/>
                <w:sz w:val="18"/>
                <w:szCs w:val="18"/>
                <w:color w:val="auto"/>
              </w:rPr>
              <w:t>13,400,072</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13,400,072</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4,111,090</w:t>
            </w:r>
          </w:p>
        </w:tc>
        <w:tc>
          <w:tcPr>
            <w:tcW w:w="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4,111,090</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17,511,162</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17,511,162</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-556895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-205105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4" w:lineRule="exact"/>
        <w:rPr>
          <w:sz w:val="20"/>
          <w:szCs w:val="20"/>
          <w:color w:val="auto"/>
        </w:rPr>
      </w:pPr>
    </w:p>
    <w:p>
      <w:pPr>
        <w:sectPr>
          <w:pgSz w:w="11900" w:h="16838" w:orient="portrait"/>
          <w:cols w:equalWidth="0" w:num="2">
            <w:col w:w="7180" w:space="720"/>
            <w:col w:w="3520"/>
          </w:cols>
          <w:pgMar w:left="240" w:top="135" w:right="239" w:bottom="1440" w:gutter="0" w:footer="0" w:header="0"/>
          <w:type w:val="continuous"/>
        </w:sectPr>
      </w:pPr>
    </w:p>
    <w:p>
      <w:pPr>
        <w:spacing w:after="0" w:line="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2007, the Group adopted a stock compensation plan (‘the Plan’) pursuant to which the Group’s board of directors may grant stock options or non-vested shares to officers and key employees. The plan has reserved 6,520,000 shares of authorized common stock. Stock options can be granted with an exercise price less than, equal to or greater than the stock’s fair market value at the date of grant. All awards have a total contractual term of 10 years, and vest over 4 years as follows:</w:t>
      </w:r>
    </w:p>
    <w:p>
      <w:pPr>
        <w:spacing w:after="0" w:line="200" w:lineRule="exact"/>
        <w:rPr>
          <w:sz w:val="20"/>
          <w:szCs w:val="20"/>
          <w:color w:val="auto"/>
        </w:rPr>
      </w:pPr>
    </w:p>
    <w:p>
      <w:pPr>
        <w:spacing w:after="0" w:line="25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860" w:type="dxa"/>
            <w:vAlign w:val="bottom"/>
            <w:vMerge w:val="restart"/>
          </w:tcPr>
          <w:p>
            <w:pPr>
              <w:spacing w:after="0"/>
              <w:rPr>
                <w:sz w:val="20"/>
                <w:szCs w:val="20"/>
                <w:color w:val="auto"/>
              </w:rPr>
            </w:pPr>
            <w:r>
              <w:rPr>
                <w:rFonts w:ascii="Arial" w:cs="Arial" w:eastAsia="Arial" w:hAnsi="Arial"/>
                <w:sz w:val="18"/>
                <w:szCs w:val="18"/>
                <w:color w:val="auto"/>
              </w:rPr>
              <w:t>One fourth of the options</w:t>
            </w:r>
          </w:p>
        </w:tc>
        <w:tc>
          <w:tcPr>
            <w:tcW w:w="7020" w:type="dxa"/>
            <w:vAlign w:val="bottom"/>
          </w:tcPr>
          <w:p>
            <w:pPr>
              <w:ind w:left="820"/>
              <w:spacing w:after="0"/>
              <w:rPr>
                <w:sz w:val="20"/>
                <w:szCs w:val="20"/>
                <w:color w:val="auto"/>
              </w:rPr>
            </w:pPr>
            <w:r>
              <w:rPr>
                <w:rFonts w:ascii="Arial" w:cs="Arial" w:eastAsia="Arial" w:hAnsi="Arial"/>
                <w:sz w:val="18"/>
                <w:szCs w:val="18"/>
                <w:color w:val="auto"/>
              </w:rPr>
              <w:t>- At the end of one year from the date of grant</w:t>
            </w:r>
          </w:p>
        </w:tc>
        <w:tc>
          <w:tcPr>
            <w:tcW w:w="0" w:type="dxa"/>
            <w:vAlign w:val="bottom"/>
          </w:tcPr>
          <w:p>
            <w:pPr>
              <w:spacing w:after="0"/>
              <w:rPr>
                <w:sz w:val="1"/>
                <w:szCs w:val="1"/>
                <w:color w:val="auto"/>
              </w:rPr>
            </w:pPr>
          </w:p>
        </w:tc>
      </w:tr>
      <w:tr>
        <w:trPr>
          <w:trHeight w:val="108"/>
        </w:trPr>
        <w:tc>
          <w:tcPr>
            <w:tcW w:w="2860" w:type="dxa"/>
            <w:vAlign w:val="bottom"/>
            <w:vMerge w:val="continue"/>
          </w:tcPr>
          <w:p>
            <w:pPr>
              <w:spacing w:after="0"/>
              <w:rPr>
                <w:sz w:val="9"/>
                <w:szCs w:val="9"/>
                <w:color w:val="auto"/>
              </w:rPr>
            </w:pPr>
          </w:p>
        </w:tc>
        <w:tc>
          <w:tcPr>
            <w:tcW w:w="7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6"/>
        </w:trPr>
        <w:tc>
          <w:tcPr>
            <w:tcW w:w="2860" w:type="dxa"/>
            <w:vAlign w:val="bottom"/>
          </w:tcPr>
          <w:p>
            <w:pPr>
              <w:spacing w:after="0"/>
              <w:rPr>
                <w:sz w:val="20"/>
                <w:szCs w:val="20"/>
                <w:color w:val="auto"/>
              </w:rPr>
            </w:pPr>
            <w:r>
              <w:rPr>
                <w:rFonts w:ascii="Arial" w:cs="Arial" w:eastAsia="Arial" w:hAnsi="Arial"/>
                <w:sz w:val="18"/>
                <w:szCs w:val="18"/>
                <w:color w:val="auto"/>
              </w:rPr>
              <w:t>Three fourths of the options</w:t>
            </w:r>
          </w:p>
        </w:tc>
        <w:tc>
          <w:tcPr>
            <w:tcW w:w="7020" w:type="dxa"/>
            <w:vAlign w:val="bottom"/>
          </w:tcPr>
          <w:p>
            <w:pPr>
              <w:ind w:left="820"/>
              <w:spacing w:after="0"/>
              <w:rPr>
                <w:sz w:val="20"/>
                <w:szCs w:val="20"/>
                <w:color w:val="auto"/>
              </w:rPr>
            </w:pPr>
            <w:r>
              <w:rPr>
                <w:rFonts w:ascii="Arial" w:cs="Arial" w:eastAsia="Arial" w:hAnsi="Arial"/>
                <w:sz w:val="18"/>
                <w:szCs w:val="18"/>
                <w:color w:val="auto"/>
                <w:w w:val="90"/>
              </w:rPr>
              <w:t>- At the end of each half year during the second, third and fourth year from the date of</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7020" w:type="dxa"/>
            <w:vAlign w:val="bottom"/>
          </w:tcPr>
          <w:p>
            <w:pPr>
              <w:ind w:left="820"/>
              <w:spacing w:after="0"/>
              <w:rPr>
                <w:sz w:val="20"/>
                <w:szCs w:val="20"/>
                <w:color w:val="auto"/>
              </w:rPr>
            </w:pPr>
            <w:r>
              <w:rPr>
                <w:rFonts w:ascii="Arial" w:cs="Arial" w:eastAsia="Arial" w:hAnsi="Arial"/>
                <w:sz w:val="18"/>
                <w:szCs w:val="18"/>
                <w:color w:val="auto"/>
              </w:rPr>
              <w:t>grant in 6 equal installments.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19" w:lineRule="exact"/>
        <w:rPr>
          <w:sz w:val="20"/>
          <w:szCs w:val="20"/>
          <w:color w:val="auto"/>
        </w:rPr>
      </w:pPr>
      <w:r>
        <w:rPr>
          <w:rFonts w:ascii="Arial" w:cs="Arial" w:eastAsia="Arial" w:hAnsi="Arial"/>
          <w:sz w:val="16"/>
          <w:szCs w:val="16"/>
          <w:color w:val="auto"/>
        </w:rPr>
        <w:t>The fair value of each option award is estimated on the date of grant using the Black-Scholes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that used the weighted average assumptions in the following table. Since the Company’s shares are not publicly traded and its shares are rarely traded privately, expected volatility is computed based on the average historical volatility of similar entities with publicly traded shares. The risk</w:t>
      </w:r>
      <w:r>
        <w:rPr>
          <w:rFonts w:ascii="MS PGothic" w:cs="MS PGothic" w:eastAsia="MS PGothic" w:hAnsi="MS PGothic"/>
          <w:sz w:val="16"/>
          <w:szCs w:val="16"/>
          <w:color w:val="auto"/>
        </w:rPr>
        <w:t>‑</w:t>
      </w:r>
      <w:r>
        <w:rPr>
          <w:rFonts w:ascii="Arial" w:cs="Arial" w:eastAsia="Arial" w:hAnsi="Arial"/>
          <w:sz w:val="16"/>
          <w:szCs w:val="16"/>
          <w:color w:val="auto"/>
        </w:rPr>
        <w:t>free rate for the expected term of the option is based on the U.S. Treasury yield curve in effect at the time of grant. Expected dividends during the estimated term of the option are based on recent dividend activity; the Company has not paid any cash dividends on common stock in the recent periods and does not anticipate doing so in the foreseeable future.</w:t>
      </w:r>
    </w:p>
    <w:p>
      <w:pPr>
        <w:spacing w:after="0" w:line="2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Group uses company specific historical data to estimate the expected term of the option, such as employee option exercise and employee post-vesting departure behavior. Since the Company’s shares are not publicly traded and its shares are rarely traded privately, expected volatility is estimated based on the average historical volatility of similar entities with publicly traded shares. The risk-free rate for the expected term of the option is based on the U.S. Treasury yield curve at the date of grant. The Group uses a simplified method available to non-public companies to determine the expected term for the valuation of options.</w:t>
      </w:r>
    </w:p>
    <w:p>
      <w:pPr>
        <w:sectPr>
          <w:pgSz w:w="11900" w:h="16838" w:orient="portrait"/>
          <w:cols w:equalWidth="0" w:num="1">
            <w:col w:w="11420"/>
          </w:cols>
          <w:pgMar w:left="240" w:top="135"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5" w:right="239" w:bottom="1440" w:gutter="0" w:footer="0" w:header="0"/>
          <w:type w:val="continuous"/>
        </w:sectPr>
      </w:pPr>
    </w:p>
    <w:bookmarkStart w:id="58" w:name="page59"/>
    <w:bookmarkEnd w:id="58"/>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Assumptions</w:t>
            </w:r>
          </w:p>
        </w:tc>
        <w:tc>
          <w:tcPr>
            <w:tcW w:w="48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2018</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 2017</w:t>
            </w:r>
          </w:p>
        </w:tc>
      </w:tr>
      <w:tr>
        <w:trPr>
          <w:trHeight w:val="54"/>
        </w:trPr>
        <w:tc>
          <w:tcPr>
            <w:tcW w:w="50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7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8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800" w:type="dxa"/>
            <w:vAlign w:val="bottom"/>
          </w:tcPr>
          <w:p>
            <w:pPr>
              <w:jc w:val="right"/>
              <w:ind w:right="250"/>
              <w:spacing w:after="0"/>
              <w:rPr>
                <w:sz w:val="20"/>
                <w:szCs w:val="20"/>
                <w:color w:val="auto"/>
              </w:rPr>
            </w:pPr>
            <w:r>
              <w:rPr>
                <w:rFonts w:ascii="Arial" w:cs="Arial" w:eastAsia="Arial" w:hAnsi="Arial"/>
                <w:sz w:val="18"/>
                <w:szCs w:val="18"/>
                <w:color w:val="auto"/>
              </w:rPr>
              <w:t>40.8%</w:t>
            </w:r>
          </w:p>
        </w:tc>
        <w:tc>
          <w:tcPr>
            <w:tcW w:w="15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54"/>
        </w:trPr>
        <w:tc>
          <w:tcPr>
            <w:tcW w:w="50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7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48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 years</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 years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4800" w:type="dxa"/>
            <w:vAlign w:val="bottom"/>
          </w:tcPr>
          <w:p>
            <w:pPr>
              <w:jc w:val="right"/>
              <w:ind w:right="250"/>
              <w:spacing w:after="0"/>
              <w:rPr>
                <w:sz w:val="20"/>
                <w:szCs w:val="20"/>
                <w:color w:val="auto"/>
              </w:rPr>
            </w:pPr>
            <w:r>
              <w:rPr>
                <w:rFonts w:ascii="Arial" w:cs="Arial" w:eastAsia="Arial" w:hAnsi="Arial"/>
                <w:sz w:val="18"/>
                <w:szCs w:val="18"/>
                <w:color w:val="auto"/>
              </w:rPr>
              <w:t>1.25%</w:t>
            </w: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during the six month period ended June 30, 2018 and year ended December 31, 2017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080" w:type="dxa"/>
            <w:vAlign w:val="bottom"/>
            <w:gridSpan w:val="3"/>
          </w:tcPr>
          <w:p>
            <w:pPr>
              <w:ind w:left="960"/>
              <w:spacing w:after="0"/>
              <w:rPr>
                <w:sz w:val="20"/>
                <w:szCs w:val="20"/>
                <w:color w:val="auto"/>
              </w:rPr>
            </w:pPr>
            <w:r>
              <w:rPr>
                <w:rFonts w:ascii="Arial" w:cs="Arial" w:eastAsia="Arial" w:hAnsi="Arial"/>
                <w:sz w:val="18"/>
                <w:szCs w:val="18"/>
                <w:b w:val="1"/>
                <w:bCs w:val="1"/>
                <w:color w:val="auto"/>
              </w:rPr>
              <w:t>June 30, 2018</w:t>
            </w:r>
          </w:p>
        </w:tc>
        <w:tc>
          <w:tcPr>
            <w:tcW w:w="28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Particulars</w:t>
            </w: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00" w:type="dxa"/>
            <w:vAlign w:val="bottom"/>
            <w:vMerge w:val="continue"/>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Weighted average</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Number of Weighted average</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the beginning of the period</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5,211,132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5,158,449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Add: Grants during the period</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241,000</w:t>
            </w:r>
          </w:p>
        </w:tc>
        <w:tc>
          <w:tcPr>
            <w:tcW w:w="1280" w:type="dxa"/>
            <w:vAlign w:val="bottom"/>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Forfeited</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140,550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87,600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Exercised</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1,017,954</w:t>
            </w:r>
          </w:p>
        </w:tc>
        <w:tc>
          <w:tcPr>
            <w:tcW w:w="1500" w:type="dxa"/>
            <w:vAlign w:val="bottom"/>
          </w:tcPr>
          <w:p>
            <w:pPr>
              <w:jc w:val="right"/>
              <w:spacing w:after="0"/>
              <w:rPr>
                <w:sz w:val="20"/>
                <w:szCs w:val="20"/>
                <w:color w:val="auto"/>
              </w:rPr>
            </w:pPr>
            <w:r>
              <w:rPr>
                <w:rFonts w:ascii="Arial" w:cs="Arial" w:eastAsia="Arial" w:hAnsi="Arial"/>
                <w:sz w:val="18"/>
                <w:szCs w:val="18"/>
                <w:color w:val="auto"/>
              </w:rPr>
              <w:t>0.904</w:t>
            </w:r>
          </w:p>
        </w:tc>
        <w:tc>
          <w:tcPr>
            <w:tcW w:w="12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100,717</w:t>
            </w:r>
          </w:p>
        </w:tc>
        <w:tc>
          <w:tcPr>
            <w:tcW w:w="1280" w:type="dxa"/>
            <w:vAlign w:val="bottom"/>
          </w:tcPr>
          <w:p>
            <w:pPr>
              <w:jc w:val="right"/>
              <w:spacing w:after="0"/>
              <w:rPr>
                <w:sz w:val="20"/>
                <w:szCs w:val="20"/>
                <w:color w:val="auto"/>
              </w:rPr>
            </w:pPr>
            <w:r>
              <w:rPr>
                <w:rFonts w:ascii="Arial" w:cs="Arial" w:eastAsia="Arial" w:hAnsi="Arial"/>
                <w:sz w:val="18"/>
                <w:szCs w:val="18"/>
                <w:color w:val="auto"/>
              </w:rPr>
              <w:t>0.571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balance</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4,052,628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0.859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5,211,132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0.711</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Exercisable at the end of the period</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3,116,409</w:t>
            </w:r>
          </w:p>
        </w:tc>
        <w:tc>
          <w:tcPr>
            <w:tcW w:w="1500" w:type="dxa"/>
            <w:vAlign w:val="bottom"/>
          </w:tcPr>
          <w:p>
            <w:pPr>
              <w:jc w:val="right"/>
              <w:spacing w:after="0"/>
              <w:rPr>
                <w:sz w:val="20"/>
                <w:szCs w:val="20"/>
                <w:color w:val="auto"/>
              </w:rPr>
            </w:pPr>
            <w:r>
              <w:rPr>
                <w:rFonts w:ascii="Arial" w:cs="Arial" w:eastAsia="Arial" w:hAnsi="Arial"/>
                <w:sz w:val="18"/>
                <w:szCs w:val="18"/>
                <w:color w:val="auto"/>
              </w:rPr>
              <w:t>0.696</w:t>
            </w:r>
          </w:p>
        </w:tc>
        <w:tc>
          <w:tcPr>
            <w:tcW w:w="12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3,985,882</w:t>
            </w:r>
          </w:p>
        </w:tc>
        <w:tc>
          <w:tcPr>
            <w:tcW w:w="1280" w:type="dxa"/>
            <w:vAlign w:val="bottom"/>
          </w:tcPr>
          <w:p>
            <w:pPr>
              <w:jc w:val="right"/>
              <w:spacing w:after="0"/>
              <w:rPr>
                <w:sz w:val="20"/>
                <w:szCs w:val="20"/>
                <w:color w:val="auto"/>
              </w:rPr>
            </w:pPr>
            <w:r>
              <w:rPr>
                <w:rFonts w:ascii="Arial" w:cs="Arial" w:eastAsia="Arial" w:hAnsi="Arial"/>
                <w:sz w:val="18"/>
                <w:szCs w:val="18"/>
                <w:color w:val="auto"/>
              </w:rPr>
              <w:t>0.497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weighted average remaining contractual life of options as at June 30, 2018 and December 31, 2017 is 5.39 years and 4.83 years respectively. The weighted average grant date fair value of options granted during six months ended as at June 30, 2018 and year ended December 31, 2017 was $1.840 and $1.840, respectively. During the six months period ended June 30, 2018, the Group has recorded stock compensation expense of $5,560 (June 30, 2017: $25,028).</w:t>
      </w:r>
    </w:p>
    <w:p>
      <w:pPr>
        <w:spacing w:after="0" w:line="75" w:lineRule="exact"/>
        <w:rPr>
          <w:sz w:val="20"/>
          <w:szCs w:val="20"/>
          <w:color w:val="auto"/>
        </w:rPr>
      </w:pPr>
    </w:p>
    <w:p>
      <w:pPr>
        <w:ind w:left="560" w:hanging="552"/>
        <w:spacing w:after="0"/>
        <w:tabs>
          <w:tab w:leader="none" w:pos="5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31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33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is authorized to issue two classes of shares designated as “Common stock” and “Preferred stock”. Preferred stock includes series A, series B1, series B2, series C, series C1 and series D preference shares. Each preferred stock is convertible into common stock in the ratio of 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Every member shall be entitled to one vote in respect of each share of common stock held by them. In case of each preference shares held, to that many votes to which he would be entitled if he converted such preference shares into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holders of preferred stock are entitled to receive when, as and if declared by the board, non-cumulative dividends at the annual dividend rate of 8% for the preferred stock prior and in preference to the payment of any dividends on the common stock in such calendar year. No dividend shall be paid on the shares of the common stock shares in any year until all dividends for such year have been declared and paid on the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holders of preferred stock prior and in preference to any distribution of any of the assets or funds of the Company to the holders of the shares of the common stock, shall be entitled to receive for each outstanding preference shares then held by them an amount equal to, greater of original purchase price ($ 0.25 per preference shares of Series A, $ 0.329 per preferred stock of Series B1, and $ 0.499 per preferred stock of Series B2, $ 0.53 per preferred stock of Series C, $ 2.213 per preferred stock of Series C1 and $ 2.248 per preferred stock of Series D) as adjusted plus any declared but unpaid dividend or the amount that would be received if such preferred stock had been converted into shares of common stock immediately prior to such liquidation, dissolution or winding up. If upon the occurrence of a liquidation, dissolution or winding up, the assets and funds of the Company legally available for distribution to the members by any reason shall be insufficient to permit the payment of full liquidation preference, then the entire assets and funds of the Company legally available for distribution to the members shall be distributed pro-rata.</w:t>
      </w:r>
    </w:p>
    <w:p>
      <w:pPr>
        <w:sectPr>
          <w:pgSz w:w="11900" w:h="16838" w:orient="portrait"/>
          <w:cols w:equalWidth="0" w:num="1">
            <w:col w:w="11420"/>
          </w:cols>
          <w:pgMar w:left="240" w:top="13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5" w:right="239" w:bottom="1440" w:gutter="0" w:footer="0" w:header="0"/>
          <w:type w:val="continuous"/>
        </w:sectPr>
      </w:pPr>
    </w:p>
    <w:bookmarkStart w:id="59" w:name="page60"/>
    <w:bookmarkEnd w:id="59"/>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holder of a preferred stock shall be entitled to convert any or all of its preference shares at any time, without payment of any additional consideration, into such number of fully paid shares of common stock per preference share as is determined by dividing the original purchase price applicable to such series of preference shares by the conversion price applicable to such preference shares determined in each case, in effect at the time of conversion. Any conversion of preference shares shall be effected by the redemption of the relevant number of preference shares and the issuance of an appropriate number of shares of common stock.</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aforementioned preference shares shall be automatically be converted into common stock:</w:t>
      </w:r>
    </w:p>
    <w:p>
      <w:pPr>
        <w:spacing w:after="0" w:line="252" w:lineRule="exact"/>
        <w:rPr>
          <w:sz w:val="20"/>
          <w:szCs w:val="20"/>
          <w:color w:val="auto"/>
        </w:rPr>
      </w:pPr>
    </w:p>
    <w:p>
      <w:pPr>
        <w:ind w:left="560" w:hanging="552"/>
        <w:spacing w:after="0"/>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the closing of a firm commitment underwritten public offering on a global stock exchange in which</w:t>
      </w:r>
    </w:p>
    <w:p>
      <w:pPr>
        <w:spacing w:after="0" w:line="265" w:lineRule="exact"/>
        <w:rPr>
          <w:rFonts w:ascii="Arial" w:cs="Arial" w:eastAsia="Arial" w:hAnsi="Arial"/>
          <w:sz w:val="18"/>
          <w:szCs w:val="18"/>
          <w:color w:val="auto"/>
        </w:rPr>
      </w:pPr>
    </w:p>
    <w:p>
      <w:pPr>
        <w:ind w:left="820" w:hanging="488"/>
        <w:spacing w:after="0"/>
        <w:tabs>
          <w:tab w:leader="none" w:pos="8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Net aggregate proceeds to the Company of not less than $ 20,000,000 are raised (after deduction of underwriters commission and expenses) and</w:t>
      </w:r>
    </w:p>
    <w:p>
      <w:pPr>
        <w:spacing w:after="0" w:line="288" w:lineRule="exact"/>
        <w:rPr>
          <w:rFonts w:ascii="Arial" w:cs="Arial" w:eastAsia="Arial" w:hAnsi="Arial"/>
          <w:sz w:val="16"/>
          <w:szCs w:val="16"/>
          <w:color w:val="auto"/>
        </w:rPr>
      </w:pPr>
    </w:p>
    <w:p>
      <w:pPr>
        <w:ind w:left="880" w:hanging="548"/>
        <w:spacing w:after="0"/>
        <w:tabs>
          <w:tab w:leader="none" w:pos="8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Such offering is made at an offer price per share of at least $ 2.5 (subject to appropriate adjustment for stock splits, stock dividends, combinations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other similar recapitalizations affecting the shares of the Company) (‘a qualified IPO’)</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Or</w:t>
      </w:r>
    </w:p>
    <w:p>
      <w:pPr>
        <w:spacing w:after="0" w:line="35" w:lineRule="exact"/>
        <w:rPr>
          <w:sz w:val="20"/>
          <w:szCs w:val="20"/>
          <w:color w:val="auto"/>
        </w:rPr>
      </w:pPr>
    </w:p>
    <w:p>
      <w:pPr>
        <w:ind w:firstLine="8"/>
        <w:spacing w:after="0" w:line="324" w:lineRule="auto"/>
        <w:tabs>
          <w:tab w:leader="none" w:pos="5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the vote of the Required Holders, where Required Holders would mean the holders of at least 85% of the issued and outstanding shares of Series A preference shares, Series B preference shares, Series C preference shares and Series D preference shares.</w:t>
      </w:r>
    </w:p>
    <w:p>
      <w:pPr>
        <w:spacing w:after="0" w:line="247" w:lineRule="exact"/>
        <w:rPr>
          <w:sz w:val="20"/>
          <w:szCs w:val="20"/>
          <w:color w:val="auto"/>
        </w:rPr>
      </w:pPr>
    </w:p>
    <w:p>
      <w:pPr>
        <w:ind w:left="560" w:hanging="552"/>
        <w:spacing w:after="0"/>
        <w:tabs>
          <w:tab w:leader="none" w:pos="5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32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Group entered into non-cancellable operating leases for office spaces for a term of 3 to 10 years. The leasehold improvements are included in property and equipment and are being amortized over the shorter of the estimated useful economic life of the improvements and the lease term.</w:t>
      </w:r>
    </w:p>
    <w:p>
      <w:pPr>
        <w:spacing w:after="0" w:line="147" w:lineRule="exact"/>
        <w:rPr>
          <w:sz w:val="20"/>
          <w:szCs w:val="20"/>
          <w:color w:val="auto"/>
        </w:rPr>
      </w:pPr>
    </w:p>
    <w:p>
      <w:pPr>
        <w:jc w:val="both"/>
        <w:ind w:firstLine="405"/>
        <w:spacing w:after="0" w:line="221" w:lineRule="exact"/>
        <w:rPr>
          <w:sz w:val="20"/>
          <w:szCs w:val="20"/>
          <w:color w:val="auto"/>
        </w:rPr>
      </w:pPr>
      <w:r>
        <w:rPr>
          <w:rFonts w:ascii="Arial" w:cs="Arial" w:eastAsia="Arial" w:hAnsi="Arial"/>
          <w:sz w:val="18"/>
          <w:szCs w:val="18"/>
          <w:color w:val="auto"/>
        </w:rPr>
        <w:t>Minimum rent payments under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term of the lease including any periods of free rent. Rental expense for operating leases (except those with lease terms that were not renewed) during the six months period ended June 30, 2018 is $729,977 and for the six months period ended June 30, 2017 is $ 869,541.</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Future minimum lease payments under non-cancellable operating leases (with initial or remaining lease terms in excess of one year) expiring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7400" w:type="dxa"/>
            <w:vAlign w:val="bottom"/>
          </w:tcPr>
          <w:p>
            <w:pPr>
              <w:jc w:val="right"/>
              <w:spacing w:after="0"/>
              <w:rPr>
                <w:sz w:val="20"/>
                <w:szCs w:val="20"/>
                <w:color w:val="auto"/>
              </w:rPr>
            </w:pPr>
            <w:r>
              <w:rPr>
                <w:rFonts w:ascii="Arial" w:cs="Arial" w:eastAsia="Arial" w:hAnsi="Arial"/>
                <w:sz w:val="18"/>
                <w:szCs w:val="18"/>
                <w:b w:val="1"/>
                <w:bCs w:val="1"/>
                <w:color w:val="auto"/>
              </w:rPr>
              <w:t>Operating leases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1,251,113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2020</w:t>
            </w:r>
          </w:p>
        </w:tc>
        <w:tc>
          <w:tcPr>
            <w:tcW w:w="7400" w:type="dxa"/>
            <w:vAlign w:val="bottom"/>
          </w:tcPr>
          <w:p>
            <w:pPr>
              <w:jc w:val="right"/>
              <w:spacing w:after="0"/>
              <w:rPr>
                <w:sz w:val="20"/>
                <w:szCs w:val="20"/>
                <w:color w:val="auto"/>
              </w:rPr>
            </w:pPr>
            <w:r>
              <w:rPr>
                <w:rFonts w:ascii="Arial" w:cs="Arial" w:eastAsia="Arial" w:hAnsi="Arial"/>
                <w:sz w:val="18"/>
                <w:szCs w:val="18"/>
                <w:color w:val="auto"/>
              </w:rPr>
              <w:t>1,139,004</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854,874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2022</w:t>
            </w:r>
          </w:p>
        </w:tc>
        <w:tc>
          <w:tcPr>
            <w:tcW w:w="7400" w:type="dxa"/>
            <w:vAlign w:val="bottom"/>
          </w:tcPr>
          <w:p>
            <w:pPr>
              <w:jc w:val="right"/>
              <w:spacing w:after="0"/>
              <w:rPr>
                <w:sz w:val="20"/>
                <w:szCs w:val="20"/>
                <w:color w:val="auto"/>
              </w:rPr>
            </w:pPr>
            <w:r>
              <w:rPr>
                <w:rFonts w:ascii="Arial" w:cs="Arial" w:eastAsia="Arial" w:hAnsi="Arial"/>
                <w:sz w:val="18"/>
                <w:szCs w:val="18"/>
                <w:color w:val="auto"/>
              </w:rPr>
              <w:t>858,516</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later years</w:t>
            </w:r>
          </w:p>
        </w:tc>
        <w:tc>
          <w:tcPr>
            <w:tcW w:w="7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664,530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Total minimum lease payments</w:t>
            </w:r>
          </w:p>
        </w:tc>
        <w:tc>
          <w:tcPr>
            <w:tcW w:w="7400" w:type="dxa"/>
            <w:vAlign w:val="bottom"/>
          </w:tcPr>
          <w:p>
            <w:pPr>
              <w:jc w:val="right"/>
              <w:spacing w:after="0"/>
              <w:rPr>
                <w:sz w:val="20"/>
                <w:szCs w:val="20"/>
                <w:color w:val="auto"/>
              </w:rPr>
            </w:pPr>
            <w:r>
              <w:rPr>
                <w:rFonts w:ascii="Arial" w:cs="Arial" w:eastAsia="Arial" w:hAnsi="Arial"/>
                <w:sz w:val="18"/>
                <w:szCs w:val="18"/>
                <w:b w:val="1"/>
                <w:bCs w:val="1"/>
                <w:color w:val="auto"/>
              </w:rPr>
              <w:t>4,768,037</w:t>
            </w:r>
          </w:p>
        </w:tc>
      </w:tr>
      <w:tr>
        <w:trPr>
          <w:trHeight w:val="486"/>
        </w:trPr>
        <w:tc>
          <w:tcPr>
            <w:tcW w:w="4020" w:type="dxa"/>
            <w:vAlign w:val="bottom"/>
          </w:tcPr>
          <w:p>
            <w:pPr>
              <w:spacing w:after="0"/>
              <w:rPr>
                <w:sz w:val="24"/>
                <w:szCs w:val="24"/>
                <w:color w:val="auto"/>
              </w:rPr>
            </w:pPr>
          </w:p>
        </w:tc>
        <w:tc>
          <w:tcPr>
            <w:tcW w:w="7400" w:type="dxa"/>
            <w:vAlign w:val="bottom"/>
          </w:tcPr>
          <w:p>
            <w:pPr>
              <w:jc w:val="right"/>
              <w:ind w:right="553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135" w:right="239" w:bottom="1440" w:gutter="0" w:footer="0" w:header="0"/>
        </w:sectPr>
      </w:pPr>
    </w:p>
    <w:bookmarkStart w:id="60" w:name="page61"/>
    <w:bookmarkEnd w:id="60"/>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315" w:lineRule="exact"/>
        <w:rPr>
          <w:sz w:val="20"/>
          <w:szCs w:val="20"/>
          <w:color w:val="auto"/>
        </w:rPr>
      </w:pPr>
    </w:p>
    <w:p>
      <w:pPr>
        <w:ind w:left="560" w:hanging="552"/>
        <w:spacing w:after="0"/>
        <w:tabs>
          <w:tab w:leader="none" w:pos="5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Particulars</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 at</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4"/>
        </w:trPr>
        <w:tc>
          <w:tcPr>
            <w:tcW w:w="6960" w:type="dxa"/>
            <w:vAlign w:val="bottom"/>
          </w:tcPr>
          <w:p>
            <w:pPr>
              <w:spacing w:after="0"/>
              <w:rPr>
                <w:sz w:val="20"/>
                <w:szCs w:val="20"/>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June 30, 2018</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69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liability for appeals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1,698,026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Accrued compensation to staff</w:t>
            </w:r>
          </w:p>
        </w:tc>
        <w:tc>
          <w:tcPr>
            <w:tcW w:w="2180" w:type="dxa"/>
            <w:vAlign w:val="bottom"/>
          </w:tcPr>
          <w:p>
            <w:pPr>
              <w:jc w:val="right"/>
              <w:spacing w:after="0"/>
              <w:rPr>
                <w:sz w:val="20"/>
                <w:szCs w:val="20"/>
                <w:color w:val="auto"/>
              </w:rPr>
            </w:pPr>
            <w:r>
              <w:rPr>
                <w:rFonts w:ascii="Arial" w:cs="Arial" w:eastAsia="Arial" w:hAnsi="Arial"/>
                <w:sz w:val="18"/>
                <w:szCs w:val="18"/>
                <w:color w:val="auto"/>
              </w:rPr>
              <w:t>2,714,683</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1,955,279</w:t>
            </w:r>
          </w:p>
        </w:tc>
      </w:tr>
      <w:tr>
        <w:trPr>
          <w:trHeight w:val="27"/>
        </w:trPr>
        <w:tc>
          <w:tcPr>
            <w:tcW w:w="6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from customers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378,893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991,958</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Provision for expenses</w:t>
            </w:r>
          </w:p>
        </w:tc>
        <w:tc>
          <w:tcPr>
            <w:tcW w:w="2180" w:type="dxa"/>
            <w:vAlign w:val="bottom"/>
          </w:tcPr>
          <w:p>
            <w:pPr>
              <w:jc w:val="right"/>
              <w:spacing w:after="0"/>
              <w:rPr>
                <w:sz w:val="20"/>
                <w:szCs w:val="20"/>
                <w:color w:val="auto"/>
              </w:rPr>
            </w:pPr>
            <w:r>
              <w:rPr>
                <w:rFonts w:ascii="Arial" w:cs="Arial" w:eastAsia="Arial" w:hAnsi="Arial"/>
                <w:sz w:val="18"/>
                <w:szCs w:val="18"/>
                <w:color w:val="auto"/>
              </w:rPr>
              <w:t>2,153,051</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1,209,306</w:t>
            </w:r>
          </w:p>
        </w:tc>
      </w:tr>
      <w:tr>
        <w:trPr>
          <w:trHeight w:val="27"/>
        </w:trPr>
        <w:tc>
          <w:tcPr>
            <w:tcW w:w="6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to selling shareholders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106,706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523,782</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180" w:type="dxa"/>
            <w:vAlign w:val="bottom"/>
          </w:tcPr>
          <w:p>
            <w:pPr>
              <w:jc w:val="right"/>
              <w:spacing w:after="0"/>
              <w:rPr>
                <w:sz w:val="20"/>
                <w:szCs w:val="20"/>
                <w:color w:val="auto"/>
              </w:rPr>
            </w:pPr>
            <w:r>
              <w:rPr>
                <w:rFonts w:ascii="Arial" w:cs="Arial" w:eastAsia="Arial" w:hAnsi="Arial"/>
                <w:sz w:val="18"/>
                <w:szCs w:val="18"/>
                <w:color w:val="auto"/>
              </w:rPr>
              <w:t>1,037,910</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270,191</w:t>
            </w:r>
          </w:p>
        </w:tc>
      </w:tr>
      <w:tr>
        <w:trPr>
          <w:trHeight w:val="27"/>
        </w:trPr>
        <w:tc>
          <w:tcPr>
            <w:tcW w:w="6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 equalization reserve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147,387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120,995</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Others</w:t>
            </w:r>
          </w:p>
        </w:tc>
        <w:tc>
          <w:tcPr>
            <w:tcW w:w="2180" w:type="dxa"/>
            <w:vAlign w:val="bottom"/>
          </w:tcPr>
          <w:p>
            <w:pPr>
              <w:jc w:val="right"/>
              <w:spacing w:after="0"/>
              <w:rPr>
                <w:sz w:val="20"/>
                <w:szCs w:val="20"/>
                <w:color w:val="auto"/>
              </w:rPr>
            </w:pPr>
            <w:r>
              <w:rPr>
                <w:rFonts w:ascii="Arial" w:cs="Arial" w:eastAsia="Arial" w:hAnsi="Arial"/>
                <w:sz w:val="18"/>
                <w:szCs w:val="18"/>
                <w:color w:val="auto"/>
              </w:rPr>
              <w:t>238,599</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311,558</w:t>
            </w:r>
          </w:p>
        </w:tc>
      </w:tr>
      <w:tr>
        <w:trPr>
          <w:trHeight w:val="27"/>
        </w:trPr>
        <w:tc>
          <w:tcPr>
            <w:tcW w:w="69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8,777,229</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7,081,095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at June 30, 2018 accrued compensation to selling shareholders comprised of $106,706 and Nil payable to erstwhile shareholders of Clear Vision and SCIO Health Analytics (UK) Limited, respectively.</w:t>
      </w:r>
    </w:p>
    <w:p>
      <w:pPr>
        <w:spacing w:after="0" w:line="25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at December 31, 2017 accrued compensation to selling shareholders comprised of $185,373 and $338,409 payable to erstwhile shareholders of Clear Vision and SCIO Health Analytics (UK) Limited, respectively.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6640" w:type="dxa"/>
            <w:vAlign w:val="bottom"/>
          </w:tcPr>
          <w:p>
            <w:pPr>
              <w:ind w:left="240"/>
              <w:spacing w:after="0"/>
              <w:rPr>
                <w:sz w:val="20"/>
                <w:szCs w:val="20"/>
                <w:color w:val="auto"/>
              </w:rPr>
            </w:pPr>
            <w:r>
              <w:rPr>
                <w:rFonts w:ascii="Arial" w:cs="Arial" w:eastAsia="Arial" w:hAnsi="Arial"/>
                <w:sz w:val="18"/>
                <w:szCs w:val="18"/>
                <w:b w:val="1"/>
                <w:bCs w:val="1"/>
                <w:color w:val="auto"/>
              </w:rPr>
              <w:t>Long-term debt</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27"/>
        </w:trPr>
        <w:tc>
          <w:tcPr>
            <w:tcW w:w="320" w:type="dxa"/>
            <w:vAlign w:val="bottom"/>
          </w:tcPr>
          <w:p>
            <w:pPr>
              <w:spacing w:after="0"/>
              <w:rPr>
                <w:sz w:val="24"/>
                <w:szCs w:val="24"/>
                <w:color w:val="auto"/>
              </w:rPr>
            </w:pPr>
          </w:p>
        </w:tc>
        <w:tc>
          <w:tcPr>
            <w:tcW w:w="6640" w:type="dxa"/>
            <w:vAlign w:val="bottom"/>
          </w:tcPr>
          <w:p>
            <w:pPr>
              <w:ind w:left="100"/>
              <w:spacing w:after="0"/>
              <w:rPr>
                <w:sz w:val="20"/>
                <w:szCs w:val="20"/>
                <w:color w:val="auto"/>
              </w:rPr>
            </w:pPr>
            <w:r>
              <w:rPr>
                <w:rFonts w:ascii="Arial" w:cs="Arial" w:eastAsia="Arial" w:hAnsi="Arial"/>
                <w:sz w:val="18"/>
                <w:szCs w:val="18"/>
                <w:color w:val="auto"/>
              </w:rPr>
              <w:t>Long-term debt consists of the following:</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76"/>
        </w:trPr>
        <w:tc>
          <w:tcPr>
            <w:tcW w:w="3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As at</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4"/>
        </w:trPr>
        <w:tc>
          <w:tcPr>
            <w:tcW w:w="3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June 30, 2018</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6960" w:type="dxa"/>
            <w:vAlign w:val="bottom"/>
            <w:tcBorders>
              <w:bottom w:val="single" w:sz="8" w:color="CCEEFF"/>
            </w:tcBorders>
            <w:gridSpan w:val="2"/>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9"/>
        </w:trPr>
        <w:tc>
          <w:tcPr>
            <w:tcW w:w="6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Secured term loan from Silicon Valley Bank, interest at Prime Rate plus 2.25% payable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57"/>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10,929,660</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12,203,249</w:t>
            </w: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long-term debt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10,929,660</w:t>
            </w:r>
          </w:p>
        </w:tc>
        <w:tc>
          <w:tcPr>
            <w:tcW w:w="10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12,203,249</w:t>
            </w:r>
          </w:p>
        </w:tc>
      </w:tr>
      <w:tr>
        <w:trPr>
          <w:trHeight w:val="27"/>
        </w:trPr>
        <w:tc>
          <w:tcPr>
            <w:tcW w:w="696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installments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(1,980,000)</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(1,980,000)</w:t>
            </w:r>
          </w:p>
        </w:tc>
      </w:tr>
      <w:tr>
        <w:trPr>
          <w:trHeight w:val="257"/>
        </w:trPr>
        <w:tc>
          <w:tcPr>
            <w:tcW w:w="696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 excluding current installments</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8,949,660</w:t>
            </w:r>
          </w:p>
        </w:tc>
        <w:tc>
          <w:tcPr>
            <w:tcW w:w="100" w:type="dxa"/>
            <w:vAlign w:val="bottom"/>
            <w:tcBorders>
              <w:top w:val="single" w:sz="8" w:color="auto"/>
              <w:bottom w:val="single" w:sz="8" w:color="auto"/>
            </w:tcBorders>
          </w:tcPr>
          <w:p>
            <w:pPr>
              <w:spacing w:after="0"/>
              <w:rPr>
                <w:sz w:val="22"/>
                <w:szCs w:val="22"/>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10,223,249</w:t>
            </w:r>
          </w:p>
        </w:tc>
      </w:tr>
      <w:tr>
        <w:trPr>
          <w:trHeight w:val="20"/>
        </w:trPr>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In January 2016, the Group entered into a debt financing agreement with Silicon Valley Bank for $20,500,000 facility, comprising of a term loan of $16,500,000 and a revolving line of credit of $4,000,000. The term loan is repayable in consecutive equal monthly payments of principal in an amount equal to one percent (1.00%) of the term loan amount commencing on January 2016. Remaining balance amount shall be payable on the date of maturity, i.e., December 31, 2020. The term loan carries interest of Prime Rate plus 2.25%. The term loan is secured by the first priority perfected security interest in all the domestic assets of the Group, including IP. The aggregate maturities of long-term debt due for each of the fiscal years subsequent to June 30, 2018 are: $1,980,000 in 2019 and $8,243,249 in 2020.</w:t>
      </w:r>
    </w:p>
    <w:p>
      <w:pPr>
        <w:spacing w:after="0" w:line="201" w:lineRule="exact"/>
        <w:rPr>
          <w:sz w:val="20"/>
          <w:szCs w:val="20"/>
          <w:color w:val="auto"/>
        </w:rPr>
      </w:pPr>
    </w:p>
    <w:p>
      <w:pPr>
        <w:ind w:left="560" w:hanging="552"/>
        <w:spacing w:after="0"/>
        <w:tabs>
          <w:tab w:leader="none" w:pos="5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Adoption of ASU 2014-09 Topic 606, </w:t>
      </w:r>
      <w:r>
        <w:rPr>
          <w:rFonts w:ascii="Arial" w:cs="Arial" w:eastAsia="Arial" w:hAnsi="Arial"/>
          <w:sz w:val="18"/>
          <w:szCs w:val="18"/>
          <w:color w:val="auto"/>
        </w:rPr>
        <w:t>“</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1, 2018, the Group adopted Topic 606 using the cumulative- effect method and applied its guidance to those contracts which were not completed as at January 1, 2018. Results for reporting periods beginning after January 1, 2018 are presented under Topic 606, while prior period amounts are not adjusted and continue to be reported in accordance with our historical accounting under Topic 605. The Group recorded a net addition to opening equity of $1,781,396 as at January 1, 2018 being the cumulative impact of adopting Topic 606 net of tax, primarily due to recognition of revenue on contingent contracts related to audit and recovery services.</w:t>
      </w:r>
    </w:p>
    <w:p>
      <w:pPr>
        <w:sectPr>
          <w:pgSz w:w="11900" w:h="16838" w:orient="portrait"/>
          <w:cols w:equalWidth="0" w:num="1">
            <w:col w:w="11420"/>
          </w:cols>
          <w:pgMar w:left="240" w:top="13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5" w:right="239" w:bottom="1440" w:gutter="0" w:footer="0" w:header="0"/>
          <w:type w:val="continuous"/>
        </w:sectPr>
      </w:pPr>
    </w:p>
    <w:bookmarkStart w:id="61" w:name="page62"/>
    <w:bookmarkEnd w:id="61"/>
    <w:p>
      <w:pPr>
        <w:jc w:val="center"/>
        <w:spacing w:after="0" w:line="297" w:lineRule="auto"/>
        <w:rPr>
          <w:sz w:val="20"/>
          <w:szCs w:val="20"/>
          <w:color w:val="auto"/>
        </w:rPr>
      </w:pPr>
      <w:r>
        <w:rPr>
          <w:rFonts w:ascii="Arial" w:cs="Arial" w:eastAsia="Arial" w:hAnsi="Arial"/>
          <w:sz w:val="18"/>
          <w:szCs w:val="18"/>
          <w:b w:val="1"/>
          <w:bCs w:val="1"/>
          <w:color w:val="auto"/>
        </w:rPr>
        <w:t xml:space="preserve">SCIOinspire Holdings, Inc. and subsidiaries Notes to unaudited Consolidated Financial Statements </w:t>
      </w:r>
      <w:r>
        <w:rPr>
          <w:rFonts w:ascii="Arial" w:cs="Arial" w:eastAsia="Arial" w:hAnsi="Arial"/>
          <w:sz w:val="18"/>
          <w:szCs w:val="18"/>
          <w:color w:val="auto"/>
        </w:rPr>
        <w:t>(All amounts in United States Dollars except share data and as otherwise stated)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accounts receivable and contract liabilities from contracts with customers: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June 30, 2018</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75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6,077,673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6,667,643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1720" w:type="dxa"/>
            <w:vAlign w:val="bottom"/>
          </w:tcPr>
          <w:p>
            <w:pPr>
              <w:jc w:val="right"/>
              <w:spacing w:after="0"/>
              <w:rPr>
                <w:sz w:val="20"/>
                <w:szCs w:val="20"/>
                <w:color w:val="auto"/>
              </w:rPr>
            </w:pPr>
            <w:r>
              <w:rPr>
                <w:rFonts w:ascii="Arial" w:cs="Arial" w:eastAsia="Arial" w:hAnsi="Arial"/>
                <w:sz w:val="18"/>
                <w:szCs w:val="18"/>
                <w:color w:val="auto"/>
              </w:rPr>
              <w:t>13,846,227</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9,182,623</w:t>
            </w:r>
          </w:p>
        </w:tc>
      </w:tr>
      <w:tr>
        <w:trPr>
          <w:trHeight w:val="27"/>
        </w:trPr>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Contract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Advance from customers</w:t>
            </w:r>
          </w:p>
        </w:tc>
        <w:tc>
          <w:tcPr>
            <w:tcW w:w="1720" w:type="dxa"/>
            <w:vAlign w:val="bottom"/>
          </w:tcPr>
          <w:p>
            <w:pPr>
              <w:jc w:val="right"/>
              <w:spacing w:after="0"/>
              <w:rPr>
                <w:sz w:val="20"/>
                <w:szCs w:val="20"/>
                <w:color w:val="auto"/>
              </w:rPr>
            </w:pPr>
            <w:r>
              <w:rPr>
                <w:rFonts w:ascii="Arial" w:cs="Arial" w:eastAsia="Arial" w:hAnsi="Arial"/>
                <w:sz w:val="18"/>
                <w:szCs w:val="18"/>
                <w:color w:val="auto"/>
              </w:rPr>
              <w:t>378,893</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991,958</w:t>
            </w: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Unbilled revenue represents amounts not billed to customers. The Group has accrued the unbilled receivables for work performed in accordance with the terms of contracts with customers and considers no significant performance risk associated with its unbilled receivables.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Contract liabilities represent that portion of deferred revenue for which payments have been received in advance from customers and are included within current liabilities. Contract liabilities are recognized as revenue as (or when) we perform under the contract.</w:t>
      </w:r>
    </w:p>
    <w:p>
      <w:pPr>
        <w:spacing w:after="0" w:line="193" w:lineRule="exact"/>
        <w:rPr>
          <w:sz w:val="20"/>
          <w:szCs w:val="20"/>
          <w:color w:val="auto"/>
        </w:rPr>
      </w:pPr>
    </w:p>
    <w:p>
      <w:pPr>
        <w:ind w:left="560" w:hanging="552"/>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Merger of entities under common control</w:t>
      </w:r>
    </w:p>
    <w:p>
      <w:pPr>
        <w:spacing w:after="0" w:line="2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With effect from January 1, 2017, the Company’s subsidiaries Socrates, Inc. and Hospital Audit Locus, Inc. merged with SCIOinspire Corp. This has been treated as a transaction between entities under common control. Accordingly, the transfer of assets between entities under common control is accounted for at carrying values and does not have any impact on the unaudited consolidated financial statements.</w:t>
      </w:r>
    </w:p>
    <w:p>
      <w:pPr>
        <w:spacing w:after="0" w:line="204" w:lineRule="exact"/>
        <w:rPr>
          <w:sz w:val="20"/>
          <w:szCs w:val="20"/>
          <w:color w:val="auto"/>
        </w:rPr>
      </w:pPr>
    </w:p>
    <w:p>
      <w:pPr>
        <w:ind w:left="560" w:hanging="552"/>
        <w:spacing w:after="0"/>
        <w:tabs>
          <w:tab w:leader="none" w:pos="5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cash flows</w:t>
      </w:r>
    </w:p>
    <w:p>
      <w:pPr>
        <w:spacing w:after="0" w:line="24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Interest payments for the six months periods ended June 30, 2018 and June 30, 2017 were $379,943 and $431,102, respectively. Income taxes paid for these periods were $198,071 and $1,258,057, respectively.</w:t>
      </w:r>
    </w:p>
    <w:p>
      <w:pPr>
        <w:spacing w:after="0" w:line="193" w:lineRule="exact"/>
        <w:rPr>
          <w:sz w:val="20"/>
          <w:szCs w:val="20"/>
          <w:color w:val="auto"/>
        </w:rPr>
      </w:pPr>
    </w:p>
    <w:p>
      <w:pPr>
        <w:ind w:left="560" w:hanging="552"/>
        <w:spacing w:after="0"/>
        <w:tabs>
          <w:tab w:leader="none" w:pos="5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Group is subject to legal actions, administrative proceedings and claims which have arisen in the ordinary course of its business. The Group believes the resolution of these matters is not likely to have a material and adverse effect on the results of operations or the financial position of the Group. Legal costs incurred in connection with contingencies are expensed as incurred.</w:t>
      </w:r>
    </w:p>
    <w:p>
      <w:pPr>
        <w:spacing w:after="0" w:line="204" w:lineRule="exact"/>
        <w:rPr>
          <w:sz w:val="20"/>
          <w:szCs w:val="20"/>
          <w:color w:val="auto"/>
        </w:rPr>
      </w:pPr>
    </w:p>
    <w:p>
      <w:pPr>
        <w:ind w:left="560" w:hanging="552"/>
        <w:spacing w:after="0"/>
        <w:tabs>
          <w:tab w:leader="none" w:pos="5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Pursuant to an Agreement of Merger (‘Merger agreement’) dated April 28, 2018, by and among SCIOinspire Holdings, Inc. as (the Company), Angler Seller Representative LLC (as Shareholders’ Representative), ExlService.com, LLC (as Buyer), ExlService Cayman Merger Sub (as Merger Sub) and ExlService Holdings, Inc. (EXL), the Merger Sub was merged with and into the Company on July 1, 2018, with the Company continuing as the surviving entity and a wholly owned subsidiary of EXL.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merger consideration is $236,500,000, subject to certain post-closing adjustments as set forth in the Merger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99.3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387" w:lineRule="auto"/>
        <w:rPr>
          <w:sz w:val="20"/>
          <w:szCs w:val="20"/>
          <w:color w:val="auto"/>
        </w:rPr>
      </w:pPr>
      <w:r>
        <w:rPr>
          <w:rFonts w:ascii="Arial" w:cs="Arial" w:eastAsia="Arial" w:hAnsi="Arial"/>
          <w:sz w:val="17"/>
          <w:szCs w:val="17"/>
          <w:color w:val="auto"/>
        </w:rPr>
        <w:t>On July 1, 2018 (the “Acquisition Date”), ExlService Holdings, Inc. (the “Company” or “EXL”), through its wholly owned subsidiary ExlService.com, LLC (“Buyer”) and Buyer’s wholly owned subsidiary ExlService Cayman Merger Sub (“Merger Sub”), completed the acquisition of SCIOinspire Holdings Inc. (“SCIO”) through a merger (the “merger” or the “acquisition”) of Merger Sub with and into SCIO, with SCIO continuing as the surviving corporation and a wholly owned subsidiary of Buyer. The aggregate purchase consideration for the acquisition was $236,500, subject to certain post-closing adjustments and certain indemnifiable matters under the Agreement of Merger dated April 28, 2018 (the “Merger Agreement”). Immediately prior to the consummation of the merger, certain members of the senior management team of SCIO exchanged $4,080 in shares of SCIO for 69,459 newly-issued shares of restricted common stock of the Company in a private exchange. To finance the acquisition at Closing, the Company utilized its revolver credit facility in the amount of $233,000 and balance with available cash on hand.</w:t>
      </w:r>
    </w:p>
    <w:p>
      <w:pPr>
        <w:spacing w:after="0" w:line="179" w:lineRule="exact"/>
        <w:rPr>
          <w:sz w:val="20"/>
          <w:szCs w:val="20"/>
          <w:color w:val="auto"/>
        </w:rPr>
      </w:pPr>
    </w:p>
    <w:p>
      <w:pPr>
        <w:jc w:val="both"/>
        <w:ind w:firstLine="405"/>
        <w:spacing w:after="0" w:line="417" w:lineRule="auto"/>
        <w:rPr>
          <w:sz w:val="20"/>
          <w:szCs w:val="20"/>
          <w:color w:val="auto"/>
        </w:rPr>
      </w:pPr>
      <w:r>
        <w:rPr>
          <w:rFonts w:ascii="Arial" w:cs="Arial" w:eastAsia="Arial" w:hAnsi="Arial"/>
          <w:sz w:val="16"/>
          <w:szCs w:val="16"/>
          <w:color w:val="auto"/>
        </w:rPr>
        <w:t>The unaudited pro forma condensed combined balance sheet is presented as if the acquisition of SCIO had occurred on June 30, 2018. The unaudited pro forma condensed combined statement of operations for the year ended December 31, 2017 and for the six months ended June 30, 2018 illustrate the effect of the acquisition of SCIO had it occurred on January 1, 2017, and were derived from the historical audited consolidated statement of operations for SCIO for the year ended December 31, 2017 and the unaudited historical consolidated statement of operations for the six months ended June 30, 2018, combined with the Company’s historical audited consolidated statement of operations for the year ended December 31, 2017 and the unaudited consolidated statement of operations for the six months ended June 30, 2018, respectively, with merger-related adjustments reflected in each of the periods presented.</w:t>
      </w:r>
    </w:p>
    <w:p>
      <w:pPr>
        <w:spacing w:after="0" w:line="162" w:lineRule="exact"/>
        <w:rPr>
          <w:sz w:val="20"/>
          <w:szCs w:val="20"/>
          <w:color w:val="auto"/>
        </w:rPr>
      </w:pPr>
    </w:p>
    <w:p>
      <w:pPr>
        <w:jc w:val="both"/>
        <w:ind w:firstLine="405"/>
        <w:spacing w:after="0" w:line="363" w:lineRule="auto"/>
        <w:rPr>
          <w:sz w:val="20"/>
          <w:szCs w:val="20"/>
          <w:color w:val="auto"/>
        </w:rPr>
      </w:pPr>
      <w:r>
        <w:rPr>
          <w:rFonts w:ascii="Arial" w:cs="Arial" w:eastAsia="Arial" w:hAnsi="Arial"/>
          <w:sz w:val="18"/>
          <w:szCs w:val="18"/>
          <w:color w:val="auto"/>
        </w:rPr>
        <w:t>The unaudited pro forma condensed combined financial statements were prepared in accordance with the rules and regulations of the Securities and Exchange Commission ("SEC") and should not be considered indicative of the financial position or results of operations that would have occurred if the acquisition had been completed on the dates indicated, nor are they indicative of the future financial position or results of operations of the Company and SCIO following completion of the acquisition. In accordance with the rules and regulations of the SEC, the pro forma condensed combined statements of operations do not reflect the potential realization of cost savings, or restructuring, or other costs relating to the integration of SCIO, nor do they include any other items not expected to have a continuing impact on the combined results of the two companies. The historical consolidated financial information of the Company and SCIO has been adjusted in the unaudited pro forma condensed combined financial statements to give effect to pro forma events that are (1) directly attributable to the acquisition, (2) factually supportable, and (3) with respect to the statement of operations, expected to have a continuing impact on the combined results.</w:t>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05"/>
        <w:spacing w:after="0" w:line="360"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the accompanying notes thereto. In addition, the unaudited pro forma condensed combined financial information was based on, and should be read in conjunction with the:</w:t>
      </w:r>
    </w:p>
    <w:p>
      <w:pPr>
        <w:jc w:val="both"/>
        <w:ind w:left="660" w:hanging="328"/>
        <w:spacing w:after="0" w:line="36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Separate historical audited financial statements of the Company as of and for the year ended December 31, 2017, including related notes, as filed with the SEC in the Company’s Annual Report on Form 10-K as of and for the year ended December 31, 2017; and the historical unaudited financial statements as of and for the six months ended June 30, 2018, including related notes, as filed with the SEC in the Company’s Quarterly Report on Form 10-Q as of and for the six months ended June 30, 2018.</w:t>
      </w:r>
    </w:p>
    <w:p>
      <w:pPr>
        <w:jc w:val="both"/>
        <w:ind w:left="660" w:hanging="328"/>
        <w:spacing w:after="0" w:line="37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Separate historical audited financial statements of SCIO as of and for the year ended December 31, 2017, including related notes; and the historical unaudited financial statements as of and for the six months ended June 30, 2018, including related notes, which are attached as Exhibit 99.1 and Exhibit 99.2, respectively, to this Form 8-K/A.</w:t>
      </w:r>
    </w:p>
    <w:p>
      <w:pPr>
        <w:spacing w:after="0" w:line="183" w:lineRule="exact"/>
        <w:rPr>
          <w:sz w:val="20"/>
          <w:szCs w:val="20"/>
          <w:color w:val="auto"/>
        </w:rPr>
      </w:pPr>
    </w:p>
    <w:p>
      <w:pPr>
        <w:jc w:val="both"/>
        <w:ind w:firstLine="405"/>
        <w:spacing w:after="0" w:line="413" w:lineRule="auto"/>
        <w:rPr>
          <w:sz w:val="20"/>
          <w:szCs w:val="20"/>
          <w:color w:val="auto"/>
        </w:rPr>
      </w:pPr>
      <w:r>
        <w:rPr>
          <w:rFonts w:ascii="Arial" w:cs="Arial" w:eastAsia="Arial" w:hAnsi="Arial"/>
          <w:sz w:val="16"/>
          <w:szCs w:val="16"/>
          <w:color w:val="auto"/>
        </w:rPr>
        <w:t>The unaudited pro forma condensed combined financial information has been prepared using the pro forma effects of the acquisition method of accounting under Accounting Standards Codification ("ASC") Topic 805, "Business Combinations" ("ASC Topic 805") which requires, among other things, that assets acquired and liabilities assumed be recognized at their fair values, with limited exceptions. Transaction costs are not included as a component of the consideration transferred and are expensed as incurred. The excess of the consideration transferred over the estimated amounts of identifiable assets and liabilities of SCIO has been allocated to goodwill on a pro forma basis as of June 30, 2018. The process for estimating fair values in many cases requires the use of significant estimates and assumptions, including the estimation of future cash flows and the development of appropriate discount rates. The Company has developed its fair value estimates from a market participant perspective which could materially differ from entity specific assumptions. The Company’s judgments used in determining these estimates may materially impact the Company’s financial position or results from operations.</w:t>
      </w:r>
    </w:p>
    <w:p>
      <w:pPr>
        <w:spacing w:after="0" w:line="60" w:lineRule="exact"/>
        <w:rPr>
          <w:sz w:val="20"/>
          <w:szCs w:val="20"/>
          <w:color w:val="auto"/>
        </w:rPr>
      </w:pPr>
    </w:p>
    <w:p>
      <w:pPr>
        <w:jc w:val="both"/>
        <w:ind w:firstLine="405"/>
        <w:spacing w:after="0" w:line="369" w:lineRule="auto"/>
        <w:rPr>
          <w:sz w:val="20"/>
          <w:szCs w:val="20"/>
          <w:color w:val="auto"/>
        </w:rPr>
      </w:pPr>
      <w:r>
        <w:rPr>
          <w:rFonts w:ascii="Arial" w:cs="Arial" w:eastAsia="Arial" w:hAnsi="Arial"/>
          <w:sz w:val="18"/>
          <w:szCs w:val="18"/>
          <w:color w:val="auto"/>
        </w:rPr>
        <w:t>The finalization of the Company’s purchase accounting assessment may result in changes in the valuation of assets acquired and liabilities assumed which could have a material impact on the accompanying unaudited pro forma condensed combined financial statements. The Company will finalize the purchase price allocation as soon as practicable within the measurement period in accordance with ASC Topic 805 but in no event later than one year following the Acquisition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9"/>
              </w:rPr>
              <w:t>Pro Forma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SCIO</w:t>
            </w: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EXL</w:t>
            </w:r>
          </w:p>
        </w:tc>
        <w:tc>
          <w:tcPr>
            <w:tcW w:w="140" w:type="dxa"/>
            <w:vAlign w:val="bottom"/>
          </w:tcPr>
          <w:p>
            <w:pPr>
              <w:spacing w:after="0"/>
              <w:rPr>
                <w:sz w:val="17"/>
                <w:szCs w:val="17"/>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SCIO</w:t>
            </w:r>
            <w:r>
              <w:rPr>
                <w:rFonts w:ascii="Arial" w:cs="Arial" w:eastAsia="Arial" w:hAnsi="Arial"/>
                <w:sz w:val="25"/>
                <w:szCs w:val="25"/>
                <w:b w:val="1"/>
                <w:bCs w:val="1"/>
                <w:color w:val="auto"/>
                <w:w w:val="93"/>
                <w:vertAlign w:val="superscript"/>
              </w:rPr>
              <w:t>(1)</w:t>
            </w:r>
          </w:p>
        </w:tc>
        <w:tc>
          <w:tcPr>
            <w:tcW w:w="15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0"/>
              </w:rPr>
              <w:t>Reclassifications</w:t>
            </w:r>
            <w:r>
              <w:rPr>
                <w:rFonts w:ascii="Arial" w:cs="Arial" w:eastAsia="Arial" w:hAnsi="Arial"/>
                <w:sz w:val="25"/>
                <w:szCs w:val="25"/>
                <w:b w:val="1"/>
                <w:bCs w:val="1"/>
                <w:color w:val="auto"/>
                <w:w w:val="90"/>
                <w:vertAlign w:val="superscript"/>
              </w:rPr>
              <w:t>(2)</w:t>
            </w: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108"/>
        </w:trPr>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Adjusted</w:t>
            </w: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Note</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(A)</w:t>
            </w:r>
          </w:p>
        </w:tc>
        <w:tc>
          <w:tcPr>
            <w:tcW w:w="14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360" w:type="dxa"/>
            <w:vAlign w:val="bottom"/>
          </w:tcPr>
          <w:p>
            <w:pPr>
              <w:spacing w:after="0"/>
              <w:rPr>
                <w:sz w:val="9"/>
                <w:szCs w:val="9"/>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(A+D+E)</w:t>
            </w:r>
          </w:p>
        </w:tc>
        <w:tc>
          <w:tcPr>
            <w:tcW w:w="0" w:type="dxa"/>
            <w:vAlign w:val="bottom"/>
          </w:tcPr>
          <w:p>
            <w:pPr>
              <w:spacing w:after="0"/>
              <w:rPr>
                <w:sz w:val="1"/>
                <w:szCs w:val="1"/>
                <w:color w:val="auto"/>
              </w:rPr>
            </w:pPr>
          </w:p>
        </w:tc>
      </w:tr>
      <w:tr>
        <w:trPr>
          <w:trHeight w:val="126"/>
        </w:trPr>
        <w:tc>
          <w:tcPr>
            <w:tcW w:w="3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(D=B+C)</w:t>
            </w:r>
          </w:p>
        </w:tc>
        <w:tc>
          <w:tcPr>
            <w:tcW w:w="2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458,145</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Service income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41,060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277,750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24,771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24,771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7"/>
              </w:rPr>
              <w:t>6(a)</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302,700</w:t>
            </w:r>
          </w:p>
        </w:tc>
        <w:tc>
          <w:tcPr>
            <w:tcW w:w="0" w:type="dxa"/>
            <w:vAlign w:val="bottom"/>
          </w:tcPr>
          <w:p>
            <w:pPr>
              <w:spacing w:after="0"/>
              <w:rPr>
                <w:sz w:val="1"/>
                <w:szCs w:val="1"/>
                <w:color w:val="auto"/>
              </w:rPr>
            </w:pPr>
          </w:p>
        </w:tc>
      </w:tr>
      <w:tr>
        <w:trPr>
          <w:trHeight w:val="264"/>
        </w:trPr>
        <w:tc>
          <w:tcPr>
            <w:tcW w:w="34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(3)</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139,335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260"/>
              <w:spacing w:after="0" w:line="264" w:lineRule="exact"/>
              <w:rPr>
                <w:sz w:val="20"/>
                <w:szCs w:val="20"/>
                <w:color w:val="auto"/>
              </w:rPr>
            </w:pPr>
            <w:r>
              <w:rPr>
                <w:rFonts w:ascii="Arial" w:cs="Arial" w:eastAsia="Arial" w:hAnsi="Arial"/>
                <w:sz w:val="30"/>
                <w:szCs w:val="30"/>
                <w:b w:val="1"/>
                <w:bCs w:val="1"/>
                <w:color w:val="auto"/>
                <w:vertAlign w:val="subscript"/>
              </w:rPr>
              <w:t>NA</w:t>
            </w:r>
            <w:r>
              <w:rPr>
                <w:rFonts w:ascii="Arial" w:cs="Arial" w:eastAsia="Arial" w:hAnsi="Arial"/>
                <w:sz w:val="12"/>
                <w:szCs w:val="12"/>
                <w:b w:val="1"/>
                <w:bCs w:val="1"/>
                <w:color w:val="auto"/>
              </w:rPr>
              <w:t>(4)</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560"/>
              <w:spacing w:after="0" w:line="264" w:lineRule="exact"/>
              <w:rPr>
                <w:sz w:val="20"/>
                <w:szCs w:val="20"/>
                <w:color w:val="auto"/>
              </w:rPr>
            </w:pPr>
            <w:r>
              <w:rPr>
                <w:rFonts w:ascii="Arial" w:cs="Arial" w:eastAsia="Arial" w:hAnsi="Arial"/>
                <w:sz w:val="30"/>
                <w:szCs w:val="30"/>
                <w:b w:val="1"/>
                <w:bCs w:val="1"/>
                <w:color w:val="auto"/>
                <w:vertAlign w:val="subscript"/>
              </w:rPr>
              <w:t>NA</w:t>
            </w:r>
            <w:r>
              <w:rPr>
                <w:rFonts w:ascii="Arial" w:cs="Arial" w:eastAsia="Arial" w:hAnsi="Arial"/>
                <w:sz w:val="12"/>
                <w:szCs w:val="12"/>
                <w:b w:val="1"/>
                <w:bCs w:val="1"/>
                <w:color w:val="auto"/>
              </w:rPr>
              <w:t>(4)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155,445</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6(b)</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60,755</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6(c)</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33,081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6(d)</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28,158</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26,363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Transaction related costs</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107,095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2,934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121,994</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32,240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33,451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21"/>
                <w:szCs w:val="21"/>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6(e)</w:t>
            </w:r>
          </w:p>
        </w:tc>
        <w:tc>
          <w:tcPr>
            <w:tcW w:w="1000" w:type="dxa"/>
            <w:vAlign w:val="bottom"/>
          </w:tcPr>
          <w:p>
            <w:pPr>
              <w:jc w:val="right"/>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 expense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38,791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(6,730)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36,156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8"/>
                <w:szCs w:val="18"/>
                <w:color w:val="auto"/>
              </w:rPr>
              <w:t>6(f)</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Loss from equity-method investment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37,620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(4,340)</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35,937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Weighted-average number of shares used in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computing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34,479,202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6(g)</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34,580,447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35,222,838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6(g)</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35,335,967</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As per SCIO's unaudited consolidated financial statements for the six months ended June 30, 2018.</w:t>
      </w:r>
    </w:p>
    <w:p>
      <w:pPr>
        <w:spacing w:after="0" w:line="103" w:lineRule="exact"/>
        <w:rPr>
          <w:rFonts w:ascii="Arial" w:cs="Arial" w:eastAsia="Arial" w:hAnsi="Arial"/>
          <w:sz w:val="18"/>
          <w:szCs w:val="18"/>
          <w:i w:val="1"/>
          <w:iCs w:val="1"/>
          <w:color w:val="auto"/>
        </w:rPr>
      </w:pPr>
    </w:p>
    <w:p>
      <w:pPr>
        <w:ind w:right="20" w:firstLine="8"/>
        <w:spacing w:after="0" w:line="360" w:lineRule="auto"/>
        <w:tabs>
          <w:tab w:leader="none" w:pos="257"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The adjustments represent reclassification of items from SCIO's unaudited statement of operations for the six months ended June 30, 2018 to be consistent with EXL's presentation.</w:t>
      </w:r>
    </w:p>
    <w:p>
      <w:pPr>
        <w:ind w:left="260" w:hanging="252"/>
        <w:spacing w:after="0"/>
        <w:tabs>
          <w:tab w:leader="none" w:pos="2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of depreciation and amortization.</w:t>
      </w:r>
    </w:p>
    <w:p>
      <w:pPr>
        <w:spacing w:after="0" w:line="103" w:lineRule="exact"/>
        <w:rPr>
          <w:rFonts w:ascii="Arial" w:cs="Arial" w:eastAsia="Arial" w:hAnsi="Arial"/>
          <w:sz w:val="18"/>
          <w:szCs w:val="18"/>
          <w:i w:val="1"/>
          <w:iCs w:val="1"/>
          <w:color w:val="auto"/>
        </w:rPr>
      </w:pPr>
    </w:p>
    <w:p>
      <w:pPr>
        <w:ind w:firstLine="8"/>
        <w:spacing w:after="0" w:line="387" w:lineRule="auto"/>
        <w:tabs>
          <w:tab w:leader="none" w:pos="267"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SCIO's unaudited statement of operations for the six months ended June 30, 2018 do not present the measure of gross profit, accordingly a gross profit measure for SCIO and reclassifications have been intentionally left blank.</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See the accompanying notes to the unaudited pro forma condensed combined financial statements which are an integral part of these unaudited proforma financial statements.</w:t>
      </w:r>
    </w:p>
    <w:p>
      <w:pPr>
        <w:sectPr>
          <w:pgSz w:w="11900" w:h="16838" w:orient="portrait"/>
          <w:cols w:equalWidth="0" w:num="1">
            <w:col w:w="11420"/>
          </w:cols>
          <w:pgMar w:left="240" w:top="4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18"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Pro Forma</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SCIO</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EXL</w:t>
            </w:r>
          </w:p>
        </w:tc>
        <w:tc>
          <w:tcPr>
            <w:tcW w:w="140" w:type="dxa"/>
            <w:vAlign w:val="bottom"/>
          </w:tcPr>
          <w:p>
            <w:pPr>
              <w:spacing w:after="0"/>
              <w:rPr>
                <w:sz w:val="17"/>
                <w:szCs w:val="17"/>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SCIO</w:t>
            </w:r>
            <w:r>
              <w:rPr>
                <w:rFonts w:ascii="Arial" w:cs="Arial" w:eastAsia="Arial" w:hAnsi="Arial"/>
                <w:sz w:val="25"/>
                <w:szCs w:val="25"/>
                <w:b w:val="1"/>
                <w:bCs w:val="1"/>
                <w:color w:val="auto"/>
                <w:w w:val="90"/>
                <w:vertAlign w:val="superscript"/>
              </w:rPr>
              <w:t>(1)</w:t>
            </w:r>
          </w:p>
        </w:tc>
        <w:tc>
          <w:tcPr>
            <w:tcW w:w="1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0"/>
              </w:rPr>
              <w:t>Reclassifications</w:t>
            </w:r>
            <w:r>
              <w:rPr>
                <w:rFonts w:ascii="Arial" w:cs="Arial" w:eastAsia="Arial" w:hAnsi="Arial"/>
                <w:sz w:val="25"/>
                <w:szCs w:val="25"/>
                <w:b w:val="1"/>
                <w:bCs w:val="1"/>
                <w:color w:val="auto"/>
                <w:w w:val="90"/>
                <w:vertAlign w:val="superscript"/>
              </w:rPr>
              <w:t>(2)</w:t>
            </w: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w:t>
            </w: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vMerge w:val="restart"/>
          </w:tcPr>
          <w:p>
            <w:pPr>
              <w:jc w:val="right"/>
              <w:ind w:right="480"/>
              <w:spacing w:after="0"/>
              <w:rPr>
                <w:sz w:val="20"/>
                <w:szCs w:val="20"/>
                <w:color w:val="auto"/>
              </w:rPr>
            </w:pPr>
            <w:r>
              <w:rPr>
                <w:rFonts w:ascii="Arial" w:cs="Arial" w:eastAsia="Arial" w:hAnsi="Arial"/>
                <w:sz w:val="18"/>
                <w:szCs w:val="18"/>
                <w:b w:val="1"/>
                <w:bCs w:val="1"/>
                <w:color w:val="auto"/>
              </w:rPr>
              <w:t>Note</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(A)</w:t>
            </w:r>
          </w:p>
        </w:tc>
        <w:tc>
          <w:tcPr>
            <w:tcW w:w="140" w:type="dxa"/>
            <w:vAlign w:val="bottom"/>
          </w:tcPr>
          <w:p>
            <w:pPr>
              <w:spacing w:after="0"/>
              <w:rPr>
                <w:sz w:val="9"/>
                <w:szCs w:val="9"/>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360" w:type="dxa"/>
            <w:vAlign w:val="bottom"/>
          </w:tcPr>
          <w:p>
            <w:pPr>
              <w:spacing w:after="0"/>
              <w:rPr>
                <w:sz w:val="9"/>
                <w:szCs w:val="9"/>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(A+D+E)</w:t>
            </w:r>
          </w:p>
        </w:tc>
        <w:tc>
          <w:tcPr>
            <w:tcW w:w="0" w:type="dxa"/>
            <w:vAlign w:val="bottom"/>
          </w:tcPr>
          <w:p>
            <w:pPr>
              <w:spacing w:after="0"/>
              <w:rPr>
                <w:sz w:val="1"/>
                <w:szCs w:val="1"/>
                <w:color w:val="auto"/>
              </w:rPr>
            </w:pPr>
          </w:p>
        </w:tc>
      </w:tr>
      <w:tr>
        <w:trPr>
          <w:trHeight w:val="126"/>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(D=B+C)</w:t>
            </w:r>
          </w:p>
        </w:tc>
        <w:tc>
          <w:tcPr>
            <w:tcW w:w="2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834,158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Service income</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71,848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(71,848)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(3)</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495,586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45,933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45,933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7"/>
              </w:rPr>
              <w:t>6(a)</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541,880</w:t>
            </w: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(3)</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266,724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240"/>
              <w:spacing w:after="0" w:line="264" w:lineRule="exact"/>
              <w:rPr>
                <w:sz w:val="20"/>
                <w:szCs w:val="20"/>
                <w:color w:val="auto"/>
              </w:rPr>
            </w:pPr>
            <w:r>
              <w:rPr>
                <w:rFonts w:ascii="Arial" w:cs="Arial" w:eastAsia="Arial" w:hAnsi="Arial"/>
                <w:sz w:val="30"/>
                <w:szCs w:val="30"/>
                <w:b w:val="1"/>
                <w:bCs w:val="1"/>
                <w:color w:val="auto"/>
                <w:vertAlign w:val="subscript"/>
              </w:rPr>
              <w:t>NA</w:t>
            </w:r>
            <w:r>
              <w:rPr>
                <w:rFonts w:ascii="Arial" w:cs="Arial" w:eastAsia="Arial" w:hAnsi="Arial"/>
                <w:sz w:val="12"/>
                <w:szCs w:val="12"/>
                <w:b w:val="1"/>
                <w:bCs w:val="1"/>
                <w:color w:val="auto"/>
              </w:rPr>
              <w:t>(4)</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540"/>
              <w:spacing w:after="0" w:line="264" w:lineRule="exact"/>
              <w:rPr>
                <w:sz w:val="20"/>
                <w:szCs w:val="20"/>
                <w:color w:val="auto"/>
              </w:rPr>
            </w:pPr>
            <w:r>
              <w:rPr>
                <w:rFonts w:ascii="Arial" w:cs="Arial" w:eastAsia="Arial" w:hAnsi="Arial"/>
                <w:sz w:val="30"/>
                <w:szCs w:val="30"/>
                <w:b w:val="1"/>
                <w:bCs w:val="1"/>
                <w:color w:val="auto"/>
                <w:vertAlign w:val="subscript"/>
              </w:rPr>
              <w:t>NA</w:t>
            </w:r>
            <w:r>
              <w:rPr>
                <w:rFonts w:ascii="Arial" w:cs="Arial" w:eastAsia="Arial" w:hAnsi="Arial"/>
                <w:sz w:val="12"/>
                <w:szCs w:val="12"/>
                <w:b w:val="1"/>
                <w:bCs w:val="1"/>
                <w:color w:val="auto"/>
              </w:rPr>
              <w:t>(4)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292,278</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6(b)</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112,535</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6,843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6(c)</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60,476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6(d)</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53,920</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Salaries and employee benefits</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47,591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(47,591)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w w:val="95"/>
              </w:rPr>
              <w:t>Compensation to selling shareholders</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loss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194,499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71,956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(46,017)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11,072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231,510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60,768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Foreign exchange gain/(loss), net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7"/>
              </w:rPr>
              <w:t>6(e)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11,874</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(16,815)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67,255</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21"/>
                <w:szCs w:val="21"/>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color w:val="auto"/>
                <w:w w:val="96"/>
              </w:rPr>
              <w:t>6(f)</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22,917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48,888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(3,413)</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44,338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Weighted-average number of shares used 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computing 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33,897,916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6(g)</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33,979,928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35,110,210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6(g)</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35,214,913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As per SCIO's audited consolidated financial statements for the year ended December 31, 2017.</w:t>
      </w:r>
    </w:p>
    <w:p>
      <w:pPr>
        <w:spacing w:after="0" w:line="103" w:lineRule="exact"/>
        <w:rPr>
          <w:rFonts w:ascii="Arial" w:cs="Arial" w:eastAsia="Arial" w:hAnsi="Arial"/>
          <w:sz w:val="18"/>
          <w:szCs w:val="18"/>
          <w:i w:val="1"/>
          <w:iCs w:val="1"/>
          <w:color w:val="auto"/>
        </w:rPr>
      </w:pPr>
    </w:p>
    <w:p>
      <w:pPr>
        <w:ind w:firstLine="8"/>
        <w:spacing w:after="0" w:line="360" w:lineRule="auto"/>
        <w:tabs>
          <w:tab w:leader="none" w:pos="2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The adjustments represent reclassification of items of SCIO's audited statement of operations for the year ended December 31, 2017 to be consistent with EXL's presentation.</w:t>
      </w:r>
    </w:p>
    <w:p>
      <w:pPr>
        <w:ind w:left="260" w:hanging="252"/>
        <w:spacing w:after="0"/>
        <w:tabs>
          <w:tab w:leader="none" w:pos="2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of depreciation and amortization.</w:t>
      </w:r>
    </w:p>
    <w:p>
      <w:pPr>
        <w:spacing w:after="0" w:line="103" w:lineRule="exact"/>
        <w:rPr>
          <w:rFonts w:ascii="Arial" w:cs="Arial" w:eastAsia="Arial" w:hAnsi="Arial"/>
          <w:sz w:val="18"/>
          <w:szCs w:val="18"/>
          <w:i w:val="1"/>
          <w:iCs w:val="1"/>
          <w:color w:val="auto"/>
        </w:rPr>
      </w:pPr>
    </w:p>
    <w:p>
      <w:pPr>
        <w:ind w:firstLine="8"/>
        <w:spacing w:after="0" w:line="387" w:lineRule="auto"/>
        <w:tabs>
          <w:tab w:leader="none" w:pos="277"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SCIO's audited statement of operations for the year ended December 31, 2017 do not present the measure of gross profit, accordingly a gross profit measure for SCIO and reclassifications have been intentionally left blank.</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See the accompanying notes to the unaudited pro forma condensed combined financial statements which are an integral part of these unaudited proforma financial statements.</w:t>
      </w:r>
    </w:p>
    <w:p>
      <w:pPr>
        <w:sectPr>
          <w:pgSz w:w="11900" w:h="16838" w:orient="portrait"/>
          <w:cols w:equalWidth="0" w:num="1">
            <w:col w:w="11420"/>
          </w:cols>
          <w:pgMar w:left="240" w:top="4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18"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Pro Forma</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SCIO</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rPr>
              <w:t>EXL</w:t>
            </w:r>
          </w:p>
        </w:tc>
        <w:tc>
          <w:tcPr>
            <w:tcW w:w="160" w:type="dxa"/>
            <w:vAlign w:val="bottom"/>
          </w:tcPr>
          <w:p>
            <w:pPr>
              <w:spacing w:after="0"/>
              <w:rPr>
                <w:sz w:val="17"/>
                <w:szCs w:val="17"/>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SCIO</w:t>
            </w:r>
            <w:r>
              <w:rPr>
                <w:rFonts w:ascii="Arial" w:cs="Arial" w:eastAsia="Arial" w:hAnsi="Arial"/>
                <w:sz w:val="25"/>
                <w:szCs w:val="25"/>
                <w:b w:val="1"/>
                <w:bCs w:val="1"/>
                <w:color w:val="auto"/>
                <w:w w:val="93"/>
                <w:vertAlign w:val="superscript"/>
              </w:rPr>
              <w:t>(1)</w:t>
            </w:r>
          </w:p>
        </w:tc>
        <w:tc>
          <w:tcPr>
            <w:tcW w:w="15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9"/>
              </w:rPr>
              <w:t>Reclassifications</w:t>
            </w:r>
            <w:r>
              <w:rPr>
                <w:rFonts w:ascii="Arial" w:cs="Arial" w:eastAsia="Arial" w:hAnsi="Arial"/>
                <w:sz w:val="25"/>
                <w:szCs w:val="25"/>
                <w:b w:val="1"/>
                <w:bCs w:val="1"/>
                <w:color w:val="auto"/>
                <w:w w:val="89"/>
                <w:vertAlign w:val="superscript"/>
              </w:rPr>
              <w:t>(2)</w:t>
            </w: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Adjustments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Note</w:t>
            </w: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Note</w:t>
            </w: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rPr>
              <w:t>(A)</w:t>
            </w:r>
          </w:p>
        </w:tc>
        <w:tc>
          <w:tcPr>
            <w:tcW w:w="160" w:type="dxa"/>
            <w:vAlign w:val="bottom"/>
          </w:tcPr>
          <w:p>
            <w:pPr>
              <w:spacing w:after="0"/>
              <w:rPr>
                <w:sz w:val="9"/>
                <w:szCs w:val="9"/>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(B)</w:t>
            </w:r>
          </w:p>
        </w:tc>
        <w:tc>
          <w:tcPr>
            <w:tcW w:w="360" w:type="dxa"/>
            <w:vAlign w:val="bottom"/>
          </w:tcPr>
          <w:p>
            <w:pPr>
              <w:spacing w:after="0"/>
              <w:rPr>
                <w:sz w:val="9"/>
                <w:szCs w:val="9"/>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w:t>
            </w: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(A+D+E)</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(D=B+C)</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6(h)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85,677</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149,045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149,045</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7(a)</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Cash received on behalf of</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customers</w:t>
            </w:r>
          </w:p>
        </w:tc>
        <w:tc>
          <w:tcPr>
            <w:tcW w:w="2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7(a)</w:t>
            </w: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7(b)</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167,023</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Unbilled revenue</w:t>
            </w: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7(b)</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7(c)</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Advance income tax, net</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7(c)</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6(i)</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426,734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34,987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34,987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(8,352)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453,369</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7(d)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69,574</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21"/>
                <w:szCs w:val="2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7(d)</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75,113</w:t>
            </w:r>
          </w:p>
        </w:tc>
        <w:tc>
          <w:tcPr>
            <w:tcW w:w="100" w:type="dxa"/>
            <w:vAlign w:val="bottom"/>
          </w:tcPr>
          <w:p>
            <w:pPr>
              <w:spacing w:after="0"/>
              <w:rPr>
                <w:sz w:val="21"/>
                <w:szCs w:val="2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6(j)</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124,070</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135,704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6(k)</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354,196</w:t>
            </w:r>
          </w:p>
        </w:tc>
        <w:tc>
          <w:tcPr>
            <w:tcW w:w="0" w:type="dxa"/>
            <w:vAlign w:val="bottom"/>
          </w:tcPr>
          <w:p>
            <w:pPr>
              <w:spacing w:after="0"/>
              <w:rPr>
                <w:sz w:val="1"/>
                <w:szCs w:val="1"/>
                <w:color w:val="auto"/>
              </w:rPr>
            </w:pP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6(l)</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37,782</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equity affiliate</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57"/>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790,263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65,407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65,407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202,764</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1,058,434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418" w:right="2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Pro Forma</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EXL</w:t>
            </w:r>
          </w:p>
        </w:tc>
        <w:tc>
          <w:tcPr>
            <w:tcW w:w="120" w:type="dxa"/>
            <w:vAlign w:val="bottom"/>
          </w:tcPr>
          <w:p>
            <w:pPr>
              <w:spacing w:after="0"/>
              <w:rPr>
                <w:sz w:val="18"/>
                <w:szCs w:val="18"/>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SCIO</w:t>
            </w:r>
            <w:r>
              <w:rPr>
                <w:rFonts w:ascii="Arial" w:cs="Arial" w:eastAsia="Arial" w:hAnsi="Arial"/>
                <w:sz w:val="25"/>
                <w:szCs w:val="25"/>
                <w:b w:val="1"/>
                <w:bCs w:val="1"/>
                <w:color w:val="auto"/>
                <w:w w:val="93"/>
                <w:vertAlign w:val="superscript"/>
              </w:rPr>
              <w:t>(1)</w:t>
            </w:r>
          </w:p>
        </w:tc>
        <w:tc>
          <w:tcPr>
            <w:tcW w:w="15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0"/>
              </w:rPr>
              <w:t>Reclassifications</w:t>
            </w:r>
            <w:r>
              <w:rPr>
                <w:rFonts w:ascii="Arial" w:cs="Arial" w:eastAsia="Arial" w:hAnsi="Arial"/>
                <w:sz w:val="25"/>
                <w:szCs w:val="25"/>
                <w:b w:val="1"/>
                <w:bCs w:val="1"/>
                <w:color w:val="auto"/>
                <w:w w:val="90"/>
                <w:vertAlign w:val="superscript"/>
              </w:rPr>
              <w:t>(2)</w:t>
            </w:r>
          </w:p>
        </w:tc>
        <w:tc>
          <w:tcPr>
            <w:tcW w:w="12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SCIO</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95"/>
        </w:trPr>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8"/>
              </w:rPr>
              <w:t>Adjusted</w:t>
            </w:r>
          </w:p>
        </w:tc>
        <w:tc>
          <w:tcPr>
            <w:tcW w:w="100" w:type="dxa"/>
            <w:vAlign w:val="bottom"/>
          </w:tcPr>
          <w:p>
            <w:pPr>
              <w:spacing w:after="0"/>
              <w:rPr>
                <w:sz w:val="8"/>
                <w:szCs w:val="8"/>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Note</w:t>
            </w: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vMerge w:val="restart"/>
          </w:tcPr>
          <w:p>
            <w:pPr>
              <w:jc w:val="right"/>
              <w:ind w:right="310"/>
              <w:spacing w:after="0"/>
              <w:rPr>
                <w:sz w:val="20"/>
                <w:szCs w:val="20"/>
                <w:color w:val="auto"/>
              </w:rPr>
            </w:pPr>
            <w:r>
              <w:rPr>
                <w:rFonts w:ascii="Arial" w:cs="Arial" w:eastAsia="Arial" w:hAnsi="Arial"/>
                <w:sz w:val="18"/>
                <w:szCs w:val="18"/>
                <w:b w:val="1"/>
                <w:bCs w:val="1"/>
                <w:color w:val="auto"/>
              </w:rPr>
              <w:t>Note</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5"/>
              </w:rPr>
              <w:t>(A)</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360" w:type="dxa"/>
            <w:vAlign w:val="bottom"/>
          </w:tcPr>
          <w:p>
            <w:pPr>
              <w:spacing w:after="0"/>
              <w:rPr>
                <w:sz w:val="10"/>
                <w:szCs w:val="1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(A+D+E)</w:t>
            </w: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(D=B+C)</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Current portion of long-term</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10,318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900" w:type="dxa"/>
            <w:vAlign w:val="bottom"/>
            <w:gridSpan w:val="3"/>
          </w:tcPr>
          <w:p>
            <w:pPr>
              <w:jc w:val="center"/>
              <w:ind w:right="150"/>
              <w:spacing w:after="0"/>
              <w:rPr>
                <w:sz w:val="20"/>
                <w:szCs w:val="20"/>
                <w:color w:val="auto"/>
              </w:rPr>
            </w:pPr>
            <w:r>
              <w:rPr>
                <w:rFonts w:ascii="Arial" w:cs="Arial" w:eastAsia="Arial" w:hAnsi="Arial"/>
                <w:sz w:val="18"/>
                <w:szCs w:val="18"/>
                <w:color w:val="auto"/>
                <w:w w:val="91"/>
              </w:rPr>
              <w:t>6(m)</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10,318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7(e)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Accrued employee cost</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33,338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7(e)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36,053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Accrued expenses and other current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7(e)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3"/>
              </w:rPr>
              <w:t>6(n)</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66,229</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Current portion of capital lease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7(e)</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Subrogation services obligations</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7(e)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Overpayment services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7(e)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119,637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14,098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130,454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224,050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1"/>
              </w:rPr>
              <w:t>6(m)</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290,326</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4"/>
              </w:rPr>
              <w:t>Capital lease obligations, less current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portion</w:t>
            </w: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7(f)</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19,204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3"/>
              </w:rPr>
              <w:t>6(o)</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Liability for employee benefits</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7(f)</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204,784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25,696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238,395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468,875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900" w:type="dxa"/>
            <w:vAlign w:val="bottom"/>
            <w:gridSpan w:val="3"/>
          </w:tcPr>
          <w:p>
            <w:pPr>
              <w:jc w:val="center"/>
              <w:ind w:right="150"/>
              <w:spacing w:after="0"/>
              <w:rPr>
                <w:sz w:val="20"/>
                <w:szCs w:val="20"/>
                <w:color w:val="auto"/>
              </w:rPr>
            </w:pPr>
            <w:r>
              <w:rPr>
                <w:rFonts w:ascii="Arial" w:cs="Arial" w:eastAsia="Arial" w:hAnsi="Arial"/>
                <w:sz w:val="18"/>
                <w:szCs w:val="18"/>
                <w:color w:val="auto"/>
                <w:w w:val="93"/>
              </w:rPr>
              <w:t>6(p)</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3"/>
              </w:rPr>
              <w:t>6(p)</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334,643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32,235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(28,155)</w:t>
            </w:r>
          </w:p>
        </w:tc>
        <w:tc>
          <w:tcPr>
            <w:tcW w:w="100" w:type="dxa"/>
            <w:vAlign w:val="bottom"/>
          </w:tcPr>
          <w:p>
            <w:pPr>
              <w:spacing w:after="0"/>
              <w:rPr>
                <w:sz w:val="21"/>
                <w:szCs w:val="21"/>
                <w:color w:val="auto"/>
              </w:rPr>
            </w:pPr>
          </w:p>
        </w:tc>
        <w:tc>
          <w:tcPr>
            <w:tcW w:w="900" w:type="dxa"/>
            <w:vAlign w:val="bottom"/>
            <w:gridSpan w:val="3"/>
          </w:tcPr>
          <w:p>
            <w:pPr>
              <w:jc w:val="center"/>
              <w:ind w:right="150"/>
              <w:spacing w:after="0"/>
              <w:rPr>
                <w:sz w:val="20"/>
                <w:szCs w:val="20"/>
                <w:color w:val="auto"/>
              </w:rPr>
            </w:pPr>
            <w:r>
              <w:rPr>
                <w:rFonts w:ascii="Arial" w:cs="Arial" w:eastAsia="Arial" w:hAnsi="Arial"/>
                <w:sz w:val="18"/>
                <w:szCs w:val="18"/>
                <w:color w:val="auto"/>
                <w:w w:val="93"/>
              </w:rPr>
              <w:t>6(q)</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338,723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465,138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7(g)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2"/>
              </w:rPr>
              <w:t>6(r)</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465,138</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Accumulated surplus</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7(g)</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center"/>
              <w:ind w:right="150"/>
              <w:spacing w:after="0"/>
              <w:rPr>
                <w:sz w:val="20"/>
                <w:szCs w:val="20"/>
                <w:color w:val="auto"/>
              </w:rPr>
            </w:pPr>
            <w:r>
              <w:rPr>
                <w:rFonts w:ascii="Arial" w:cs="Arial" w:eastAsia="Arial" w:hAnsi="Arial"/>
                <w:sz w:val="18"/>
                <w:szCs w:val="18"/>
                <w:color w:val="auto"/>
                <w:w w:val="92"/>
              </w:rPr>
              <w:t>6(r)</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(87,621)</w:t>
            </w:r>
          </w:p>
        </w:tc>
        <w:tc>
          <w:tcPr>
            <w:tcW w:w="0" w:type="dxa"/>
            <w:vAlign w:val="bottom"/>
          </w:tcPr>
          <w:p>
            <w:pPr>
              <w:spacing w:after="0"/>
              <w:rPr>
                <w:sz w:val="1"/>
                <w:szCs w:val="1"/>
                <w:color w:val="auto"/>
              </w:rPr>
            </w:pPr>
          </w:p>
        </w:tc>
      </w:tr>
      <w:tr>
        <w:trPr>
          <w:trHeight w:val="205"/>
        </w:trPr>
        <w:tc>
          <w:tcPr>
            <w:tcW w:w="28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Total including shares held in</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treasury</w:t>
            </w: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712,198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39,711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39,711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(35,631)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716,278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Treasury stock</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(126,952)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(126,952)</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585,246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39,711</w:t>
            </w:r>
          </w:p>
        </w:tc>
        <w:tc>
          <w:tcPr>
            <w:tcW w:w="12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39,711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(35,631)</w:t>
            </w:r>
          </w:p>
        </w:tc>
        <w:tc>
          <w:tcPr>
            <w:tcW w:w="860" w:type="dxa"/>
            <w:vAlign w:val="bottom"/>
            <w:gridSpan w:val="3"/>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589,326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585,479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39,711</w:t>
            </w:r>
          </w:p>
        </w:tc>
        <w:tc>
          <w:tcPr>
            <w:tcW w:w="12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39,711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(35,631)</w:t>
            </w:r>
          </w:p>
        </w:tc>
        <w:tc>
          <w:tcPr>
            <w:tcW w:w="860" w:type="dxa"/>
            <w:vAlign w:val="bottom"/>
            <w:gridSpan w:val="3"/>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589,559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790,263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65,407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65,407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202,764</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1,058,434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As per SCIO's unaudited consolidated financial statements as of June 30, 2018.</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The adjustments represent reclassification of items from SCIO's unaudited balance sheet as of June 30, 2018 to be consistent with EXL's presentation.</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See the accompanying notes to the unaudited pro forma condensed combined financial statements which are an integral part of these unaudited proforma financial statements.</w:t>
      </w:r>
    </w:p>
    <w:p>
      <w:pPr>
        <w:sectPr>
          <w:pgSz w:w="11900" w:h="16838" w:orient="portrait"/>
          <w:cols w:equalWidth="0" w:num="1">
            <w:col w:w="11420"/>
          </w:cols>
          <w:pgMar w:left="240" w:top="4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18"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95" w:lineRule="exact"/>
        <w:rPr>
          <w:sz w:val="20"/>
          <w:szCs w:val="20"/>
          <w:color w:val="auto"/>
        </w:rPr>
      </w:pPr>
    </w:p>
    <w:p>
      <w:pPr>
        <w:ind w:left="500" w:hanging="411"/>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July 2, 2018, ExlService Holdings, Inc. (the “Company” or “EXL”) filed a Current Report on Form 8-K with the Securities and Exchange Commission (the “SEC”) reporting that on July 1, 2018 (the "Acquisition Date"), the Company completed the acquisition (the “merger” or the “acquisition”) of SCIOinspire Holdings Inc. (“SCIO”), pursuant to the terms of the Agreement of Merger dated April 28, 2018 (the "Merger Agreement") among the Company; SCIO, a West Hartford CT-based corporation; ExlService.com, LLC (“EXL LLC”), a Delaware corporation and a wholly owned subsidiary of the Company; ExlService Cayman Merger Sub (“Merger Sub”), a Cayman Island corporation and a wholly owned transitory subsidiary of EXL LLC; and Angler Seller Shareholder Representative LLC, a limited liability company as representative of the equity holders of SCIO and certain indemnifiable matters under the Agreement of Merger (“Merger Agreement”). The aggregate purchase consideration for the acquisition was $236,500, subject to certain post-closing adjustments. Immediately prior to the consummation of the merger, certain members of the senior management team of SCIO exchanged $4,080 in shares of SCIO for 69,459 newly-issued shares of restricted common stock of the Company in a private exchange. To finance the acquisition at Closing, the Company utilized its revolver credit facility in the amount of $233,000 and balance with available cash on hand.</w:t>
      </w:r>
    </w:p>
    <w:p>
      <w:pPr>
        <w:spacing w:after="0" w:line="174" w:lineRule="exact"/>
        <w:rPr>
          <w:sz w:val="20"/>
          <w:szCs w:val="20"/>
          <w:color w:val="auto"/>
        </w:rPr>
      </w:pPr>
    </w:p>
    <w:p>
      <w:pPr>
        <w:ind w:left="500" w:hanging="330"/>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acquisition will be accounted for under the acquisition method of accounting in accordance with Accounting Standards Codification ("ASC") Topic 805, "Business Combinations" ("ASC Topic 805"). The Company is accounting for the acquisition by using its historical information and accounting policies and adding the assets and liabilities of SCIO, as applied on a pro forma basis as of June 30, 2018, at their respective preliminary fair values. Further, and in accordance with ASC Topic 805, the accounting policies of SCIO have been conformed to those of the Company in determining the results of operations and the amounts of assets and liabilities to be fair valued. The assets and liabilities of SCIO have been measured at their preliminary fair value based on various assumptions that the Company’s management believes are reasonable utilizing information as of the Acquisition Date.</w:t>
      </w:r>
    </w:p>
    <w:p>
      <w:pPr>
        <w:spacing w:after="0" w:line="16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process for measuring the fair value of identifiable intangible assets, liabilities and certain tangible assets requires the use of significant assumptions, including estimates of future cash flows and appropriate discount rates. The excess of the purchase price over the preliminary fair value of SCIO's identifiable assets acquired and liabilities assumed, on a pro forma basis as of June 30, 2018 was allocated to goodwill in accordance with ASC Topic 805.</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purposes of measuring the fair value of the SCIO's assets acquired and liabilities assumed, as reflected in the unaudited pro forma condensed combined financial statements, the Company used the guidance in ASC Topic 820, “Fair Value Measurement and Disclosure” ("ASC Topic 820"), which establishes a framework for measuring fair values. ASC Topic 820 defines fair value as the price that would be received to sell an asset or paid to transfer a liability in an orderly transaction between market participants at the measurement date (an exit price). Market participants are buyers and sellers in the principal (most advantageous) market for the asset or liability. Additionally, under ASC Topic 820, fair value measurements for an asset assume the highest and best use of that asset by market participants.</w:t>
      </w:r>
    </w:p>
    <w:p>
      <w:pPr>
        <w:spacing w:after="0" w:line="189" w:lineRule="exact"/>
        <w:rPr>
          <w:sz w:val="20"/>
          <w:szCs w:val="20"/>
          <w:color w:val="auto"/>
        </w:rPr>
      </w:pPr>
    </w:p>
    <w:p>
      <w:pPr>
        <w:ind w:left="420" w:hanging="331"/>
        <w:spacing w:after="0"/>
        <w:tabs>
          <w:tab w:leader="none" w:pos="4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pro forma condensed combined financial statements reflect adjustments to conform the results of SCIO to the accounting policies of the Company. Differences between the respective accounting policies have not been significant requiring any material adjustment to the unaudited pro forma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1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9"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Consideration Transferred</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noted in Note 1, the agreed upon purchase price for the acquisition was $236,500. The preliminary estimated aggregate purchase consideration is expected to total $245,133, including cash and cash equivalents acquired and subject to certain post-closing adjustments. Immediately prior to the consummation of the merger, certain members of the senior management team of SCIO exchanged $4,080 in shares of SCIO for 69,459 newly-issued shares aggregate of restricted common stock of the Company in a private exchange. To finance the acquisition at Closing, the Company utilized its revolver credit facility in the amount of $233,000 and balance with available cash on hand.</w:t>
      </w:r>
    </w:p>
    <w:p>
      <w:pPr>
        <w:spacing w:after="0" w:line="184"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Allocation of Consideration Transferred to the Net Assets Acquired</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Pursuant to the Company’s business combinations accounting policy, the total estimated purchase price for SCIO was allocated to identifiable net tangible and intangible assets based upon their preliminary fair values, assuming the merger had been completed on June 30, 2018, reconciled to the consideration paid to acquire SCIO. The excess of the estimated purchase price over identifiable net tangible and intangible assets was recorded as goodwill.</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preliminary purchase price allocation for SCIO is as follows:</w:t>
      </w:r>
    </w:p>
    <w:p>
      <w:pPr>
        <w:spacing w:after="0" w:line="383"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24,961</w:t>
            </w:r>
          </w:p>
        </w:tc>
      </w:tr>
      <w:tr>
        <w:trPr>
          <w:trHeight w:val="27"/>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47,800</w:t>
            </w:r>
          </w:p>
        </w:tc>
      </w:tr>
      <w:tr>
        <w:trPr>
          <w:trHeight w:val="27"/>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Developed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31,400</w:t>
            </w:r>
          </w:p>
        </w:tc>
      </w:tr>
      <w:tr>
        <w:trPr>
          <w:trHeight w:val="243"/>
        </w:trPr>
        <w:tc>
          <w:tcPr>
            <w:tcW w:w="6940" w:type="dxa"/>
            <w:vAlign w:val="bottom"/>
          </w:tcPr>
          <w:p>
            <w:pPr>
              <w:ind w:left="160"/>
              <w:spacing w:after="0"/>
              <w:rPr>
                <w:sz w:val="20"/>
                <w:szCs w:val="20"/>
                <w:color w:val="auto"/>
              </w:rPr>
            </w:pPr>
            <w:r>
              <w:rPr>
                <w:rFonts w:ascii="Arial" w:cs="Arial" w:eastAsia="Arial" w:hAnsi="Arial"/>
                <w:sz w:val="18"/>
                <w:szCs w:val="18"/>
                <w:color w:val="auto"/>
              </w:rPr>
              <w:t>Trademarks and trade names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122,799</w:t>
            </w:r>
          </w:p>
        </w:tc>
      </w:tr>
      <w:tr>
        <w:trPr>
          <w:trHeight w:val="324"/>
        </w:trPr>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(10,817)</w:t>
            </w:r>
          </w:p>
        </w:tc>
      </w:tr>
      <w:tr>
        <w:trPr>
          <w:trHeight w:val="27"/>
        </w:trPr>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(19,690)</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91,918</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153,215</w:t>
            </w:r>
          </w:p>
        </w:tc>
      </w:tr>
      <w:tr>
        <w:trPr>
          <w:trHeight w:val="27"/>
        </w:trPr>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estimated purchase consideration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245,133</w:t>
            </w:r>
          </w:p>
        </w:tc>
      </w:tr>
      <w:tr>
        <w:trPr>
          <w:trHeight w:val="20"/>
        </w:trPr>
        <w:tc>
          <w:tcPr>
            <w:tcW w:w="6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preliminary purchase price allocation is based on preliminary estimates and assumptions, and is subject to change during the purchase price measurement period as the Company finalizes the valuations of the tangible and intangible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18"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9"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Adjustments to Unaudited Pro Forma Condensed Combined Statements of Operations and Combined Balance Sheet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Adjustments to the unaudited pro forma condensed combined statements of operations for the six months ended June 30, 2018 and year ended December 31, 2017 were as follows:</w:t>
      </w:r>
    </w:p>
    <w:p>
      <w:pPr>
        <w:spacing w:after="0" w:line="170" w:lineRule="exact"/>
        <w:rPr>
          <w:sz w:val="20"/>
          <w:szCs w:val="20"/>
          <w:color w:val="auto"/>
        </w:rPr>
      </w:pPr>
    </w:p>
    <w:p>
      <w:pPr>
        <w:ind w:left="660" w:hanging="328"/>
        <w:spacing w:after="0" w:line="277" w:lineRule="auto"/>
        <w:tabs>
          <w:tab w:leader="none" w:pos="6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Adjustments to cost of revenues reflect the impact of (a) restricted stock units of the Company granted to former SCIO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(b) grants under the erstwhile stock compensation plan of SCIO, as below:</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c>
          <w:tcPr>
            <w:tcW w:w="140" w:type="dxa"/>
            <w:vAlign w:val="bottom"/>
          </w:tcPr>
          <w:p>
            <w:pPr>
              <w:spacing w:after="0"/>
              <w:rPr>
                <w:sz w:val="18"/>
                <w:szCs w:val="18"/>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Year ended December</w:t>
            </w:r>
          </w:p>
        </w:tc>
      </w:tr>
      <w:tr>
        <w:trPr>
          <w:trHeight w:val="234"/>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2018</w:t>
            </w:r>
          </w:p>
        </w:tc>
        <w:tc>
          <w:tcPr>
            <w:tcW w:w="140" w:type="dxa"/>
            <w:vAlign w:val="bottom"/>
          </w:tcPr>
          <w:p>
            <w:pPr>
              <w:spacing w:after="0"/>
              <w:rPr>
                <w:sz w:val="20"/>
                <w:szCs w:val="20"/>
                <w:color w:val="auto"/>
              </w:rPr>
            </w:pPr>
          </w:p>
        </w:tc>
        <w:tc>
          <w:tcPr>
            <w:tcW w:w="1860" w:type="dxa"/>
            <w:vAlign w:val="bottom"/>
          </w:tcPr>
          <w:p>
            <w:pPr>
              <w:jc w:val="right"/>
              <w:ind w:right="590"/>
              <w:spacing w:after="0"/>
              <w:rPr>
                <w:sz w:val="20"/>
                <w:szCs w:val="20"/>
                <w:color w:val="auto"/>
              </w:rPr>
            </w:pPr>
            <w:r>
              <w:rPr>
                <w:rFonts w:ascii="Arial" w:cs="Arial" w:eastAsia="Arial" w:hAnsi="Arial"/>
                <w:sz w:val="18"/>
                <w:szCs w:val="18"/>
                <w:b w:val="1"/>
                <w:bCs w:val="1"/>
                <w:color w:val="auto"/>
              </w:rPr>
              <w:t>31, 2017</w:t>
            </w: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6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Adjustments to general and administrative expenses reflect the impact of (a) restricted stock units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granted to former SCIO employees, (b) grants under the erstwhile stock compensation plan of SCIO and (c) acquisition-related costs incurred by the Company and SCIO, as below:</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c>
          <w:tcPr>
            <w:tcW w:w="140" w:type="dxa"/>
            <w:vAlign w:val="bottom"/>
          </w:tcPr>
          <w:p>
            <w:pPr>
              <w:spacing w:after="0"/>
              <w:rPr>
                <w:sz w:val="18"/>
                <w:szCs w:val="18"/>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Year ended December</w:t>
            </w:r>
          </w:p>
        </w:tc>
      </w:tr>
      <w:tr>
        <w:trPr>
          <w:trHeight w:val="234"/>
        </w:trPr>
        <w:tc>
          <w:tcPr>
            <w:tcW w:w="6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2018</w:t>
            </w:r>
          </w:p>
        </w:tc>
        <w:tc>
          <w:tcPr>
            <w:tcW w:w="14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31, 2017</w:t>
            </w:r>
          </w:p>
        </w:tc>
      </w:tr>
      <w:tr>
        <w:trPr>
          <w:trHeight w:val="27"/>
        </w:trPr>
        <w:tc>
          <w:tcPr>
            <w:tcW w:w="6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Acquisition expenses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6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Adjustments to selling and marketing expenses reflect the impact of (a) restricted stock units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former SCIO employees and (b) grants under the erstwhile stock compensation plan of SCIO, as below:</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c>
          <w:tcPr>
            <w:tcW w:w="140" w:type="dxa"/>
            <w:vAlign w:val="bottom"/>
          </w:tcPr>
          <w:p>
            <w:pPr>
              <w:spacing w:after="0"/>
              <w:rPr>
                <w:sz w:val="18"/>
                <w:szCs w:val="18"/>
                <w:color w:val="auto"/>
              </w:rPr>
            </w:pPr>
          </w:p>
        </w:tc>
        <w:tc>
          <w:tcPr>
            <w:tcW w:w="18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Year ended December</w:t>
            </w:r>
          </w:p>
        </w:tc>
      </w:tr>
      <w:tr>
        <w:trPr>
          <w:trHeight w:val="234"/>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2018</w:t>
            </w:r>
          </w:p>
        </w:tc>
        <w:tc>
          <w:tcPr>
            <w:tcW w:w="140" w:type="dxa"/>
            <w:vAlign w:val="bottom"/>
          </w:tcPr>
          <w:p>
            <w:pPr>
              <w:spacing w:after="0"/>
              <w:rPr>
                <w:sz w:val="20"/>
                <w:szCs w:val="20"/>
                <w:color w:val="auto"/>
              </w:rPr>
            </w:pPr>
          </w:p>
        </w:tc>
        <w:tc>
          <w:tcPr>
            <w:tcW w:w="1860" w:type="dxa"/>
            <w:vAlign w:val="bottom"/>
          </w:tcPr>
          <w:p>
            <w:pPr>
              <w:jc w:val="right"/>
              <w:ind w:right="590"/>
              <w:spacing w:after="0"/>
              <w:rPr>
                <w:sz w:val="20"/>
                <w:szCs w:val="20"/>
                <w:color w:val="auto"/>
              </w:rPr>
            </w:pPr>
            <w:r>
              <w:rPr>
                <w:rFonts w:ascii="Arial" w:cs="Arial" w:eastAsia="Arial" w:hAnsi="Arial"/>
                <w:sz w:val="18"/>
                <w:szCs w:val="18"/>
                <w:b w:val="1"/>
                <w:bCs w:val="1"/>
                <w:color w:val="auto"/>
              </w:rPr>
              <w:t>31, 2017</w:t>
            </w: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6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Adjustments to depreciation and amortization comprise of the following:</w:t>
      </w:r>
    </w:p>
    <w:p>
      <w:pPr>
        <w:spacing w:after="0" w:line="38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c>
          <w:tcPr>
            <w:tcW w:w="140" w:type="dxa"/>
            <w:vAlign w:val="bottom"/>
          </w:tcPr>
          <w:p>
            <w:pPr>
              <w:spacing w:after="0"/>
              <w:rPr>
                <w:sz w:val="18"/>
                <w:szCs w:val="18"/>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Year ended December</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2018</w:t>
            </w:r>
          </w:p>
        </w:tc>
        <w:tc>
          <w:tcPr>
            <w:tcW w:w="14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31, 2017</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 of SCIO's historical amortization on intangible assets and capitalized</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w w:val="95"/>
              </w:rPr>
              <w:t>Recognition of amortization of acquired SCIO's intangible assets based on the assigned</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fair values and estimated useful lives</w:t>
            </w:r>
          </w:p>
        </w:tc>
        <w:tc>
          <w:tcPr>
            <w:tcW w:w="16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524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8"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Adjustments to interest expense comprise of the following:</w:t>
      </w:r>
    </w:p>
    <w:p>
      <w:pPr>
        <w:spacing w:after="0" w:line="383"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Six months ended</w:t>
            </w:r>
          </w:p>
        </w:tc>
        <w:tc>
          <w:tcPr>
            <w:tcW w:w="120" w:type="dxa"/>
            <w:vAlign w:val="bottom"/>
          </w:tcPr>
          <w:p>
            <w:pPr>
              <w:spacing w:after="0"/>
              <w:rPr>
                <w:sz w:val="18"/>
                <w:szCs w:val="18"/>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Year ended December</w:t>
            </w:r>
          </w:p>
        </w:tc>
      </w:tr>
      <w:tr>
        <w:trPr>
          <w:trHeight w:val="234"/>
        </w:trPr>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2018</w:t>
            </w:r>
          </w:p>
        </w:tc>
        <w:tc>
          <w:tcPr>
            <w:tcW w:w="120" w:type="dxa"/>
            <w:vAlign w:val="bottom"/>
          </w:tcPr>
          <w:p>
            <w:pPr>
              <w:spacing w:after="0"/>
              <w:rPr>
                <w:sz w:val="20"/>
                <w:szCs w:val="20"/>
                <w:color w:val="auto"/>
              </w:rPr>
            </w:pPr>
          </w:p>
        </w:tc>
        <w:tc>
          <w:tcPr>
            <w:tcW w:w="1840" w:type="dxa"/>
            <w:vAlign w:val="bottom"/>
          </w:tcPr>
          <w:p>
            <w:pPr>
              <w:jc w:val="right"/>
              <w:ind w:right="570"/>
              <w:spacing w:after="0"/>
              <w:rPr>
                <w:sz w:val="20"/>
                <w:szCs w:val="20"/>
                <w:color w:val="auto"/>
              </w:rPr>
            </w:pPr>
            <w:r>
              <w:rPr>
                <w:rFonts w:ascii="Arial" w:cs="Arial" w:eastAsia="Arial" w:hAnsi="Arial"/>
                <w:sz w:val="18"/>
                <w:szCs w:val="18"/>
                <w:b w:val="1"/>
                <w:bCs w:val="1"/>
                <w:color w:val="auto"/>
              </w:rPr>
              <w:t>31, 2017</w:t>
            </w:r>
          </w:p>
        </w:tc>
      </w:tr>
      <w:tr>
        <w:trPr>
          <w:trHeight w:val="27"/>
        </w:trPr>
        <w:tc>
          <w:tcPr>
            <w:tcW w:w="6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 of SCIO interest expense and debt issuance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Recognition of EXL’s interest on revolver credit facility</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6,286</w:t>
            </w:r>
          </w:p>
        </w:tc>
      </w:tr>
      <w:tr>
        <w:trPr>
          <w:trHeight w:val="27"/>
        </w:trPr>
        <w:tc>
          <w:tcPr>
            <w:tcW w:w="6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EXL’s debt issuance costs of revolver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Elimination of EXL’s commitment fee on unutilized revolver credit facility</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6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to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5,382</w:t>
            </w: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A 1/8 percent increase or decrease in interest rates on revolver credit facility will impact the income before income tax by $507 for the six months ended June 30, 2018 and $786 for the year ended December 31, 2017.</w:t>
      </w:r>
    </w:p>
    <w:p>
      <w:pPr>
        <w:spacing w:after="0" w:line="170" w:lineRule="exact"/>
        <w:rPr>
          <w:sz w:val="20"/>
          <w:szCs w:val="20"/>
          <w:color w:val="auto"/>
        </w:rPr>
      </w:pPr>
    </w:p>
    <w:p>
      <w:pPr>
        <w:jc w:val="both"/>
        <w:ind w:left="660" w:hanging="328"/>
        <w:spacing w:after="0" w:line="259" w:lineRule="auto"/>
        <w:tabs>
          <w:tab w:leader="none" w:pos="6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Adjustments represent changes to income tax expense as a result of the tax impact on the pro forma adjustments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accounting and pro forma adjustments for EXL and SCIO based on a blended statutory tax rate of 25.5%. Had the Company acquired SCIO on January 1, 2017, the income-tax expense for the six months ended June 30, 2018 and for the year ended December 31, 2017 would have decreased by approximately $2,390 and $13,402, respectively.</w:t>
      </w:r>
    </w:p>
    <w:p>
      <w:pPr>
        <w:spacing w:after="0" w:line="186"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Earning per share: </w:t>
      </w:r>
      <w:r>
        <w:rPr>
          <w:rFonts w:ascii="Arial" w:cs="Arial" w:eastAsia="Arial" w:hAnsi="Arial"/>
          <w:sz w:val="18"/>
          <w:szCs w:val="18"/>
          <w:color w:val="auto"/>
        </w:rPr>
        <w:t>The unaudited pro forma condensed combined basic and diluted earnings per share calculations are based on EXL's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basic and diluted weighted average outstanding common shares, as adjusted by common shares issued and potentially issuable on account of SCIO's acquisition.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the unaudited pro forma condensed combined balance sheet as of June 30, 2018, were as follows:</w:t>
      </w:r>
    </w:p>
    <w:p>
      <w:pPr>
        <w:spacing w:after="0" w:line="266" w:lineRule="exact"/>
        <w:rPr>
          <w:sz w:val="20"/>
          <w:szCs w:val="20"/>
          <w:color w:val="auto"/>
        </w:rPr>
      </w:pPr>
    </w:p>
    <w:p>
      <w:pPr>
        <w:ind w:left="660" w:hanging="328"/>
        <w:spacing w:after="0" w:line="277" w:lineRule="auto"/>
        <w:tabs>
          <w:tab w:leader="none" w:pos="66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The adjustment reflects the impact of cash on hand utilized for payment of purchase consideration, net of cash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revolver credit facility.</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current assets: </w:t>
      </w:r>
      <w:r>
        <w:rPr>
          <w:rFonts w:ascii="Arial" w:cs="Arial" w:eastAsia="Arial" w:hAnsi="Arial"/>
          <w:sz w:val="18"/>
          <w:szCs w:val="18"/>
          <w:color w:val="auto"/>
        </w:rPr>
        <w:t>The adjustment reflects the impact of debt issuance costs recognized upon availment of revolver credit facility.</w:t>
      </w:r>
    </w:p>
    <w:p>
      <w:pPr>
        <w:spacing w:after="0" w:line="225"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0"/>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Intangibles assets, net</w:t>
      </w:r>
      <w:r>
        <w:rPr>
          <w:rFonts w:ascii="Arial" w:cs="Arial" w:eastAsia="Arial" w:hAnsi="Arial"/>
          <w:sz w:val="17"/>
          <w:szCs w:val="17"/>
          <w:color w:val="auto"/>
        </w:rPr>
        <w:t>: Existing intangibles assets, net, of SCIO of $7,787 were eliminated. The adjustment reflects the preliminary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to intangible assets. Acquired identifiable intangible assets were measured at fair value determined primarily using the “income approach”, which requires a forecast of all expected future cash flows either through the use of the relief-from-royalty method or the multi-period excess earnings method. The estimated fair value of the identifiable intangible assets and their estimated useful lives are as follows:</w:t>
      </w:r>
    </w:p>
    <w:p>
      <w:pPr>
        <w:spacing w:after="0" w:line="33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960" w:type="dxa"/>
            <w:vAlign w:val="bottom"/>
          </w:tcPr>
          <w:p>
            <w:pPr>
              <w:jc w:val="right"/>
              <w:ind w:right="70"/>
              <w:spacing w:after="0"/>
              <w:rPr>
                <w:sz w:val="20"/>
                <w:szCs w:val="20"/>
                <w:color w:val="auto"/>
              </w:rPr>
            </w:pPr>
            <w:r>
              <w:rPr>
                <w:rFonts w:ascii="Arial" w:cs="Arial" w:eastAsia="Arial" w:hAnsi="Arial"/>
                <w:sz w:val="18"/>
                <w:szCs w:val="18"/>
                <w:b w:val="1"/>
                <w:bCs w:val="1"/>
                <w:color w:val="auto"/>
              </w:rPr>
              <w:t>Estimated useful life</w:t>
            </w:r>
          </w:p>
        </w:tc>
        <w:tc>
          <w:tcPr>
            <w:tcW w:w="280" w:type="dxa"/>
            <w:vAlign w:val="bottom"/>
          </w:tcPr>
          <w:p>
            <w:pPr>
              <w:spacing w:after="0"/>
              <w:rPr>
                <w:sz w:val="18"/>
                <w:szCs w:val="18"/>
                <w:color w:val="auto"/>
              </w:rPr>
            </w:pPr>
          </w:p>
        </w:tc>
        <w:tc>
          <w:tcPr>
            <w:tcW w:w="14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26"/>
        </w:trPr>
        <w:tc>
          <w:tcPr>
            <w:tcW w:w="4260" w:type="dxa"/>
            <w:vAlign w:val="bottom"/>
          </w:tcPr>
          <w:p>
            <w:pPr>
              <w:spacing w:after="0"/>
              <w:rPr>
                <w:sz w:val="10"/>
                <w:szCs w:val="10"/>
                <w:color w:val="auto"/>
              </w:rPr>
            </w:pPr>
          </w:p>
        </w:tc>
        <w:tc>
          <w:tcPr>
            <w:tcW w:w="39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(in years)</w:t>
            </w:r>
          </w:p>
        </w:tc>
        <w:tc>
          <w:tcPr>
            <w:tcW w:w="2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39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Product Technology</w:t>
            </w:r>
          </w:p>
        </w:tc>
        <w:tc>
          <w:tcPr>
            <w:tcW w:w="39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and trade names</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82,900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Existing goodwill of SCIO of $17,511 was eliminated. The new goodwill recognized in the amount of $153,215 is calculated as the excess</w:t>
      </w:r>
      <w:r>
        <w:rPr>
          <w:rFonts w:ascii="Arial" w:cs="Arial" w:eastAsia="Arial" w:hAnsi="Arial"/>
          <w:sz w:val="18"/>
          <w:szCs w:val="18"/>
          <w:i w:val="1"/>
          <w:iCs w:val="1"/>
          <w:color w:val="auto"/>
        </w:rPr>
        <w:t xml:space="preserve"> </w:t>
      </w:r>
      <w:r>
        <w:rPr>
          <w:rFonts w:ascii="Arial" w:cs="Arial" w:eastAsia="Arial" w:hAnsi="Arial"/>
          <w:sz w:val="18"/>
          <w:szCs w:val="18"/>
          <w:color w:val="auto"/>
        </w:rPr>
        <w:t>of acquisition date fair value of the consideration paid over the preliminary fair values assigned to the identifiable assets acquired and liabilities assumed. Goodwill is not amortized rather is subject to impairment testing on at least an annual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18" w:right="239" w:bottom="1440" w:gutter="0" w:footer="0" w:header="0"/>
        </w:sectPr>
      </w:pPr>
    </w:p>
    <w:bookmarkStart w:id="72" w:name="page73"/>
    <w:bookmarkEnd w:id="72"/>
    <w:p>
      <w:pPr>
        <w:ind w:left="4560"/>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p>
      <w:pPr>
        <w:ind w:left="660" w:hanging="328"/>
        <w:spacing w:after="0"/>
        <w:tabs>
          <w:tab w:leader="none" w:pos="660" w:val="left"/>
        </w:tabs>
        <w:numPr>
          <w:ilvl w:val="1"/>
          <w:numId w:val="87"/>
        </w:numPr>
        <w:rPr>
          <w:rFonts w:ascii="Arial" w:cs="Arial" w:eastAsia="Arial" w:hAnsi="Arial"/>
          <w:sz w:val="17"/>
          <w:szCs w:val="17"/>
          <w:i w:val="1"/>
          <w:iCs w:val="1"/>
          <w:color w:val="auto"/>
        </w:rPr>
      </w:pPr>
      <w:r>
        <w:rPr>
          <w:rFonts w:ascii="Arial" w:cs="Arial" w:eastAsia="Arial" w:hAnsi="Arial"/>
          <w:sz w:val="17"/>
          <w:szCs w:val="17"/>
          <w:i w:val="1"/>
          <w:iCs w:val="1"/>
          <w:color w:val="auto"/>
        </w:rPr>
        <w:t>Other assets</w:t>
      </w:r>
      <w:r>
        <w:rPr>
          <w:rFonts w:ascii="Arial" w:cs="Arial" w:eastAsia="Arial" w:hAnsi="Arial"/>
          <w:sz w:val="17"/>
          <w:szCs w:val="17"/>
          <w:color w:val="auto"/>
        </w:rPr>
        <w:t>: The adjustment reflects the non-current impact of the debt issuance costs recognized upon availment of revolver credit facility.</w:t>
      </w:r>
    </w:p>
    <w:p>
      <w:pPr>
        <w:spacing w:after="0" w:line="236" w:lineRule="exact"/>
        <w:rPr>
          <w:rFonts w:ascii="Arial" w:cs="Arial" w:eastAsia="Arial" w:hAnsi="Arial"/>
          <w:sz w:val="17"/>
          <w:szCs w:val="17"/>
          <w:i w:val="1"/>
          <w:iCs w:val="1"/>
          <w:color w:val="auto"/>
        </w:rPr>
      </w:pPr>
    </w:p>
    <w:p>
      <w:pPr>
        <w:ind w:left="660" w:hanging="328"/>
        <w:spacing w:after="0" w:line="308" w:lineRule="auto"/>
        <w:tabs>
          <w:tab w:leader="none" w:pos="660" w:val="left"/>
        </w:tabs>
        <w:numPr>
          <w:ilvl w:val="1"/>
          <w:numId w:val="8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Borrowings: </w:t>
      </w:r>
      <w:r>
        <w:rPr>
          <w:rFonts w:ascii="Arial" w:cs="Arial" w:eastAsia="Arial" w:hAnsi="Arial"/>
          <w:sz w:val="17"/>
          <w:szCs w:val="17"/>
          <w:color w:val="auto"/>
        </w:rPr>
        <w:t>The adjustment reflects the elimination of SCIO's borrowings of $10,930 ($1,980 recorded as current portion of long-term borrowings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$8,950 recorded as long-term borrowings) and recognition of $233,000 of revolver credit facility used to fund the acquisition.</w:t>
      </w:r>
    </w:p>
    <w:p>
      <w:pPr>
        <w:spacing w:after="0" w:line="146"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1"/>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The adjustment reflects the elimination of unpaid portion of SCIO's acquisition related costs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$1,301.</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1"/>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The adjustment reflects changes in deferred taxes liability of $17,626 on identifiable intangible assets recorded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1"/>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Preferred stock and common stock: </w:t>
      </w:r>
      <w:r>
        <w:rPr>
          <w:rFonts w:ascii="Arial" w:cs="Arial" w:eastAsia="Arial" w:hAnsi="Arial"/>
          <w:sz w:val="18"/>
          <w:szCs w:val="18"/>
          <w:color w:val="auto"/>
        </w:rPr>
        <w:t>Adjustment to eliminate SCIO's historical preferred stock and common stock.</w:t>
      </w:r>
    </w:p>
    <w:p>
      <w:pPr>
        <w:spacing w:after="0" w:line="225"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1"/>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Additional paid-in-capital: </w:t>
      </w:r>
      <w:r>
        <w:rPr>
          <w:rFonts w:ascii="Arial" w:cs="Arial" w:eastAsia="Arial" w:hAnsi="Arial"/>
          <w:sz w:val="18"/>
          <w:szCs w:val="18"/>
          <w:color w:val="auto"/>
        </w:rPr>
        <w:t>Elimination of SCIO's Additional paid-in-capital of $32,235, adjusted by issuance of 69,459 restricted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the Company in the amount of $4,080.</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Retained earnings and accumulated other comprehensive loss: </w:t>
      </w:r>
      <w:r>
        <w:rPr>
          <w:rFonts w:ascii="Arial" w:cs="Arial" w:eastAsia="Arial" w:hAnsi="Arial"/>
          <w:sz w:val="18"/>
          <w:szCs w:val="18"/>
          <w:color w:val="auto"/>
        </w:rPr>
        <w:t>Adjustment to eliminate SCIO's historical retained earnings and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loss.</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Reclassifications made to the unaudited pro forma condensed combined balance sheet as of June 30, 2018, so as to conform to EXL's presentation, were as follows:</w:t>
      </w:r>
    </w:p>
    <w:p>
      <w:pPr>
        <w:spacing w:after="0" w:line="62"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reflects the reclassification of Client's cash from Cash received on behalf of customers to Restricted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reflects the reclassification of Unbilled revenue to Accounts receivable, net.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reflects the reclassification of prepayments from Other current assets to Prepaid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reflects the reclassification of Internally developed software from Property and equipment to Intangible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reflects the reclassification within current liabilities as below:</w:t>
      </w:r>
    </w:p>
    <w:p>
      <w:pPr>
        <w:spacing w:after="0" w:line="383"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Reclassification from</w:t>
            </w:r>
          </w:p>
        </w:tc>
        <w:tc>
          <w:tcPr>
            <w:tcW w:w="4740" w:type="dxa"/>
            <w:vAlign w:val="bottom"/>
          </w:tcPr>
          <w:p>
            <w:pPr>
              <w:ind w:left="1840"/>
              <w:spacing w:after="0"/>
              <w:rPr>
                <w:sz w:val="20"/>
                <w:szCs w:val="20"/>
                <w:color w:val="auto"/>
              </w:rPr>
            </w:pPr>
            <w:r>
              <w:rPr>
                <w:rFonts w:ascii="Arial" w:cs="Arial" w:eastAsia="Arial" w:hAnsi="Arial"/>
                <w:sz w:val="18"/>
                <w:szCs w:val="18"/>
                <w:b w:val="1"/>
                <w:bCs w:val="1"/>
                <w:color w:val="auto"/>
              </w:rPr>
              <w:t>Reclassification to</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740" w:type="dxa"/>
            <w:vAlign w:val="bottom"/>
          </w:tcPr>
          <w:p>
            <w:pPr>
              <w:ind w:left="500"/>
              <w:spacing w:after="0"/>
              <w:rPr>
                <w:sz w:val="20"/>
                <w:szCs w:val="20"/>
                <w:color w:val="auto"/>
              </w:rPr>
            </w:pPr>
            <w:r>
              <w:rPr>
                <w:rFonts w:ascii="Arial" w:cs="Arial" w:eastAsia="Arial" w:hAnsi="Arial"/>
                <w:sz w:val="18"/>
                <w:szCs w:val="18"/>
                <w:color w:val="auto"/>
              </w:rPr>
              <w:t>Accrued employee cost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(2,715)</w:t>
            </w:r>
          </w:p>
        </w:tc>
      </w:tr>
      <w:tr>
        <w:trPr>
          <w:trHeight w:val="27"/>
        </w:trPr>
        <w:tc>
          <w:tcPr>
            <w:tcW w:w="3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Subrogation services obligations</w:t>
            </w:r>
          </w:p>
        </w:tc>
        <w:tc>
          <w:tcPr>
            <w:tcW w:w="474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2,798</w:t>
            </w:r>
          </w:p>
        </w:tc>
      </w:tr>
      <w:tr>
        <w:trPr>
          <w:trHeight w:val="27"/>
        </w:trPr>
        <w:tc>
          <w:tcPr>
            <w:tcW w:w="3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Overpayment services obligations</w:t>
            </w:r>
          </w:p>
        </w:tc>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38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w:t>
            </w:r>
          </w:p>
        </w:tc>
      </w:tr>
      <w:tr>
        <w:trPr>
          <w:trHeight w:val="27"/>
        </w:trPr>
        <w:tc>
          <w:tcPr>
            <w:tcW w:w="3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adjustment reflects the reclassification of non-current employee-related liabilities from Liability for employee benefits to Other non-current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adjustment reflects the reclassification of accumulated earnings from Accumulated surplus to Retained earnings.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o"/>
      <w:numFmt w:val="bullet"/>
      <w:start w:val="1"/>
    </w:lvl>
  </w:abstractNum>
  <w:abstractNum w:abstractNumId="1">
    <w:nsid w:val="4B588F54"/>
    <w:multiLevelType w:val="hybridMultilevel"/>
    <w:lvl w:ilvl="0">
      <w:lvlJc w:val="left"/>
      <w:lvlText w:val="o"/>
      <w:numFmt w:val="bullet"/>
      <w:start w:val="1"/>
    </w:lvl>
  </w:abstractNum>
  <w:abstractNum w:abstractNumId="2">
    <w:nsid w:val="542289EC"/>
    <w:multiLevelType w:val="hybridMultilevel"/>
    <w:lvl w:ilvl="0">
      <w:lvlJc w:val="left"/>
      <w:lvlText w:val="(%1)"/>
      <w:numFmt w:val="lowerLetter"/>
      <w:start w:val="2"/>
    </w:lvl>
  </w:abstractNum>
  <w:abstractNum w:abstractNumId="3">
    <w:nsid w:val="6DE91B18"/>
    <w:multiLevelType w:val="hybridMultilevel"/>
    <w:lvl w:ilvl="0">
      <w:lvlJc w:val="left"/>
      <w:lvlText w:val="(%1)"/>
      <w:numFmt w:val="lowerLetter"/>
      <w:start w:val="3"/>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2"/>
    </w:lvl>
  </w:abstractNum>
  <w:abstractNum w:abstractNumId="6">
    <w:nsid w:val="32FFF902"/>
    <w:multiLevelType w:val="hybridMultilevel"/>
    <w:lvl w:ilvl="0">
      <w:lvlJc w:val="left"/>
      <w:lvlText w:val="%1."/>
      <w:numFmt w:val="decimal"/>
      <w:start w:val="2"/>
    </w:lvl>
  </w:abstractNum>
  <w:abstractNum w:abstractNumId="7">
    <w:nsid w:val="684A481A"/>
    <w:multiLevelType w:val="hybridMultilevel"/>
    <w:lvl w:ilvl="0">
      <w:lvlJc w:val="left"/>
      <w:lvlText w:val="%1."/>
      <w:numFmt w:val="decimal"/>
      <w:start w:val="2"/>
    </w:lvl>
  </w:abstractNum>
  <w:abstractNum w:abstractNumId="8">
    <w:nsid w:val="579478FE"/>
    <w:multiLevelType w:val="hybridMultilevel"/>
    <w:lvl w:ilvl="0">
      <w:lvlJc w:val="left"/>
      <w:lvlText w:val="%1."/>
      <w:numFmt w:val="decimal"/>
      <w:start w:val="2"/>
    </w:lvl>
  </w:abstractNum>
  <w:abstractNum w:abstractNumId="9">
    <w:nsid w:val="749ABB43"/>
    <w:multiLevelType w:val="hybridMultilevel"/>
    <w:lvl w:ilvl="0">
      <w:lvlJc w:val="left"/>
      <w:lvlText w:val="%1)"/>
      <w:numFmt w:val="lowerLetter"/>
      <w:start w:val="1"/>
    </w:lvl>
  </w:abstractNum>
  <w:abstractNum w:abstractNumId="10">
    <w:nsid w:val="3DC240FB"/>
    <w:multiLevelType w:val="hybridMultilevel"/>
    <w:lvl w:ilvl="0">
      <w:lvlJc w:val="left"/>
      <w:lvlText w:val="%1)"/>
      <w:numFmt w:val="lowerLetter"/>
      <w:start w:val="2"/>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1)"/>
      <w:numFmt w:val="lowerLetter"/>
      <w:start w:val="2"/>
    </w:lvl>
  </w:abstractNum>
  <w:abstractNum w:abstractNumId="13">
    <w:nsid w:val="75C6C33A"/>
    <w:multiLevelType w:val="hybridMultilevel"/>
    <w:lvl w:ilvl="0">
      <w:lvlJc w:val="left"/>
      <w:lvlText w:val="%1."/>
      <w:numFmt w:val="decimal"/>
      <w:start w:val="2"/>
    </w:lvl>
  </w:abstractNum>
  <w:abstractNum w:abstractNumId="14">
    <w:nsid w:val="12E685FB"/>
    <w:multiLevelType w:val="hybridMultilevel"/>
    <w:lvl w:ilvl="0">
      <w:lvlJc w:val="left"/>
      <w:lvlText w:val="%1."/>
      <w:numFmt w:val="decimal"/>
      <w:start w:val="3"/>
    </w:lvl>
  </w:abstractNum>
  <w:abstractNum w:abstractNumId="15">
    <w:nsid w:val="70C6A529"/>
    <w:multiLevelType w:val="hybridMultilevel"/>
    <w:lvl w:ilvl="0">
      <w:lvlJc w:val="left"/>
      <w:lvlText w:val="%1."/>
      <w:numFmt w:val="decimal"/>
      <w:start w:val="4"/>
    </w:lvl>
  </w:abstractNum>
  <w:abstractNum w:abstractNumId="16">
    <w:nsid w:val="520EEDD1"/>
    <w:multiLevelType w:val="hybridMultilevel"/>
    <w:lvl w:ilvl="0">
      <w:lvlJc w:val="left"/>
      <w:lvlText w:val="%1."/>
      <w:numFmt w:val="decimal"/>
      <w:start w:val="5"/>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1."/>
      <w:numFmt w:val="decimal"/>
      <w:start w:val="6"/>
    </w:lvl>
  </w:abstractNum>
  <w:abstractNum w:abstractNumId="20">
    <w:nsid w:val="649BB77C"/>
    <w:multiLevelType w:val="hybridMultilevel"/>
    <w:lvl w:ilvl="0">
      <w:lvlJc w:val="left"/>
      <w:lvlText w:val="%1."/>
      <w:numFmt w:val="decimal"/>
      <w:start w:val="7"/>
    </w:lvl>
  </w:abstractNum>
  <w:abstractNum w:abstractNumId="21">
    <w:nsid w:val="275AC794"/>
    <w:multiLevelType w:val="hybridMultilevel"/>
    <w:lvl w:ilvl="0">
      <w:lvlJc w:val="left"/>
      <w:lvlText w:val="%1."/>
      <w:numFmt w:val="decimal"/>
      <w:start w:val="9"/>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lowerLetter"/>
      <w:start w:val="2"/>
    </w:lvl>
  </w:abstractNum>
  <w:abstractNum w:abstractNumId="24">
    <w:nsid w:val="180115BE"/>
    <w:multiLevelType w:val="hybridMultilevel"/>
    <w:lvl w:ilvl="0">
      <w:lvlJc w:val="left"/>
      <w:lvlText w:val="(%1)"/>
      <w:numFmt w:val="lowerLetter"/>
      <w:start w:val="3"/>
    </w:lvl>
  </w:abstractNum>
  <w:abstractNum w:abstractNumId="25">
    <w:nsid w:val="235BA861"/>
    <w:multiLevelType w:val="hybridMultilevel"/>
    <w:lvl w:ilvl="0">
      <w:lvlJc w:val="left"/>
      <w:lvlText w:val="(%1)"/>
      <w:numFmt w:val="lowerLetter"/>
      <w:start w:val="4"/>
    </w:lvl>
  </w:abstractNum>
  <w:abstractNum w:abstractNumId="26">
    <w:nsid w:val="47398C89"/>
    <w:multiLevelType w:val="hybridMultilevel"/>
    <w:lvl w:ilvl="0">
      <w:lvlJc w:val="left"/>
      <w:lvlText w:val="%1."/>
      <w:numFmt w:val="decimal"/>
      <w:start w:val="11"/>
    </w:lvl>
  </w:abstractNum>
  <w:abstractNum w:abstractNumId="27">
    <w:nsid w:val="354FE9F9"/>
    <w:multiLevelType w:val="hybridMultilevel"/>
    <w:lvl w:ilvl="0">
      <w:lvlJc w:val="left"/>
      <w:lvlText w:val="%1."/>
      <w:numFmt w:val="decimal"/>
      <w:start w:val="13"/>
    </w:lvl>
  </w:abstractNum>
  <w:abstractNum w:abstractNumId="28">
    <w:nsid w:val="15B5AF5C"/>
    <w:multiLevelType w:val="hybridMultilevel"/>
    <w:lvl w:ilvl="0">
      <w:lvlJc w:val="left"/>
      <w:lvlText w:val="%1."/>
      <w:numFmt w:val="decimal"/>
      <w:start w:val="14"/>
    </w:lvl>
  </w:abstractNum>
  <w:abstractNum w:abstractNumId="29">
    <w:nsid w:val="741226BB"/>
    <w:multiLevelType w:val="hybridMultilevel"/>
    <w:lvl w:ilvl="0">
      <w:lvlJc w:val="left"/>
      <w:lvlText w:val="%1)"/>
      <w:numFmt w:val="lowerLetter"/>
      <w:start w:val="1"/>
    </w:lvl>
    <w:lvl w:ilvl="1">
      <w:lvlJc w:val="left"/>
      <w:lvlText w:val="(%2)"/>
      <w:numFmt w:val="lowerRoman"/>
      <w:start w:val="1"/>
    </w:lvl>
  </w:abstractNum>
  <w:abstractNum w:abstractNumId="30">
    <w:nsid w:val="D34B6A8"/>
    <w:multiLevelType w:val="hybridMultilevel"/>
    <w:lvl w:ilvl="0">
      <w:lvlJc w:val="left"/>
      <w:lvlText w:val="(%1)"/>
      <w:numFmt w:val="lowerRoman"/>
      <w:start w:val="2"/>
    </w:lvl>
  </w:abstractNum>
  <w:abstractNum w:abstractNumId="31">
    <w:nsid w:val="10233C99"/>
    <w:multiLevelType w:val="hybridMultilevel"/>
    <w:lvl w:ilvl="0">
      <w:lvlJc w:val="left"/>
      <w:lvlText w:val="%1"/>
      <w:numFmt w:val="decimal"/>
      <w:start w:val="1"/>
    </w:lvl>
    <w:lvl w:ilvl="1">
      <w:lvlJc w:val="left"/>
      <w:lvlText w:val="%2)"/>
      <w:numFmt w:val="lowerLetter"/>
      <w:start w:val="2"/>
    </w:lvl>
  </w:abstractNum>
  <w:abstractNum w:abstractNumId="32">
    <w:nsid w:val="3F6AB60F"/>
    <w:multiLevelType w:val="hybridMultilevel"/>
    <w:lvl w:ilvl="0">
      <w:lvlJc w:val="left"/>
      <w:lvlText w:val="%1."/>
      <w:numFmt w:val="decimal"/>
      <w:start w:val="15"/>
    </w:lvl>
    <w:lvl w:ilvl="1">
      <w:lvlJc w:val="left"/>
      <w:lvlText w:val="%2"/>
      <w:numFmt w:val="lowerLetter"/>
      <w:start w:val="1"/>
    </w:lvl>
  </w:abstractNum>
  <w:abstractNum w:abstractNumId="33">
    <w:nsid w:val="61574095"/>
    <w:multiLevelType w:val="hybridMultilevel"/>
    <w:lvl w:ilvl="0">
      <w:lvlJc w:val="left"/>
      <w:lvlText w:val="%1."/>
      <w:numFmt w:val="decimal"/>
      <w:start w:val="17"/>
    </w:lvl>
  </w:abstractNum>
  <w:abstractNum w:abstractNumId="34">
    <w:nsid w:val="7E0C57B1"/>
    <w:multiLevelType w:val="hybridMultilevel"/>
    <w:lvl w:ilvl="0">
      <w:lvlJc w:val="left"/>
      <w:lvlText w:val="%1."/>
      <w:numFmt w:val="decimal"/>
      <w:start w:val="18"/>
    </w:lvl>
  </w:abstractNum>
  <w:abstractNum w:abstractNumId="35">
    <w:nsid w:val="77AE35EB"/>
    <w:multiLevelType w:val="hybridMultilevel"/>
    <w:lvl w:ilvl="0">
      <w:lvlJc w:val="left"/>
      <w:lvlText w:val="%1."/>
      <w:numFmt w:val="decimal"/>
      <w:start w:val="19"/>
    </w:lvl>
  </w:abstractNum>
  <w:abstractNum w:abstractNumId="36">
    <w:nsid w:val="579BE4F1"/>
    <w:multiLevelType w:val="hybridMultilevel"/>
    <w:lvl w:ilvl="0">
      <w:lvlJc w:val="left"/>
      <w:lvlText w:val="%1."/>
      <w:numFmt w:val="decimal"/>
      <w:start w:val="20"/>
    </w:lvl>
  </w:abstractNum>
  <w:abstractNum w:abstractNumId="37">
    <w:nsid w:val="310C50B3"/>
    <w:multiLevelType w:val="hybridMultilevel"/>
    <w:lvl w:ilvl="0">
      <w:lvlJc w:val="left"/>
      <w:lvlText w:val="%1."/>
      <w:numFmt w:val="decimal"/>
      <w:start w:val="21"/>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2"/>
    </w:lvl>
  </w:abstractNum>
  <w:abstractNum w:abstractNumId="40">
    <w:nsid w:val="25A70BF7"/>
    <w:multiLevelType w:val="hybridMultilevel"/>
    <w:lvl w:ilvl="0">
      <w:lvlJc w:val="left"/>
      <w:lvlText w:val="%1."/>
      <w:numFmt w:val="decimal"/>
      <w:start w:val="2"/>
    </w:lvl>
  </w:abstractNum>
  <w:abstractNum w:abstractNumId="41">
    <w:nsid w:val="1DBABF00"/>
    <w:multiLevelType w:val="hybridMultilevel"/>
    <w:lvl w:ilvl="0">
      <w:lvlJc w:val="left"/>
      <w:lvlText w:val="%1."/>
      <w:numFmt w:val="decimal"/>
      <w:start w:val="606"/>
    </w:lvl>
  </w:abstractNum>
  <w:abstractNum w:abstractNumId="42">
    <w:nsid w:val="4AD084E9"/>
    <w:multiLevelType w:val="hybridMultilevel"/>
    <w:lvl w:ilvl="0">
      <w:lvlJc w:val="left"/>
      <w:lvlText w:val="%1."/>
      <w:numFmt w:val="decimal"/>
      <w:start w:val="2"/>
    </w:lvl>
  </w:abstractNum>
  <w:abstractNum w:abstractNumId="43">
    <w:nsid w:val="1F48EAA1"/>
    <w:multiLevelType w:val="hybridMultilevel"/>
    <w:lvl w:ilvl="0">
      <w:lvlJc w:val="left"/>
      <w:lvlText w:val="%1."/>
      <w:numFmt w:val="decimal"/>
      <w:start w:val="2"/>
    </w:lvl>
  </w:abstractNum>
  <w:abstractNum w:abstractNumId="44">
    <w:nsid w:val="1381823A"/>
    <w:multiLevelType w:val="hybridMultilevel"/>
    <w:lvl w:ilvl="0">
      <w:lvlJc w:val="left"/>
      <w:lvlText w:val="%1."/>
      <w:numFmt w:val="decimal"/>
      <w:start w:val="2"/>
    </w:lvl>
  </w:abstractNum>
  <w:abstractNum w:abstractNumId="45">
    <w:nsid w:val="5DB70AE5"/>
    <w:multiLevelType w:val="hybridMultilevel"/>
    <w:lvl w:ilvl="0">
      <w:lvlJc w:val="left"/>
      <w:lvlText w:val="%1."/>
      <w:numFmt w:val="decimal"/>
      <w:start w:val="2"/>
    </w:lvl>
  </w:abstractNum>
  <w:abstractNum w:abstractNumId="46">
    <w:nsid w:val="100F8FCA"/>
    <w:multiLevelType w:val="hybridMultilevel"/>
    <w:lvl w:ilvl="0">
      <w:lvlJc w:val="left"/>
      <w:lvlText w:val="%1."/>
      <w:numFmt w:val="decimal"/>
      <w:start w:val="2"/>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2"/>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decimal"/>
      <w:start w:val="3"/>
    </w:lvl>
  </w:abstractNum>
  <w:abstractNum w:abstractNumId="51">
    <w:nsid w:val="799D0247"/>
    <w:multiLevelType w:val="hybridMultilevel"/>
    <w:lvl w:ilvl="0">
      <w:lvlJc w:val="left"/>
      <w:lvlText w:val="%1."/>
      <w:numFmt w:val="decimal"/>
      <w:start w:val="4"/>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decimal"/>
      <w:start w:val="5"/>
    </w:lvl>
  </w:abstractNum>
  <w:abstractNum w:abstractNumId="54">
    <w:nsid w:val="168E121F"/>
    <w:multiLevelType w:val="hybridMultilevel"/>
    <w:lvl w:ilvl="0">
      <w:lvlJc w:val="left"/>
      <w:lvlText w:val="%1."/>
      <w:numFmt w:val="decimal"/>
      <w:start w:val="6"/>
    </w:lvl>
  </w:abstractNum>
  <w:abstractNum w:abstractNumId="55">
    <w:nsid w:val="1EBA5D23"/>
    <w:multiLevelType w:val="hybridMultilevel"/>
    <w:lvl w:ilvl="0">
      <w:lvlJc w:val="left"/>
      <w:lvlText w:val="%1."/>
      <w:numFmt w:val="decimal"/>
      <w:start w:val="7"/>
    </w:lvl>
  </w:abstractNum>
  <w:abstractNum w:abstractNumId="56">
    <w:nsid w:val="661E3F1E"/>
    <w:multiLevelType w:val="hybridMultilevel"/>
    <w:lvl w:ilvl="0">
      <w:lvlJc w:val="left"/>
      <w:lvlText w:val="%1."/>
      <w:numFmt w:val="decimal"/>
      <w:start w:val="10"/>
    </w:lvl>
  </w:abstractNum>
  <w:abstractNum w:abstractNumId="57">
    <w:nsid w:val="5DC79EA8"/>
    <w:multiLevelType w:val="hybridMultilevel"/>
    <w:lvl w:ilvl="0">
      <w:lvlJc w:val="left"/>
      <w:lvlText w:val="%1."/>
      <w:numFmt w:val="decimal"/>
      <w:start w:val="12"/>
    </w:lvl>
  </w:abstractNum>
  <w:abstractNum w:abstractNumId="58">
    <w:nsid w:val="540A471C"/>
    <w:multiLevelType w:val="hybridMultilevel"/>
    <w:lvl w:ilvl="0">
      <w:lvlJc w:val="left"/>
      <w:lvlText w:val="%1."/>
      <w:numFmt w:val="decimal"/>
      <w:start w:val="13"/>
    </w:lvl>
  </w:abstractNum>
  <w:abstractNum w:abstractNumId="59">
    <w:nsid w:val="7BD3EE7B"/>
    <w:multiLevelType w:val="hybridMultilevel"/>
    <w:lvl w:ilvl="0">
      <w:lvlJc w:val="left"/>
      <w:lvlText w:val="%1)"/>
      <w:numFmt w:val="lowerLetter"/>
      <w:start w:val="1"/>
    </w:lvl>
    <w:lvl w:ilvl="1">
      <w:lvlJc w:val="left"/>
      <w:lvlText w:val="(%2)"/>
      <w:numFmt w:val="lowerRoman"/>
      <w:start w:val="1"/>
    </w:lvl>
  </w:abstractNum>
  <w:abstractNum w:abstractNumId="60">
    <w:nsid w:val="51D9C564"/>
    <w:multiLevelType w:val="hybridMultilevel"/>
    <w:lvl w:ilvl="0">
      <w:lvlJc w:val="left"/>
      <w:lvlText w:val="%1)"/>
      <w:numFmt w:val="lowerLetter"/>
      <w:start w:val="2"/>
    </w:lvl>
  </w:abstractNum>
  <w:abstractNum w:abstractNumId="61">
    <w:nsid w:val="613EFDC5"/>
    <w:multiLevelType w:val="hybridMultilevel"/>
    <w:lvl w:ilvl="0">
      <w:lvlJc w:val="left"/>
      <w:lvlText w:val="%1."/>
      <w:numFmt w:val="decimal"/>
      <w:start w:val="14"/>
    </w:lvl>
  </w:abstractNum>
  <w:abstractNum w:abstractNumId="62">
    <w:nsid w:val="BF72B14"/>
    <w:multiLevelType w:val="hybridMultilevel"/>
    <w:lvl w:ilvl="0">
      <w:lvlJc w:val="left"/>
      <w:lvlText w:val="%1."/>
      <w:numFmt w:val="decimal"/>
      <w:start w:val="15"/>
    </w:lvl>
  </w:abstractNum>
  <w:abstractNum w:abstractNumId="63">
    <w:nsid w:val="11447B73"/>
    <w:multiLevelType w:val="hybridMultilevel"/>
    <w:lvl w:ilvl="0">
      <w:lvlJc w:val="left"/>
      <w:lvlText w:val="%1."/>
      <w:numFmt w:val="decimal"/>
      <w:start w:val="17"/>
    </w:lvl>
  </w:abstractNum>
  <w:abstractNum w:abstractNumId="64">
    <w:nsid w:val="42963E5A"/>
    <w:multiLevelType w:val="hybridMultilevel"/>
    <w:lvl w:ilvl="0">
      <w:lvlJc w:val="left"/>
      <w:lvlText w:val="%1."/>
      <w:numFmt w:val="decimal"/>
      <w:start w:val="18"/>
    </w:lvl>
  </w:abstractNum>
  <w:abstractNum w:abstractNumId="65">
    <w:nsid w:val="A0382C5"/>
    <w:multiLevelType w:val="hybridMultilevel"/>
    <w:lvl w:ilvl="0">
      <w:lvlJc w:val="left"/>
      <w:lvlText w:val="%1."/>
      <w:numFmt w:val="decimal"/>
      <w:start w:val="19"/>
    </w:lvl>
  </w:abstractNum>
  <w:abstractNum w:abstractNumId="66">
    <w:nsid w:val="8F2B15E"/>
    <w:multiLevelType w:val="hybridMultilevel"/>
    <w:lvl w:ilvl="0">
      <w:lvlJc w:val="left"/>
      <w:lvlText w:val="%1."/>
      <w:numFmt w:val="decimal"/>
      <w:start w:val="20"/>
    </w:lvl>
  </w:abstractNum>
  <w:abstractNum w:abstractNumId="67">
    <w:nsid w:val="1A32234B"/>
    <w:multiLevelType w:val="hybridMultilevel"/>
    <w:lvl w:ilvl="0">
      <w:lvlJc w:val="left"/>
      <w:lvlText w:val="%1."/>
      <w:numFmt w:val="decimal"/>
      <w:start w:val="2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decimal"/>
      <w:start w:val="2"/>
    </w:lvl>
  </w:abstractNum>
  <w:abstractNum w:abstractNumId="74">
    <w:nsid w:val="7FFFCA11"/>
    <w:multiLevelType w:val="hybridMultilevel"/>
    <w:lvl w:ilvl="0">
      <w:lvlJc w:val="left"/>
      <w:lvlText w:val="%1."/>
      <w:numFmt w:val="decimal"/>
      <w:start w:val="3"/>
    </w:lvl>
  </w:abstractNum>
  <w:abstractNum w:abstractNumId="75">
    <w:nsid w:val="1A27709E"/>
    <w:multiLevelType w:val="hybridMultilevel"/>
    <w:lvl w:ilvl="0">
      <w:lvlJc w:val="left"/>
      <w:lvlText w:val="%1."/>
      <w:numFmt w:val="decimal"/>
      <w:start w:val="4"/>
    </w:lvl>
  </w:abstractNum>
  <w:abstractNum w:abstractNumId="76">
    <w:nsid w:val="71EA1109"/>
    <w:multiLevelType w:val="hybridMultilevel"/>
    <w:lvl w:ilvl="0">
      <w:lvlJc w:val="left"/>
      <w:lvlText w:val="%1."/>
      <w:numFmt w:val="decimal"/>
      <w:start w:val="5"/>
    </w:lvl>
  </w:abstractNum>
  <w:abstractNum w:abstractNumId="77">
    <w:nsid w:val="100F59DC"/>
    <w:multiLevelType w:val="hybridMultilevel"/>
    <w:lvl w:ilvl="0">
      <w:lvlJc w:val="left"/>
      <w:lvlText w:val="%1."/>
      <w:numFmt w:val="decimal"/>
      <w:start w:val="6"/>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2"/>
    </w:lvl>
  </w:abstractNum>
  <w:abstractNum w:abstractNumId="80">
    <w:nsid w:val="6F6DD9AC"/>
    <w:multiLevelType w:val="hybridMultilevel"/>
    <w:lvl w:ilvl="0">
      <w:lvlJc w:val="left"/>
      <w:lvlText w:val="%1."/>
      <w:numFmt w:val="lowerLetter"/>
      <w:start w:val="3"/>
    </w:lvl>
  </w:abstractNum>
  <w:abstractNum w:abstractNumId="81">
    <w:nsid w:val="94211F2"/>
    <w:multiLevelType w:val="hybridMultilevel"/>
    <w:lvl w:ilvl="0">
      <w:lvlJc w:val="left"/>
      <w:lvlText w:val="%1."/>
      <w:numFmt w:val="lowerLetter"/>
      <w:start w:val="4"/>
    </w:lvl>
  </w:abstractNum>
  <w:abstractNum w:abstractNumId="82">
    <w:nsid w:val="885E1B"/>
    <w:multiLevelType w:val="hybridMultilevel"/>
    <w:lvl w:ilvl="0">
      <w:lvlJc w:val="left"/>
      <w:lvlText w:val="%1."/>
      <w:numFmt w:val="lowerLetter"/>
      <w:start w:val="5"/>
    </w:lvl>
  </w:abstractNum>
  <w:abstractNum w:abstractNumId="83">
    <w:nsid w:val="76272110"/>
    <w:multiLevelType w:val="hybridMultilevel"/>
    <w:lvl w:ilvl="0">
      <w:lvlJc w:val="left"/>
      <w:lvlText w:val="%1."/>
      <w:numFmt w:val="lowerLetter"/>
      <w:start w:val="6"/>
    </w:lvl>
  </w:abstractNum>
  <w:abstractNum w:abstractNumId="84">
    <w:nsid w:val="4C04A8AF"/>
    <w:multiLevelType w:val="hybridMultilevel"/>
    <w:lvl w:ilvl="0">
      <w:lvlJc w:val="left"/>
      <w:lvlText w:val="%1."/>
      <w:numFmt w:val="lowerLetter"/>
      <w:start w:val="8"/>
    </w:lvl>
  </w:abstractNum>
  <w:abstractNum w:abstractNumId="85">
    <w:nsid w:val="1716703B"/>
    <w:multiLevelType w:val="hybridMultilevel"/>
    <w:lvl w:ilvl="0">
      <w:lvlJc w:val="left"/>
      <w:lvlText w:val="%1."/>
      <w:numFmt w:val="lowerLetter"/>
      <w:start w:val="11"/>
    </w:lvl>
  </w:abstractNum>
  <w:abstractNum w:abstractNumId="86">
    <w:nsid w:val="14E17E33"/>
    <w:multiLevelType w:val="hybridMultilevel"/>
    <w:lvl w:ilvl="0">
      <w:lvlJc w:val="left"/>
      <w:lvlText w:val="%1"/>
      <w:numFmt w:val="decimal"/>
      <w:start w:val="1"/>
    </w:lvl>
    <w:lvl w:ilvl="1">
      <w:lvlJc w:val="left"/>
      <w:lvlText w:val="%2."/>
      <w:numFmt w:val="lowerLetter"/>
      <w:start w:val="12"/>
    </w:lvl>
  </w:abstractNum>
  <w:abstractNum w:abstractNumId="87">
    <w:nsid w:val="3222E7CD"/>
    <w:multiLevelType w:val="hybridMultilevel"/>
    <w:lvl w:ilvl="0">
      <w:lvlJc w:val="left"/>
      <w:lvlText w:val="%1."/>
      <w:numFmt w:val="decimal"/>
      <w:start w:val="7"/>
    </w:lvl>
    <w:lvl w:ilvl="1">
      <w:lvlJc w:val="left"/>
      <w:lvlText w:val="%2"/>
      <w:numFmt w:val="lowerLetter"/>
      <w:start w:val="1"/>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2019-12-28T19:32:58Z</dcterms:created>
  <dcterms:modified xsi:type="dcterms:W3CDTF">2019-12-28T19:32:58Z</dcterms:modified>
</cp:coreProperties>
</file>