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STAGLIN GAREN 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jc w:val="center"/>
        <w:ind w:right="24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12/01/2020</w:t>
      </w:r>
    </w:p>
    <w:p>
      <w:pPr>
        <w:spacing w:after="0" w:line="20" w:lineRule="exact"/>
        <w:rPr>
          <w:sz w:val="24"/>
          <w:szCs w:val="24"/>
          <w:color w:val="auto"/>
        </w:rPr>
      </w:pPr>
      <w:r>
        <w:rPr>
          <w:sz w:val="24"/>
          <w:szCs w:val="24"/>
          <w:color w:val="auto"/>
        </w:rPr>
        <w:br w:type="column"/>
      </w:r>
    </w:p>
    <w:p>
      <w:pPr>
        <w:ind w:left="-3" w:right="600" w:firstLine="3"/>
        <w:spacing w:after="0" w:line="263"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2"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202565</wp:posOffset>
            </wp:positionV>
            <wp:extent cx="6967220" cy="1871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871980"/>
                    </a:xfrm>
                    <a:prstGeom prst="rect">
                      <a:avLst/>
                    </a:prstGeom>
                    <a:noFill/>
                  </pic:spPr>
                </pic:pic>
              </a:graphicData>
            </a:graphic>
          </wp:anchor>
        </w:drawing>
      </w:r>
    </w:p>
    <w:p>
      <w:pPr>
        <w:spacing w:after="0" w:line="37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0"/>
                <w:szCs w:val="10"/>
                <w:color w:val="auto"/>
              </w:rPr>
            </w:pPr>
          </w:p>
        </w:tc>
        <w:tc>
          <w:tcPr>
            <w:tcW w:w="1120" w:type="dxa"/>
            <w:vAlign w:val="bottom"/>
            <w:gridSpan w:val="2"/>
          </w:tcPr>
          <w:p>
            <w:pPr>
              <w:ind w:left="10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0"/>
                <w:szCs w:val="10"/>
                <w:color w:val="auto"/>
              </w:rPr>
            </w:pPr>
          </w:p>
        </w:tc>
        <w:tc>
          <w:tcPr>
            <w:tcW w:w="86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5"/>
          </w:tcPr>
          <w:p>
            <w:pPr>
              <w:ind w:left="8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5"/>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60" w:type="dxa"/>
            <w:vAlign w:val="bottom"/>
            <w:tcBorders>
              <w:bottom w:val="single" w:sz="8" w:color="2C2C2C"/>
            </w:tcBorders>
            <w:gridSpan w:val="2"/>
          </w:tcPr>
          <w:p>
            <w:pPr>
              <w:jc w:val="right"/>
              <w:ind w:right="62"/>
              <w:spacing w:after="0"/>
              <w:rPr>
                <w:sz w:val="20"/>
                <w:szCs w:val="20"/>
                <w:color w:val="auto"/>
              </w:rPr>
            </w:pPr>
            <w:r>
              <w:rPr>
                <w:rFonts w:ascii="Times New Roman" w:cs="Times New Roman" w:eastAsia="Times New Roman" w:hAnsi="Times New Roman"/>
                <w:sz w:val="17"/>
                <w:szCs w:val="17"/>
                <w:color w:val="0000FF"/>
              </w:rPr>
              <w:t>12/01/2020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12"/>
              <w:spacing w:after="0"/>
              <w:rPr>
                <w:sz w:val="20"/>
                <w:szCs w:val="20"/>
                <w:color w:val="auto"/>
              </w:rPr>
            </w:pPr>
            <w:r>
              <w:rPr>
                <w:rFonts w:ascii="Times New Roman" w:cs="Times New Roman" w:eastAsia="Times New Roman" w:hAnsi="Times New Roman"/>
                <w:sz w:val="17"/>
                <w:szCs w:val="17"/>
                <w:color w:val="0000FF"/>
                <w:w w:val="99"/>
              </w:rPr>
              <w:t>4,758</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25,309</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60" w:type="dxa"/>
            <w:vAlign w:val="bottom"/>
            <w:tcBorders>
              <w:bottom w:val="single" w:sz="8" w:color="2C2C2C"/>
            </w:tcBorders>
            <w:gridSpan w:val="2"/>
          </w:tcPr>
          <w:p>
            <w:pPr>
              <w:jc w:val="right"/>
              <w:ind w:right="62"/>
              <w:spacing w:after="0"/>
              <w:rPr>
                <w:sz w:val="20"/>
                <w:szCs w:val="20"/>
                <w:color w:val="auto"/>
              </w:rPr>
            </w:pPr>
            <w:r>
              <w:rPr>
                <w:rFonts w:ascii="Times New Roman" w:cs="Times New Roman" w:eastAsia="Times New Roman" w:hAnsi="Times New Roman"/>
                <w:sz w:val="17"/>
                <w:szCs w:val="17"/>
                <w:color w:val="0000FF"/>
              </w:rPr>
              <w:t>12/01/2020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2"/>
              <w:spacing w:after="0"/>
              <w:rPr>
                <w:sz w:val="20"/>
                <w:szCs w:val="20"/>
                <w:color w:val="auto"/>
              </w:rPr>
            </w:pPr>
            <w:r>
              <w:rPr>
                <w:rFonts w:ascii="Times New Roman" w:cs="Times New Roman" w:eastAsia="Times New Roman" w:hAnsi="Times New Roman"/>
                <w:sz w:val="17"/>
                <w:szCs w:val="17"/>
                <w:color w:val="0000FF"/>
                <w:w w:val="99"/>
              </w:rPr>
              <w:t>3,858</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83.96</w:t>
            </w:r>
            <w:r>
              <w:rPr>
                <w:rFonts w:ascii="Times New Roman" w:cs="Times New Roman" w:eastAsia="Times New Roman" w:hAnsi="Times New Roman"/>
                <w:sz w:val="21"/>
                <w:szCs w:val="21"/>
                <w:color w:val="008000"/>
                <w:w w:val="93"/>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21,451</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60" w:type="dxa"/>
            <w:vAlign w:val="bottom"/>
            <w:tcBorders>
              <w:bottom w:val="single" w:sz="8" w:color="2C2C2C"/>
            </w:tcBorders>
            <w:gridSpan w:val="2"/>
          </w:tcPr>
          <w:p>
            <w:pPr>
              <w:jc w:val="right"/>
              <w:ind w:right="62"/>
              <w:spacing w:after="0"/>
              <w:rPr>
                <w:sz w:val="20"/>
                <w:szCs w:val="20"/>
                <w:color w:val="auto"/>
              </w:rPr>
            </w:pPr>
            <w:r>
              <w:rPr>
                <w:rFonts w:ascii="Times New Roman" w:cs="Times New Roman" w:eastAsia="Times New Roman" w:hAnsi="Times New Roman"/>
                <w:sz w:val="17"/>
                <w:szCs w:val="17"/>
                <w:color w:val="0000FF"/>
              </w:rPr>
              <w:t>12/01/2020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17"/>
                <w:szCs w:val="17"/>
                <w:color w:val="0000FF"/>
                <w:w w:val="93"/>
              </w:rPr>
              <w:t>900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84.65</w:t>
            </w:r>
            <w:r>
              <w:rPr>
                <w:rFonts w:ascii="Times New Roman" w:cs="Times New Roman" w:eastAsia="Times New Roman" w:hAnsi="Times New Roman"/>
                <w:sz w:val="21"/>
                <w:szCs w:val="21"/>
                <w:color w:val="008000"/>
                <w:w w:val="93"/>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20,551</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1,854</w:t>
            </w:r>
          </w:p>
        </w:tc>
        <w:tc>
          <w:tcPr>
            <w:tcW w:w="300" w:type="dxa"/>
            <w:vAlign w:val="bottom"/>
          </w:tcPr>
          <w:p>
            <w:pPr>
              <w:spacing w:after="0"/>
              <w:rPr>
                <w:sz w:val="21"/>
                <w:szCs w:val="21"/>
                <w:color w:val="auto"/>
              </w:rPr>
            </w:pPr>
          </w:p>
        </w:tc>
        <w:tc>
          <w:tcPr>
            <w:tcW w:w="560" w:type="dxa"/>
            <w:vAlign w:val="bottom"/>
            <w:vMerge w:val="restart"/>
          </w:tcPr>
          <w:p>
            <w:pPr>
              <w:jc w:val="center"/>
              <w:ind w:right="272"/>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6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2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vMerge w:val="restart"/>
          </w:tcPr>
          <w:p>
            <w:pPr>
              <w:jc w:val="right"/>
              <w:ind w:right="62"/>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4,758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21.5</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12/01/2020</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4,758</w:t>
            </w:r>
          </w:p>
        </w:tc>
        <w:tc>
          <w:tcPr>
            <w:tcW w:w="780" w:type="dxa"/>
            <w:vAlign w:val="bottom"/>
            <w:vMerge w:val="continue"/>
          </w:tcPr>
          <w:p>
            <w:pPr>
              <w:spacing w:after="0"/>
              <w:rPr>
                <w:sz w:val="12"/>
                <w:szCs w:val="12"/>
                <w:color w:val="auto"/>
              </w:rPr>
            </w:pPr>
          </w:p>
        </w:tc>
        <w:tc>
          <w:tcPr>
            <w:tcW w:w="70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01/03/2021</w:t>
            </w:r>
          </w:p>
        </w:tc>
        <w:tc>
          <w:tcPr>
            <w:tcW w:w="6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56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-2241550</wp:posOffset>
            </wp:positionV>
            <wp:extent cx="7033260" cy="2284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409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 2020, the reporting person exercised previously issued options to purchase an aggregate of 4,758 shares of common stock of ExlService Holdings, Inc.</w:t>
      </w:r>
    </w:p>
    <w:p>
      <w:pPr>
        <w:spacing w:after="0" w:line="45" w:lineRule="exact"/>
        <w:rPr>
          <w:rFonts w:ascii="Times New Roman" w:cs="Times New Roman" w:eastAsia="Times New Roman" w:hAnsi="Times New Roman"/>
          <w:sz w:val="13"/>
          <w:szCs w:val="13"/>
          <w:color w:val="008000"/>
        </w:rPr>
      </w:pPr>
    </w:p>
    <w:p>
      <w:pPr>
        <w:jc w:val="both"/>
        <w:ind w:left="40" w:right="180" w:firstLine="3"/>
        <w:spacing w:after="0" w:line="293"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was executed in multiple trades at prices ranging from $83.38 to $84.36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right="1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$$84.39 to $84.850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Staglin Family Irrevocable Trust of 2018 dated November 9, 2018.</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3, 2011, the reporting person was granted 7,258 stock options. 100 percent of these options became vested and exercisable on December 31, 2011.</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12/03/2020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149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2020-12-03T16:03:37Z</dcterms:created>
  <dcterms:modified xsi:type="dcterms:W3CDTF">2020-12-03T16:03:37Z</dcterms:modified>
</cp:coreProperties>
</file>