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6992620" cy="49536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4953635"/>
                    </a:xfrm>
                    <a:prstGeom prst="rect">
                      <a:avLst/>
                    </a:prstGeom>
                    <a:noFill/>
                  </pic:spPr>
                </pic:pic>
              </a:graphicData>
            </a:graphic>
          </wp:anchor>
        </w:drawing>
      </w:r>
    </w:p>
    <w:p>
      <w:pPr>
        <w:spacing w:after="0" w:line="39"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7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2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2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STAGLIN GAREN K</w:t>
              </w:r>
            </w:hyperlink>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880" w:type="dxa"/>
            <w:vAlign w:val="bottom"/>
            <w:gridSpan w:val="7"/>
          </w:tcPr>
          <w:p>
            <w:pPr>
              <w:spacing w:after="0" w:line="104" w:lineRule="exact"/>
              <w:rPr>
                <w:rFonts w:ascii="Arial" w:cs="Arial" w:eastAsia="Arial" w:hAnsi="Arial"/>
                <w:sz w:val="12"/>
                <w:szCs w:val="12"/>
                <w:color w:val="0000EE"/>
              </w:rPr>
            </w:pPr>
            <w:hyperlink r:id="rId13">
              <w:r>
                <w:rPr>
                  <w:rFonts w:ascii="Arial" w:cs="Arial" w:eastAsia="Arial" w:hAnsi="Arial"/>
                  <w:sz w:val="12"/>
                  <w:szCs w:val="12"/>
                  <w:color w:val="0000EE"/>
                </w:rPr>
                <w:t xml:space="preserve">ExlService Holdings,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EXLS</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6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5"/>
            <w:vMerge w:val="continue"/>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20" w:type="dxa"/>
            <w:vAlign w:val="bottom"/>
            <w:gridSpan w:val="5"/>
            <w:vMerge w:val="continue"/>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60" w:type="dxa"/>
            <w:vAlign w:val="bottom"/>
            <w:gridSpan w:val="4"/>
            <w:vMerge w:val="continue"/>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460" w:type="dxa"/>
            <w:vAlign w:val="bottom"/>
            <w:tcBorders>
              <w:top w:val="single" w:sz="8" w:color="0000EE"/>
            </w:tcBorders>
          </w:tcPr>
          <w:p>
            <w:pPr>
              <w:spacing w:after="0"/>
              <w:rPr>
                <w:sz w:val="8"/>
                <w:szCs w:val="8"/>
                <w:color w:val="auto"/>
              </w:rPr>
            </w:pPr>
          </w:p>
        </w:tc>
        <w:tc>
          <w:tcPr>
            <w:tcW w:w="5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5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60" w:type="dxa"/>
            <w:vAlign w:val="bottom"/>
          </w:tcPr>
          <w:p>
            <w:pPr>
              <w:spacing w:after="0"/>
              <w:rPr>
                <w:sz w:val="7"/>
                <w:szCs w:val="7"/>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46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88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15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0"/>
                <w:szCs w:val="10"/>
                <w:color w:val="auto"/>
              </w:rPr>
            </w:pPr>
          </w:p>
        </w:tc>
        <w:tc>
          <w:tcPr>
            <w:tcW w:w="1200" w:type="dxa"/>
            <w:vAlign w:val="bottom"/>
            <w:gridSpan w:val="3"/>
            <w:vMerge w:val="restart"/>
          </w:tcPr>
          <w:p>
            <w:pPr>
              <w:spacing w:after="0"/>
              <w:rPr>
                <w:sz w:val="20"/>
                <w:szCs w:val="20"/>
                <w:color w:val="auto"/>
              </w:rPr>
            </w:pPr>
            <w:r>
              <w:rPr>
                <w:rFonts w:ascii="Arial" w:cs="Arial" w:eastAsia="Arial" w:hAnsi="Arial"/>
                <w:sz w:val="13"/>
                <w:szCs w:val="13"/>
                <w:color w:val="auto"/>
              </w:rPr>
              <w:t>(First)</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80" w:type="dxa"/>
            <w:vAlign w:val="bottom"/>
            <w:gridSpan w:val="7"/>
            <w:vMerge w:val="continue"/>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ind w:left="140"/>
              <w:spacing w:after="0" w:line="122" w:lineRule="exact"/>
              <w:rPr>
                <w:sz w:val="20"/>
                <w:szCs w:val="20"/>
                <w:color w:val="auto"/>
              </w:rPr>
            </w:pPr>
            <w:r>
              <w:rPr>
                <w:rFonts w:ascii="Arial" w:cs="Arial" w:eastAsia="Arial" w:hAnsi="Arial"/>
                <w:sz w:val="13"/>
                <w:szCs w:val="13"/>
                <w:color w:val="auto"/>
              </w:rPr>
              <w:t>below)</w:t>
            </w: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ind w:left="260"/>
              <w:spacing w:after="0" w:line="122"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220" w:type="dxa"/>
            <w:vAlign w:val="bottom"/>
            <w:gridSpan w:val="4"/>
            <w:vMerge w:val="restart"/>
          </w:tcPr>
          <w:p>
            <w:pPr>
              <w:ind w:left="160"/>
              <w:spacing w:after="0"/>
              <w:rPr>
                <w:sz w:val="20"/>
                <w:szCs w:val="20"/>
                <w:color w:val="auto"/>
              </w:rPr>
            </w:pPr>
            <w:r>
              <w:rPr>
                <w:rFonts w:ascii="Arial" w:cs="Arial" w:eastAsia="Arial" w:hAnsi="Arial"/>
                <w:sz w:val="17"/>
                <w:szCs w:val="17"/>
                <w:color w:val="0000FF"/>
              </w:rPr>
              <w:t>06/17/2021</w:t>
            </w: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20" w:type="dxa"/>
            <w:vAlign w:val="bottom"/>
            <w:gridSpan w:val="7"/>
            <w:vMerge w:val="restart"/>
          </w:tcPr>
          <w:p>
            <w:pPr>
              <w:spacing w:after="0"/>
              <w:rPr>
                <w:sz w:val="20"/>
                <w:szCs w:val="20"/>
                <w:color w:val="auto"/>
              </w:rPr>
            </w:pPr>
            <w:r>
              <w:rPr>
                <w:rFonts w:ascii="Arial" w:cs="Arial" w:eastAsia="Arial" w:hAnsi="Arial"/>
                <w:sz w:val="17"/>
                <w:szCs w:val="17"/>
                <w:color w:val="0000FF"/>
              </w:rPr>
              <w:t>C/O EXLSERVICE HOLDINGS, INC.</w:t>
            </w:r>
          </w:p>
        </w:tc>
        <w:tc>
          <w:tcPr>
            <w:tcW w:w="1220" w:type="dxa"/>
            <w:vAlign w:val="bottom"/>
            <w:gridSpan w:val="4"/>
            <w:vMerge w:val="continue"/>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20" w:type="dxa"/>
            <w:vAlign w:val="bottom"/>
            <w:gridSpan w:val="7"/>
            <w:vMerge w:val="continue"/>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2420" w:type="dxa"/>
            <w:vAlign w:val="bottom"/>
            <w:gridSpan w:val="5"/>
            <w:vMerge w:val="restart"/>
          </w:tcPr>
          <w:p>
            <w:pPr>
              <w:spacing w:after="0"/>
              <w:rPr>
                <w:sz w:val="20"/>
                <w:szCs w:val="20"/>
                <w:color w:val="auto"/>
              </w:rPr>
            </w:pPr>
            <w:r>
              <w:rPr>
                <w:rFonts w:ascii="Arial" w:cs="Arial" w:eastAsia="Arial" w:hAnsi="Arial"/>
                <w:sz w:val="17"/>
                <w:szCs w:val="17"/>
                <w:color w:val="0000FF"/>
              </w:rPr>
              <w:t>320 PARK AVENUE 29TH FL</w:t>
            </w: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20" w:type="dxa"/>
            <w:vAlign w:val="bottom"/>
            <w:gridSpan w:val="5"/>
            <w:vMerge w:val="continue"/>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5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2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520" w:type="dxa"/>
            <w:vAlign w:val="bottom"/>
            <w:gridSpan w:val="8"/>
            <w:vMerge w:val="continue"/>
          </w:tcPr>
          <w:p>
            <w:pPr>
              <w:spacing w:after="0"/>
              <w:rPr>
                <w:sz w:val="8"/>
                <w:szCs w:val="8"/>
                <w:color w:val="auto"/>
              </w:rPr>
            </w:pPr>
          </w:p>
        </w:tc>
        <w:tc>
          <w:tcPr>
            <w:tcW w:w="240" w:type="dxa"/>
            <w:vAlign w:val="bottom"/>
          </w:tcPr>
          <w:p>
            <w:pPr>
              <w:spacing w:after="0"/>
              <w:rPr>
                <w:sz w:val="8"/>
                <w:szCs w:val="8"/>
                <w:color w:val="auto"/>
              </w:rPr>
            </w:pPr>
          </w:p>
        </w:tc>
        <w:tc>
          <w:tcPr>
            <w:tcW w:w="342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46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1060" w:type="dxa"/>
            <w:vAlign w:val="bottom"/>
            <w:gridSpan w:val="4"/>
            <w:vMerge w:val="restart"/>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1060" w:type="dxa"/>
            <w:vAlign w:val="bottom"/>
            <w:gridSpan w:val="4"/>
            <w:vMerge w:val="continue"/>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20" w:type="dxa"/>
            <w:vAlign w:val="bottom"/>
            <w:gridSpan w:val="10"/>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200" w:type="dxa"/>
            <w:vAlign w:val="bottom"/>
            <w:gridSpan w:val="3"/>
          </w:tcPr>
          <w:p>
            <w:pPr>
              <w:spacing w:after="0"/>
              <w:rPr>
                <w:sz w:val="20"/>
                <w:szCs w:val="20"/>
                <w:color w:val="auto"/>
              </w:rPr>
            </w:pPr>
            <w:r>
              <w:rPr>
                <w:rFonts w:ascii="Arial" w:cs="Arial" w:eastAsia="Arial" w:hAnsi="Arial"/>
                <w:sz w:val="17"/>
                <w:szCs w:val="17"/>
                <w:color w:val="0000FF"/>
              </w:rPr>
              <w:t>NY</w:t>
            </w:r>
          </w:p>
        </w:tc>
        <w:tc>
          <w:tcPr>
            <w:tcW w:w="1140" w:type="dxa"/>
            <w:vAlign w:val="bottom"/>
          </w:tcPr>
          <w:p>
            <w:pPr>
              <w:ind w:left="20"/>
              <w:spacing w:after="0"/>
              <w:rPr>
                <w:sz w:val="20"/>
                <w:szCs w:val="20"/>
                <w:color w:val="auto"/>
              </w:rPr>
            </w:pPr>
            <w:r>
              <w:rPr>
                <w:rFonts w:ascii="Arial" w:cs="Arial" w:eastAsia="Arial" w:hAnsi="Arial"/>
                <w:sz w:val="17"/>
                <w:szCs w:val="17"/>
                <w:color w:val="0000FF"/>
              </w:rPr>
              <w:t>10022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ind w:left="140"/>
              <w:spacing w:after="0" w:line="131"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1720" w:type="dxa"/>
            <w:vAlign w:val="bottom"/>
            <w:tcBorders>
              <w:bottom w:val="single" w:sz="8" w:color="2C2C2C"/>
            </w:tcBorders>
            <w:gridSpan w:val="2"/>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gridSpan w:val="4"/>
          </w:tcPr>
          <w:p>
            <w:pPr>
              <w:spacing w:after="0"/>
              <w:rPr>
                <w:sz w:val="10"/>
                <w:szCs w:val="10"/>
                <w:color w:val="auto"/>
              </w:rPr>
            </w:pPr>
          </w:p>
        </w:tc>
        <w:tc>
          <w:tcPr>
            <w:tcW w:w="2240" w:type="dxa"/>
            <w:vAlign w:val="bottom"/>
            <w:tcBorders>
              <w:bottom w:val="single" w:sz="8" w:color="2C2C2C"/>
            </w:tcBorders>
            <w:gridSpan w:val="5"/>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6760" w:type="dxa"/>
            <w:vAlign w:val="bottom"/>
            <w:tcBorders>
              <w:top w:val="single" w:sz="8" w:color="2C2C2C"/>
            </w:tcBorders>
            <w:gridSpan w:val="18"/>
          </w:tcPr>
          <w:p>
            <w:pPr>
              <w:ind w:left="3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2"/>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5"/>
          </w:tcPr>
          <w:p>
            <w:pPr>
              <w:ind w:left="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60" w:type="dxa"/>
            <w:vAlign w:val="bottom"/>
            <w:gridSpan w:val="5"/>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6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30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4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gridSpan w:val="3"/>
          </w:tcPr>
          <w:p>
            <w:pPr>
              <w:spacing w:after="0"/>
              <w:rPr>
                <w:sz w:val="7"/>
                <w:szCs w:val="7"/>
                <w:color w:val="auto"/>
              </w:rPr>
            </w:pPr>
          </w:p>
        </w:tc>
        <w:tc>
          <w:tcPr>
            <w:tcW w:w="1520" w:type="dxa"/>
            <w:vAlign w:val="bottom"/>
            <w:tcBorders>
              <w:bottom w:val="single" w:sz="8" w:color="2C2C2C"/>
            </w:tcBorders>
            <w:gridSpan w:val="4"/>
          </w:tcPr>
          <w:p>
            <w:pPr>
              <w:spacing w:after="0"/>
              <w:rPr>
                <w:sz w:val="7"/>
                <w:szCs w:val="7"/>
                <w:color w:val="auto"/>
              </w:rPr>
            </w:pPr>
          </w:p>
        </w:tc>
        <w:tc>
          <w:tcPr>
            <w:tcW w:w="2520" w:type="dxa"/>
            <w:vAlign w:val="bottom"/>
            <w:tcBorders>
              <w:bottom w:val="single" w:sz="8" w:color="2C2C2C"/>
            </w:tcBorders>
            <w:gridSpan w:val="6"/>
          </w:tcPr>
          <w:p>
            <w:pPr>
              <w:spacing w:after="0"/>
              <w:rPr>
                <w:sz w:val="7"/>
                <w:szCs w:val="7"/>
                <w:color w:val="auto"/>
              </w:rPr>
            </w:pPr>
          </w:p>
        </w:tc>
        <w:tc>
          <w:tcPr>
            <w:tcW w:w="18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460" w:type="dxa"/>
            <w:vAlign w:val="bottom"/>
            <w:tcBorders>
              <w:top w:val="single" w:sz="8" w:color="2C2C2C"/>
            </w:tcBorders>
          </w:tcPr>
          <w:p>
            <w:pPr>
              <w:spacing w:after="0"/>
              <w:rPr>
                <w:sz w:val="18"/>
                <w:szCs w:val="18"/>
                <w:color w:val="auto"/>
              </w:rPr>
            </w:pPr>
          </w:p>
        </w:tc>
        <w:tc>
          <w:tcPr>
            <w:tcW w:w="6760" w:type="dxa"/>
            <w:vAlign w:val="bottom"/>
            <w:tcBorders>
              <w:top w:val="single" w:sz="8" w:color="2C2C2C"/>
            </w:tcBorders>
            <w:gridSpan w:val="18"/>
          </w:tcPr>
          <w:p>
            <w:pPr>
              <w:ind w:left="5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60" w:type="dxa"/>
            <w:vAlign w:val="bottom"/>
            <w:gridSpan w:val="15"/>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50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2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Transaction   of</w:t>
            </w:r>
          </w:p>
        </w:tc>
        <w:tc>
          <w:tcPr>
            <w:tcW w:w="320" w:type="dxa"/>
            <w:vAlign w:val="bottom"/>
          </w:tcPr>
          <w:p>
            <w:pPr>
              <w:spacing w:after="0"/>
              <w:rPr>
                <w:sz w:val="11"/>
                <w:szCs w:val="11"/>
                <w:color w:val="auto"/>
              </w:rPr>
            </w:pP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ind w:left="20"/>
              <w:spacing w:after="0"/>
              <w:rPr>
                <w:sz w:val="20"/>
                <w:szCs w:val="20"/>
                <w:color w:val="auto"/>
              </w:rPr>
            </w:pPr>
            <w:r>
              <w:rPr>
                <w:rFonts w:ascii="Arial" w:cs="Arial" w:eastAsia="Arial" w:hAnsi="Arial"/>
                <w:sz w:val="13"/>
                <w:szCs w:val="13"/>
                <w:color w:val="0000FF"/>
              </w:rPr>
              <w:t>Common</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Restricted</w:t>
            </w:r>
          </w:p>
        </w:tc>
        <w:tc>
          <w:tcPr>
            <w:tcW w:w="62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200" w:type="dxa"/>
            <w:vAlign w:val="bottom"/>
          </w:tcPr>
          <w:p>
            <w:pPr>
              <w:spacing w:after="0"/>
              <w:rPr>
                <w:sz w:val="12"/>
                <w:szCs w:val="12"/>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640" w:type="dxa"/>
            <w:vAlign w:val="bottom"/>
          </w:tcPr>
          <w:p>
            <w:pPr>
              <w:ind w:left="100"/>
              <w:spacing w:after="0" w:line="143" w:lineRule="exact"/>
              <w:rPr>
                <w:sz w:val="20"/>
                <w:szCs w:val="20"/>
                <w:color w:val="auto"/>
              </w:rPr>
            </w:pPr>
            <w:r>
              <w:rPr>
                <w:rFonts w:ascii="Arial" w:cs="Arial" w:eastAsia="Arial" w:hAnsi="Arial"/>
                <w:sz w:val="13"/>
                <w:szCs w:val="13"/>
                <w:color w:val="0000FF"/>
              </w:rPr>
              <w:t>Stock,</w:t>
            </w:r>
          </w:p>
        </w:tc>
        <w:tc>
          <w:tcPr>
            <w:tcW w:w="520" w:type="dxa"/>
            <w:vAlign w:val="bottom"/>
            <w:gridSpan w:val="2"/>
            <w:vMerge w:val="restart"/>
          </w:tcPr>
          <w:p>
            <w:pPr>
              <w:ind w:left="40"/>
              <w:spacing w:after="0"/>
              <w:rPr>
                <w:sz w:val="20"/>
                <w:szCs w:val="20"/>
                <w:color w:val="auto"/>
              </w:rPr>
            </w:pPr>
            <w:r>
              <w:rPr>
                <w:rFonts w:ascii="Arial" w:cs="Arial" w:eastAsia="Arial" w:hAnsi="Arial"/>
                <w:sz w:val="17"/>
                <w:szCs w:val="17"/>
                <w:color w:val="0000FF"/>
              </w:rPr>
              <w:t>1,420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116"/>
              <w:spacing w:after="0" w:line="143" w:lineRule="exact"/>
              <w:rPr>
                <w:sz w:val="20"/>
                <w:szCs w:val="20"/>
                <w:color w:val="auto"/>
              </w:rPr>
            </w:pPr>
            <w:r>
              <w:rPr>
                <w:rFonts w:ascii="Arial" w:cs="Arial" w:eastAsia="Arial" w:hAnsi="Arial"/>
                <w:sz w:val="13"/>
                <w:szCs w:val="13"/>
                <w:color w:val="0000FF"/>
              </w:rPr>
              <w:t>06/17/2021</w:t>
            </w: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ind w:left="20"/>
              <w:spacing w:after="0" w:line="143" w:lineRule="exact"/>
              <w:rPr>
                <w:sz w:val="20"/>
                <w:szCs w:val="20"/>
                <w:color w:val="auto"/>
              </w:rPr>
            </w:pPr>
            <w:r>
              <w:rPr>
                <w:rFonts w:ascii="Arial" w:cs="Arial" w:eastAsia="Arial" w:hAnsi="Arial"/>
                <w:sz w:val="13"/>
                <w:szCs w:val="13"/>
                <w:color w:val="0000FF"/>
              </w:rPr>
              <w:t>A</w:t>
            </w:r>
          </w:p>
        </w:tc>
        <w:tc>
          <w:tcPr>
            <w:tcW w:w="560" w:type="dxa"/>
            <w:vAlign w:val="bottom"/>
          </w:tcPr>
          <w:p>
            <w:pPr>
              <w:ind w:left="180"/>
              <w:spacing w:after="0" w:line="143" w:lineRule="exact"/>
              <w:rPr>
                <w:sz w:val="20"/>
                <w:szCs w:val="20"/>
                <w:color w:val="auto"/>
              </w:rPr>
            </w:pPr>
            <w:r>
              <w:rPr>
                <w:rFonts w:ascii="Arial" w:cs="Arial" w:eastAsia="Arial" w:hAnsi="Arial"/>
                <w:sz w:val="13"/>
                <w:szCs w:val="13"/>
                <w:color w:val="0000FF"/>
              </w:rPr>
              <w:t>1,420</w:t>
            </w:r>
          </w:p>
        </w:tc>
        <w:tc>
          <w:tcPr>
            <w:tcW w:w="3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640" w:type="dxa"/>
            <w:vAlign w:val="bottom"/>
          </w:tcPr>
          <w:p>
            <w:pPr>
              <w:ind w:left="40"/>
              <w:spacing w:after="0" w:line="143" w:lineRule="exact"/>
              <w:rPr>
                <w:sz w:val="20"/>
                <w:szCs w:val="20"/>
                <w:color w:val="auto"/>
              </w:rPr>
            </w:pPr>
            <w:r>
              <w:rPr>
                <w:rFonts w:ascii="Arial" w:cs="Arial" w:eastAsia="Arial" w:hAnsi="Arial"/>
                <w:sz w:val="13"/>
                <w:szCs w:val="13"/>
                <w:color w:val="0000FF"/>
              </w:rPr>
              <w:t>par value</w:t>
            </w:r>
          </w:p>
        </w:tc>
        <w:tc>
          <w:tcPr>
            <w:tcW w:w="5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ind w:left="220"/>
              <w:spacing w:after="0" w:line="143" w:lineRule="exact"/>
              <w:rPr>
                <w:sz w:val="20"/>
                <w:szCs w:val="20"/>
                <w:color w:val="auto"/>
              </w:rPr>
            </w:pPr>
            <w:r>
              <w:rPr>
                <w:rFonts w:ascii="Arial" w:cs="Arial" w:eastAsia="Arial" w:hAnsi="Arial"/>
                <w:sz w:val="13"/>
                <w:szCs w:val="13"/>
                <w:color w:val="0000FF"/>
                <w:w w:val="90"/>
              </w:rPr>
              <w:t>56,197</w:t>
            </w:r>
          </w:p>
        </w:tc>
        <w:tc>
          <w:tcPr>
            <w:tcW w:w="26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Units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ind w:left="100"/>
              <w:spacing w:after="0" w:line="143" w:lineRule="exact"/>
              <w:rPr>
                <w:sz w:val="20"/>
                <w:szCs w:val="20"/>
                <w:color w:val="auto"/>
              </w:rPr>
            </w:pPr>
            <w:r>
              <w:rPr>
                <w:rFonts w:ascii="Arial" w:cs="Arial" w:eastAsia="Arial" w:hAnsi="Arial"/>
                <w:sz w:val="13"/>
                <w:szCs w:val="13"/>
                <w:color w:val="0000FF"/>
              </w:rPr>
              <w:t>$0.001</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ind w:left="40"/>
              <w:spacing w:after="0"/>
              <w:rPr>
                <w:sz w:val="20"/>
                <w:szCs w:val="20"/>
                <w:color w:val="auto"/>
              </w:rPr>
            </w:pPr>
            <w:r>
              <w:rPr>
                <w:rFonts w:ascii="Arial" w:cs="Arial" w:eastAsia="Arial" w:hAnsi="Arial"/>
                <w:sz w:val="13"/>
                <w:szCs w:val="13"/>
                <w:color w:val="0000FF"/>
              </w:rPr>
              <w:t>per share</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-2290445</wp:posOffset>
            </wp:positionV>
            <wp:extent cx="29210" cy="2295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295525"/>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the Company's common stock upon settlement.</w:t>
      </w:r>
    </w:p>
    <w:p>
      <w:pPr>
        <w:spacing w:after="0" w:line="45" w:lineRule="exact"/>
        <w:rPr>
          <w:rFonts w:ascii="Arial" w:cs="Arial" w:eastAsia="Arial" w:hAnsi="Arial"/>
          <w:sz w:val="13"/>
          <w:szCs w:val="13"/>
          <w:color w:val="008000"/>
        </w:rPr>
      </w:pPr>
    </w:p>
    <w:p>
      <w:pPr>
        <w:ind w:left="40" w:right="200" w:firstLine="3"/>
        <w:spacing w:after="0" w:line="236"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restricted stock units vest upon the earlier of (i) the first anniversary of the date of grant, (ii) the date on which the reporting person's term as a member of the Board of Directors of ExlService Holdings, Inc. (the "Board") expires if the reporting person is not subsequently elected to a new term on the Board, and (iii) the occurrence of a "Change in Control", as defined in the ExlService Holdings, Inc. 2018 Omnibus Incentive Plan (the "Plan"), and such awards settle upon the earlier of (i) the reporting person's death, (ii) the occurrence of a "Change of Control", as defined in the Plan and (iii) the date that is 180 days following the date on which the reporting person ceases to serve as a member of the Board for any reason other than due to such reporting person's death or, if later, the date of the reporting person's separation from service.</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ind w:left="6600"/>
        <w:spacing w:after="0" w:line="185"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3"/>
          <w:szCs w:val="33"/>
          <w:color w:val="0000FF"/>
          <w:vertAlign w:val="subscript"/>
        </w:rPr>
        <w:t>06/21/2021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23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38"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37149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2021-06-21T16:22:13Z</dcterms:created>
  <dcterms:modified xsi:type="dcterms:W3CDTF">2021-06-21T16:22:13Z</dcterms:modified>
</cp:coreProperties>
</file>