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Sections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82-0572194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664"/>
        <w:spacing w:after="0"/>
        <w:rPr>
          <w:sz w:val="20"/>
          <w:szCs w:val="20"/>
          <w:color w:val="auto"/>
        </w:rPr>
      </w:pPr>
      <w:r>
        <w:rPr>
          <w:rFonts w:ascii="Times New Roman" w:cs="Times New Roman" w:eastAsia="Times New Roman" w:hAnsi="Times New Roman"/>
          <w:sz w:val="17"/>
          <w:szCs w:val="17"/>
          <w:b w:val="1"/>
          <w:bCs w:val="1"/>
          <w:color w:val="auto"/>
        </w:rPr>
        <w:t>320 Park Avenue, 29th Floor,</w:t>
      </w:r>
    </w:p>
    <w:p>
      <w:pPr>
        <w:spacing w:after="0" w:line="43"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10022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304" w:space="720"/>
            <w:col w:w="30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277-7100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24" w:right="18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EXLS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On June 21, 2022, at the Annual Meeting of Stockholders (the “Annual Meeting”) of ExlService Holdings, Inc. (the “Company”), the Company’s stockholders approved the 2022 Employee Stock Purchase Plan (the “2022 Plan”). The 2022 Plan was previously approved, subject to stockholder approval, by the board of directors (the “Board”) of the Company on April 13, 2022.</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description in the first paragraph of this Item 5.02 is qualified in its entirety by reference to the 2022 Plan filed as Exhibit 10.1 to this Current Report on Form 8-K. For a more complete description of the 2022 Plan, please refer to “Proposal 2 — Approval of the ExlService Holdings, Inc. 2022 Employee Stock Purchase Plan” in the Company’s proxy statement filed with the Securities and Exchange Commission in connection with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June 21, 2022, at the Annual Meeting, the Company’s stockholders voted on the following items: (1) the election of all eight members of the Board, (2) the approval of the 2022 Plan, (3) the ratification of the appointment of Deloitte &amp; Touche LLP as the independent registered public accounting firm of the Company for fiscal year 2022, and (4) the approval, on a non-binding advisory basis, of the compensation of the named executive officers of the Company (“Say-on-Pay”).</w:t>
      </w:r>
    </w:p>
    <w:p>
      <w:pPr>
        <w:spacing w:after="0" w:line="180"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Each of the eight nominees for election to the Board was duly elected to serve as a director for a term of one year, until the 2023 annual meeting of stockholders, or until his or her successor is duly elected and qualified in accordance with the by-laws of the Company. The final results of the voting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4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For</w:t>
            </w:r>
          </w:p>
        </w:tc>
        <w:tc>
          <w:tcPr>
            <w:tcW w:w="8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40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Pandit</w:t>
            </w:r>
          </w:p>
        </w:tc>
        <w:tc>
          <w:tcPr>
            <w:tcW w:w="4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30,529,193</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155,150</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16,223</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1,111,301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4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30,549,504</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135,005</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16,057</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1,111,301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Minto</w:t>
            </w:r>
          </w:p>
        </w:tc>
        <w:tc>
          <w:tcPr>
            <w:tcW w:w="4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30,529,306</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155,326</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15,934</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1,111,301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Som Mittal</w:t>
            </w:r>
          </w:p>
        </w:tc>
        <w:tc>
          <w:tcPr>
            <w:tcW w:w="4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30,529,155</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155,355</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16,056</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1,111,301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Ostler</w:t>
            </w:r>
          </w:p>
        </w:tc>
        <w:tc>
          <w:tcPr>
            <w:tcW w:w="4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30,088,853</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595,537</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16,176</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1,111,301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Kristy Pipes</w:t>
            </w:r>
          </w:p>
        </w:tc>
        <w:tc>
          <w:tcPr>
            <w:tcW w:w="4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30,550,893</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133,776</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15,897</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1,111,301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Nitin Sahney</w:t>
            </w:r>
          </w:p>
        </w:tc>
        <w:tc>
          <w:tcPr>
            <w:tcW w:w="4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30,510,212</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174,103</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16,251</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1,111,301</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Jaynie Studenmund</w:t>
            </w:r>
          </w:p>
        </w:tc>
        <w:tc>
          <w:tcPr>
            <w:tcW w:w="4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30,546,496</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138,224</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15,846</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1,111,301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proposal to approve the 2022 Plan was approved. The final results of the voting were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5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w:t>
            </w:r>
          </w:p>
        </w:tc>
        <w:tc>
          <w:tcPr>
            <w:tcW w:w="24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2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4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5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30,673,880</w:t>
            </w:r>
          </w:p>
        </w:tc>
        <w:tc>
          <w:tcPr>
            <w:tcW w:w="2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14,302</w:t>
            </w:r>
          </w:p>
        </w:tc>
        <w:tc>
          <w:tcPr>
            <w:tcW w:w="2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12,384</w:t>
            </w:r>
          </w:p>
        </w:tc>
        <w:tc>
          <w:tcPr>
            <w:tcW w:w="26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1,111,301</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The proposal to ratify the appointment of Deloitte &amp; Touche LLP as the independent registered public accounting firm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fiscal year 2022 was approved. The final results of the voting were as follows:</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304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0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6"/>
        </w:trPr>
        <w:tc>
          <w:tcPr>
            <w:tcW w:w="322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31,701,214</w:t>
            </w:r>
          </w:p>
        </w:tc>
        <w:tc>
          <w:tcPr>
            <w:tcW w:w="30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48,788</w:t>
            </w:r>
          </w:p>
        </w:tc>
        <w:tc>
          <w:tcPr>
            <w:tcW w:w="30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61,865</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The Say-on-Pay proposal was approved. The final results of the voting were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5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0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4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5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30,424,487</w:t>
            </w:r>
          </w:p>
        </w:tc>
        <w:tc>
          <w:tcPr>
            <w:tcW w:w="25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258,647</w:t>
            </w:r>
          </w:p>
        </w:tc>
        <w:tc>
          <w:tcPr>
            <w:tcW w:w="24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17,432</w:t>
            </w:r>
          </w:p>
        </w:tc>
        <w:tc>
          <w:tcPr>
            <w:tcW w:w="26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1,111,301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4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ExlService Holdings, Inc. 2022 Employee Stock Purchase Plan.</w:t>
            </w:r>
          </w:p>
        </w:tc>
        <w:tc>
          <w:tcPr>
            <w:tcW w:w="5380" w:type="dxa"/>
            <w:vAlign w:val="bottom"/>
          </w:tcPr>
          <w:p>
            <w:pPr>
              <w:spacing w:after="0"/>
              <w:rPr>
                <w:sz w:val="22"/>
                <w:szCs w:val="22"/>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2022</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203" w:lineRule="exact"/>
        <w:rPr>
          <w:sz w:val="20"/>
          <w:szCs w:val="20"/>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PURPOSE.</w:t>
      </w:r>
    </w:p>
    <w:p>
      <w:pPr>
        <w:spacing w:after="0" w:line="229" w:lineRule="exact"/>
        <w:rPr>
          <w:rFonts w:ascii="Times New Roman" w:cs="Times New Roman" w:eastAsia="Times New Roman" w:hAnsi="Times New Roman"/>
          <w:sz w:val="18"/>
          <w:szCs w:val="18"/>
          <w:b w:val="1"/>
          <w:bCs w:val="1"/>
          <w:color w:val="auto"/>
        </w:rPr>
      </w:pPr>
    </w:p>
    <w:p>
      <w:pPr>
        <w:ind w:left="4" w:right="20" w:firstLine="436"/>
        <w:spacing w:after="0" w:line="255"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provides a means by which Eligible Employees of the Company and certain designated Related Corporations may be given an opportunity to purchase Common Stock. The Plan permits the Company to grant a series of Purchase Rights to Eligible Employees under an Employee Stock Purchase Plan. The Company intends (but makes no undertaking or representation to maintain) the Plan to qualify as an Employee Stock Purchase Plan. The provisions of the Plan, accordingly, will be construed in a manner that is consistent with the requirements of Section 423 of the Code where applicable. In addition, the Company may make separate Offerings which vary in terms (provided that such terms are not inconsistent with the provisions of the Plan or the requirements of an Employee Stock Purchase Plan where applicable), and the Company will designate which Related Corporations are participating in each separate Offering.</w:t>
      </w:r>
    </w:p>
    <w:p>
      <w:pPr>
        <w:spacing w:after="0" w:line="188"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means of the Plan, seeks to retain the services of such Eligible Employees, to secure and retain the services of new Eligible Employees and to provide incentives for such persons to exert maximum efforts for the success of the Company and its Related Corporations.</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are defined in Section 17 herein.</w:t>
      </w:r>
    </w:p>
    <w:p>
      <w:pPr>
        <w:spacing w:after="0" w:line="22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9" w:lineRule="exact"/>
        <w:rPr>
          <w:rFonts w:ascii="Times New Roman" w:cs="Times New Roman" w:eastAsia="Times New Roman" w:hAnsi="Times New Roman"/>
          <w:sz w:val="18"/>
          <w:szCs w:val="18"/>
          <w:b w:val="1"/>
          <w:bCs w:val="1"/>
          <w:color w:val="auto"/>
        </w:rPr>
      </w:pPr>
    </w:p>
    <w:p>
      <w:pPr>
        <w:ind w:left="4" w:right="80" w:firstLine="436"/>
        <w:spacing w:after="0" w:line="266"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administer the Plan, unless otherwise required by Applicable Law or determined by the Board. The Board retains concurrent authority to administer the Plan. To the extent the Board administers the Plan, references herein to the Committee shall be deemed to refer to the Board except where context dictates otherwise.</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have the power, subject to, and within the limitations of, the express provisions of the Plan:</w:t>
      </w:r>
    </w:p>
    <w:p>
      <w:pPr>
        <w:spacing w:after="0" w:line="117"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08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 including, without limitation, the determination of Offering Dates, Purchase Dates and Purchase Periods.</w:t>
      </w:r>
    </w:p>
    <w:p>
      <w:pPr>
        <w:spacing w:after="0" w:line="53" w:lineRule="exact"/>
        <w:rPr>
          <w:rFonts w:ascii="Times New Roman" w:cs="Times New Roman" w:eastAsia="Times New Roman" w:hAnsi="Times New Roman"/>
          <w:sz w:val="18"/>
          <w:szCs w:val="18"/>
          <w:color w:val="auto"/>
        </w:rPr>
      </w:pPr>
    </w:p>
    <w:p>
      <w:pPr>
        <w:ind w:left="444" w:right="400" w:firstLine="419"/>
        <w:spacing w:after="0" w:line="282" w:lineRule="auto"/>
        <w:tabs>
          <w:tab w:leader="none" w:pos="113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(A) which Related Corporations of the Company will be eligible to participate in the Plan and (B) in which Offering the Related Corporations will participate.</w:t>
      </w:r>
    </w:p>
    <w:p>
      <w:pPr>
        <w:spacing w:after="0" w:line="53" w:lineRule="exact"/>
        <w:rPr>
          <w:rFonts w:ascii="Times New Roman" w:cs="Times New Roman" w:eastAsia="Times New Roman" w:hAnsi="Times New Roman"/>
          <w:sz w:val="18"/>
          <w:szCs w:val="18"/>
          <w:color w:val="auto"/>
        </w:rPr>
      </w:pPr>
    </w:p>
    <w:p>
      <w:pPr>
        <w:ind w:left="444" w:firstLine="419"/>
        <w:spacing w:after="0" w:line="266" w:lineRule="auto"/>
        <w:tabs>
          <w:tab w:leader="none" w:pos="118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Committee, in the exercise of this power, may correct any defect, omission or inconsistency in the Plan, in a manner and to the extent it deems necessary or expedient to make the Plan fully effective.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left="1164" w:hanging="301"/>
        <w:spacing w:after="0"/>
        <w:tabs>
          <w:tab w:leader="none" w:pos="116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settle all controversies regarding the Plan and Purchase Rights granted under the Plan.</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or terminate the Plan at any time as provided in Section 13.</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Plan at any time as provided in Section 13.</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312" w:lineRule="auto"/>
        <w:tabs>
          <w:tab w:leader="none" w:pos="1222"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where applicable.</w:t>
      </w:r>
    </w:p>
    <w:p>
      <w:pPr>
        <w:spacing w:after="0" w:line="31" w:lineRule="exact"/>
        <w:rPr>
          <w:rFonts w:ascii="Times New Roman" w:cs="Times New Roman" w:eastAsia="Times New Roman" w:hAnsi="Times New Roman"/>
          <w:sz w:val="17"/>
          <w:szCs w:val="17"/>
          <w:color w:val="auto"/>
        </w:rPr>
      </w:pPr>
    </w:p>
    <w:p>
      <w:pPr>
        <w:ind w:left="444" w:firstLine="419"/>
        <w:spacing w:after="0" w:line="256" w:lineRule="auto"/>
        <w:tabs>
          <w:tab w:leader="none" w:pos="127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 Without limiting the generality of, and consistent with, the foregoing, the Committee specifically is authorized to adopt rules, procedures, and sub-plans regarding, without limitation, eligibility to participate in the Plan, the definition of eligible “compensation,”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w:t>
      </w:r>
    </w:p>
    <w:p>
      <w:pPr>
        <w:spacing w:after="0" w:line="187"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have the power to delegate to a subcommittee or the Chairperson of the Committee any of the administrative powers the Committee is authorized to exercise (and references to the Committee in this Plan and in any applicable Offering Document will thereafter be to such subcommittee, as applicable, except where context dictates otherwise), subject, however, to such resolutions, not inconsistent with the provisions of the Plan, as may be adopted from time to time. The Committee will have the final power to determine all questions of policy and expediency that may arise in the administration of the Plan.</w:t>
      </w:r>
    </w:p>
    <w:p>
      <w:pPr>
        <w:spacing w:after="0" w:line="183"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interpretations and constructions made by the Committee in good faith will not be subject to review by any person and will be final, binding and conclusive on all persons.</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SUBJECT TO THE PLAN.</w:t>
      </w:r>
    </w:p>
    <w:p>
      <w:pPr>
        <w:spacing w:after="0" w:line="229" w:lineRule="exact"/>
        <w:rPr>
          <w:rFonts w:ascii="Times New Roman" w:cs="Times New Roman" w:eastAsia="Times New Roman" w:hAnsi="Times New Roman"/>
          <w:sz w:val="18"/>
          <w:szCs w:val="18"/>
          <w:b w:val="1"/>
          <w:bCs w:val="1"/>
          <w:color w:val="auto"/>
        </w:rPr>
      </w:pPr>
    </w:p>
    <w:p>
      <w:pPr>
        <w:ind w:left="4" w:right="120" w:firstLine="436"/>
        <w:spacing w:after="0" w:line="282" w:lineRule="auto"/>
        <w:tabs>
          <w:tab w:leader="none" w:pos="68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800,000 shares of Common Stock.</w:t>
      </w:r>
    </w:p>
    <w:p>
      <w:pPr>
        <w:spacing w:after="0" w:line="161"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9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Purchase Right granted under the Plan terminates without having been exercised in full, the Common Stock not purchased under such Purchase Right will again become available for issuance under the Plan.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5" w:name="page6"/>
    <w:bookmarkEnd w:id="5"/>
    <w:p>
      <w:pPr>
        <w:ind w:left="4" w:right="20" w:firstLine="436"/>
        <w:spacing w:after="0" w:line="282" w:lineRule="auto"/>
        <w:tabs>
          <w:tab w:leader="none" w:pos="68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purchasable under the Plan will be authorized but unissued or reacquired Common Stock, including Common Stock repurchased by the Company on the open market or otherwise, in accordance with Applicable Law.</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PURCHASE RIGHTS; OFFERING.</w:t>
      </w:r>
    </w:p>
    <w:p>
      <w:pPr>
        <w:spacing w:after="0" w:line="229" w:lineRule="exact"/>
        <w:rPr>
          <w:sz w:val="20"/>
          <w:szCs w:val="20"/>
          <w:color w:val="auto"/>
        </w:rPr>
      </w:pPr>
    </w:p>
    <w:p>
      <w:pPr>
        <w:ind w:left="4" w:right="40"/>
        <w:spacing w:after="0" w:line="273" w:lineRule="auto"/>
        <w:rPr>
          <w:sz w:val="20"/>
          <w:szCs w:val="20"/>
          <w:color w:val="auto"/>
        </w:rPr>
      </w:pPr>
      <w:r>
        <w:rPr>
          <w:rFonts w:ascii="Times New Roman" w:cs="Times New Roman" w:eastAsia="Times New Roman" w:hAnsi="Times New Roman"/>
          <w:sz w:val="17"/>
          <w:szCs w:val="17"/>
          <w:color w:val="auto"/>
        </w:rPr>
        <w:t>The Committee may from time to time grant or provide for the grant of Purchase Rights to Eligible Employees under an Offering (consisting of one or more Purchase Periods) on an Offering Date or Offering Dates selected by the Committee. Each Offering will be in such form and will contain such terms and conditions as the Committee will deem appropriate, and will comply with Applicable Law and ensure that all Eligible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12 months beginning with the Offering Date, and the substance of the provisions contained in Sections 5 through 8, inclusive.</w:t>
      </w:r>
    </w:p>
    <w:p>
      <w:pPr>
        <w:spacing w:after="0" w:line="167" w:lineRule="exact"/>
        <w:rPr>
          <w:sz w:val="20"/>
          <w:szCs w:val="20"/>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rFonts w:ascii="Times New Roman" w:cs="Times New Roman" w:eastAsia="Times New Roman" w:hAnsi="Times New Roman"/>
          <w:sz w:val="18"/>
          <w:szCs w:val="18"/>
          <w:b w:val="1"/>
          <w:bCs w:val="1"/>
          <w:color w:val="auto"/>
        </w:rPr>
      </w:pPr>
    </w:p>
    <w:p>
      <w:pPr>
        <w:ind w:left="4" w:firstLine="436"/>
        <w:spacing w:after="0" w:line="253" w:lineRule="auto"/>
        <w:tabs>
          <w:tab w:leader="none" w:pos="68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may be granted only to Employees of the Company or, as the Committee may designate in accordance with Section 2(b), to Employees of a Related Corporation. Except as provided in Section 5(b) or as required by Applicable Law, an Employee will not be eligible to be granted Purchase Rights unless, on the Offering Date, the Employee has been in the employ of the Company or the Related Corporation, as the case may be, for such continuous period preceding such Offering Date as the Committee may require, but in no event will the required period of continuous employment be equal to or greater than two years. In addition, the Committee may provide that no Employee will be eligible to be granted Purchase Rights under the Plan unless, on the Offering Date, such Employee’s customary employment with the Company or the Related Corporation is more than</w:t>
      </w:r>
    </w:p>
    <w:p>
      <w:pPr>
        <w:spacing w:after="0" w:line="5" w:lineRule="exact"/>
        <w:rPr>
          <w:rFonts w:ascii="Times New Roman" w:cs="Times New Roman" w:eastAsia="Times New Roman" w:hAnsi="Times New Roman"/>
          <w:sz w:val="18"/>
          <w:szCs w:val="18"/>
          <w:color w:val="auto"/>
        </w:rPr>
      </w:pPr>
    </w:p>
    <w:p>
      <w:pPr>
        <w:ind w:left="4" w:right="240" w:hanging="4"/>
        <w:spacing w:after="0" w:line="255" w:lineRule="auto"/>
        <w:tabs>
          <w:tab w:leader="none" w:pos="2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per week and more than five months per calendar year or such other criteria as the Committee may determine consistent with Section 423 of the Code. Unless otherwise specified in the Offering, an Employee must be employed with the Company or, as the Committee may designate in accordance with Section 2(b), a Related Corporation in good standing to be eligible to be granted Purchase Rights.</w:t>
      </w:r>
    </w:p>
    <w:p>
      <w:pPr>
        <w:spacing w:after="0" w:line="185"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71" w:lineRule="exact"/>
        <w:rPr>
          <w:rFonts w:ascii="Times New Roman" w:cs="Times New Roman" w:eastAsia="Times New Roman" w:hAnsi="Times New Roman"/>
          <w:sz w:val="18"/>
          <w:szCs w:val="18"/>
          <w:color w:val="auto"/>
        </w:rPr>
      </w:pPr>
    </w:p>
    <w:p>
      <w:pPr>
        <w:ind w:left="444" w:right="740" w:firstLine="419"/>
        <w:spacing w:after="0" w:line="282" w:lineRule="auto"/>
        <w:tabs>
          <w:tab w:leader="none" w:pos="108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left="444" w:right="240" w:firstLine="419"/>
        <w:spacing w:after="0" w:line="282" w:lineRule="auto"/>
        <w:tabs>
          <w:tab w:leader="none" w:pos="113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period of the Offering with respect to such Purchase Right will begin on its Offering Date and end coincident with the end of such Offering; and</w:t>
      </w:r>
    </w:p>
    <w:p>
      <w:pPr>
        <w:spacing w:after="0" w:line="53" w:lineRule="exact"/>
        <w:rPr>
          <w:rFonts w:ascii="Times New Roman" w:cs="Times New Roman" w:eastAsia="Times New Roman" w:hAnsi="Times New Roman"/>
          <w:sz w:val="18"/>
          <w:szCs w:val="18"/>
          <w:color w:val="auto"/>
        </w:rPr>
      </w:pPr>
    </w:p>
    <w:p>
      <w:pPr>
        <w:ind w:left="444" w:right="180" w:firstLine="419"/>
        <w:spacing w:after="0" w:line="282" w:lineRule="auto"/>
        <w:tabs>
          <w:tab w:leader="none" w:pos="118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that if such person first becomes an Eligible Employee within a specified period of time before the end of the Offering, he or she will not receive any Purchase Right under that Offering.</w:t>
      </w:r>
    </w:p>
    <w:p>
      <w:pPr>
        <w:spacing w:after="0" w:line="161" w:lineRule="exact"/>
        <w:rPr>
          <w:rFonts w:ascii="Times New Roman" w:cs="Times New Roman" w:eastAsia="Times New Roman" w:hAnsi="Times New Roman"/>
          <w:sz w:val="18"/>
          <w:szCs w:val="18"/>
          <w:color w:val="auto"/>
        </w:rPr>
      </w:pPr>
    </w:p>
    <w:p>
      <w:pPr>
        <w:ind w:left="4" w:right="100" w:firstLine="436"/>
        <w:spacing w:after="0" w:line="281" w:lineRule="auto"/>
        <w:tabs>
          <w:tab w:leader="none" w:pos="68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Employee will be eligible for the grant of any Purchase Rights if, immediately after any such Purchase Rights are granted, such Employee owns shares possessing 5% or more of the total combined voting power or value of all classes of all shares of the Company or of any Related Corporation. For purposes of this Section 5(c), the rules of Section 424(d) of the Code will apply in determining the share ownership of any Employee, and shares which such Employee may purchase under all outstanding Purchase Rights and options will be treated as shares owned by such Employee.</w:t>
      </w:r>
    </w:p>
    <w:p>
      <w:pPr>
        <w:spacing w:after="0" w:line="164" w:lineRule="exact"/>
        <w:rPr>
          <w:rFonts w:ascii="Times New Roman" w:cs="Times New Roman" w:eastAsia="Times New Roman" w:hAnsi="Times New Roman"/>
          <w:sz w:val="17"/>
          <w:szCs w:val="17"/>
          <w:color w:val="auto"/>
        </w:rPr>
      </w:pPr>
    </w:p>
    <w:p>
      <w:pPr>
        <w:ind w:left="4" w:right="160" w:firstLine="436"/>
        <w:spacing w:after="0" w:line="258" w:lineRule="auto"/>
        <w:tabs>
          <w:tab w:leader="none" w:pos="6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shares of the Company or any Related Corporation to accrue at a rate which, when aggregated, exceeds U.S. $25,000 of Fair Market Value of such shares (determined at the time such rights are granted, and which, with respect to the Plan, will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6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of the Company and any designated Related Corporation, if they are otherwise Eligible Employees, will be eligible to participate in Offerings under the Plan. Notwithstanding the foregoing, the Committee may provide in an Offering that Employees who are highly compensated Employees within the meaning of Section 423(b)(4)(D) of the Code will not be eligible to participate.</w:t>
      </w:r>
    </w:p>
    <w:p>
      <w:pPr>
        <w:spacing w:after="0" w:line="17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RIGHTS; PURCHASE PRICE.</w:t>
      </w:r>
    </w:p>
    <w:p>
      <w:pPr>
        <w:spacing w:after="0" w:line="229" w:lineRule="exact"/>
        <w:rPr>
          <w:rFonts w:ascii="Times New Roman" w:cs="Times New Roman" w:eastAsia="Times New Roman" w:hAnsi="Times New Roman"/>
          <w:sz w:val="18"/>
          <w:szCs w:val="18"/>
          <w:b w:val="1"/>
          <w:bCs w:val="1"/>
          <w:color w:val="auto"/>
        </w:rPr>
      </w:pPr>
    </w:p>
    <w:p>
      <w:pPr>
        <w:ind w:left="4" w:right="20" w:firstLine="436"/>
        <w:spacing w:after="0" w:line="258" w:lineRule="auto"/>
        <w:tabs>
          <w:tab w:leader="none" w:pos="6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Committee, but in either case not exceeding 15% of such Employee’s compensation (as defined by the Committee in each Offering) during the period that begins on the Offering Date (or such later date as the Committee determines for a particular Offering) and ends on the date stated in the Offering, which date will be no later than the end of the Offering.</w:t>
      </w:r>
    </w:p>
    <w:p>
      <w:pPr>
        <w:spacing w:after="0" w:line="183"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establish one (or more than one, if the Committee deems advisable) Purchase Dates during an Offering on which Purchase Rights granted for that Offering will be exercised and shares of Common Stock will be purchased in accordance with such Offering.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7" w:name="page8"/>
    <w:bookmarkEnd w:id="7"/>
    <w:p>
      <w:pPr>
        <w:ind w:left="4" w:right="120" w:firstLine="436"/>
        <w:spacing w:after="0" w:line="255" w:lineRule="auto"/>
        <w:tabs>
          <w:tab w:leader="none" w:pos="6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each Offering made under the Plan, the Committee may specify (i) a maximum number of shares of Common Stock that may be purchased by any Participant on any Purchase Date during such Offering, (ii) a maximum aggregate number of shares of Common Stock that may be purchased by all Participants pursuant to such Offering, (iii) a maximum aggregate number of shares of Common Stock that may be purchased by all Participants on any Purchase Date under the Offering, and/or (iv) a maximum and/or minimum Contribution. If the aggregate purchase of Common Stock issuable upon exercise of Purchase Rights granted under the Offering would exceed any such maximum aggregate number, then, in the absence of any Committee action otherwise, a pro rata (based on each Participant’s accumulated Contributions) allocation of the shares of Common Stock available will be made in as nearly a uniform manner as will be practicable and equitable.</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Common Stock acquired pursuant to Purchase Rights will be not less than eighty-five percent (85%) of the lesser of:</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Common Stock on the Offering Date; or</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Common Stock on the applicable Purchase Date.</w:t>
      </w:r>
    </w:p>
    <w:p>
      <w:pPr>
        <w:spacing w:after="0" w:line="22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WITHDRAWAL; TERMINATION.</w:t>
      </w:r>
    </w:p>
    <w:p>
      <w:pPr>
        <w:spacing w:after="0" w:line="229" w:lineRule="exact"/>
        <w:rPr>
          <w:rFonts w:ascii="Times New Roman" w:cs="Times New Roman" w:eastAsia="Times New Roman" w:hAnsi="Times New Roman"/>
          <w:sz w:val="18"/>
          <w:szCs w:val="18"/>
          <w:b w:val="1"/>
          <w:bCs w:val="1"/>
          <w:color w:val="auto"/>
        </w:rPr>
      </w:pPr>
    </w:p>
    <w:p>
      <w:pPr>
        <w:ind w:left="4" w:right="20" w:firstLine="436"/>
        <w:spacing w:after="0" w:line="253" w:lineRule="auto"/>
        <w:tabs>
          <w:tab w:leader="none" w:pos="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Committee.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specifically provided in the Offering, in addition to or instead of making Contributions by payroll deductions, a Participant may make Contributions through the payment by cash, check or wire transfer prior to a Purchase Date.</w:t>
      </w:r>
    </w:p>
    <w:p>
      <w:pPr>
        <w:spacing w:after="0" w:line="194"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 w:name="page9"/>
    <w:bookmarkEnd w:id="8"/>
    <w:p>
      <w:pPr>
        <w:ind w:left="4" w:firstLine="436"/>
        <w:spacing w:after="0" w:line="254" w:lineRule="auto"/>
        <w:tabs>
          <w:tab w:leader="none" w:pos="6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 For purposes of this Plan, a Participant’s employment will be considered terminated as of the date that participant is no longer actively providing services as an employee and will not be extended by any notice period (i.e., active service would not include any contractual notice period or any period of “garden leave” or similar period mandated under employment laws in the jurisdiction where participant is employed or the terms of participant’s employment agreement, if any, but is not actively providing services); the Committee shall have the exclusive discretion to determine when the participant is no longer actively providing services for purposes of participation in the Plan.</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a Participant whose employment transfers or whose employment terminates with an</w:t>
      </w:r>
    </w:p>
    <w:p>
      <w:pPr>
        <w:spacing w:after="0" w:line="27" w:lineRule="exact"/>
        <w:rPr>
          <w:rFonts w:ascii="Times New Roman" w:cs="Times New Roman" w:eastAsia="Times New Roman" w:hAnsi="Times New Roman"/>
          <w:sz w:val="18"/>
          <w:szCs w:val="18"/>
          <w:color w:val="auto"/>
        </w:rPr>
      </w:pPr>
    </w:p>
    <w:p>
      <w:pPr>
        <w:ind w:left="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rehire (with no break in service) by or between the Company and a Related Corporation that has been designated for participation in the Plan will not be treated as having terminated employment for purposes of participating in the Plan or an Offering.</w:t>
      </w:r>
    </w:p>
    <w:p>
      <w:pPr>
        <w:spacing w:after="0" w:line="181" w:lineRule="exact"/>
        <w:rPr>
          <w:rFonts w:ascii="Times New Roman" w:cs="Times New Roman" w:eastAsia="Times New Roman" w:hAnsi="Times New Roman"/>
          <w:sz w:val="18"/>
          <w:szCs w:val="18"/>
          <w:color w:val="auto"/>
        </w:rPr>
      </w:pPr>
    </w:p>
    <w:p>
      <w:pPr>
        <w:jc w:val="both"/>
        <w:ind w:left="4" w:right="600" w:firstLine="436"/>
        <w:spacing w:after="0" w:line="266" w:lineRule="auto"/>
        <w:tabs>
          <w:tab w:leader="none" w:pos="6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Offering or required by Applicable Law, the Company will have no obligation to pay interest or earnings on Contributions.</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PURCHASE RIGHTS.</w:t>
      </w:r>
    </w:p>
    <w:p>
      <w:pPr>
        <w:spacing w:after="0" w:line="229" w:lineRule="exact"/>
        <w:rPr>
          <w:rFonts w:ascii="Times New Roman" w:cs="Times New Roman" w:eastAsia="Times New Roman" w:hAnsi="Times New Roman"/>
          <w:sz w:val="18"/>
          <w:szCs w:val="18"/>
          <w:b w:val="1"/>
          <w:bCs w:val="1"/>
          <w:color w:val="auto"/>
        </w:rPr>
      </w:pPr>
    </w:p>
    <w:p>
      <w:pPr>
        <w:ind w:left="4" w:right="160" w:firstLine="436"/>
        <w:spacing w:after="0" w:line="266" w:lineRule="auto"/>
        <w:tabs>
          <w:tab w:leader="none" w:pos="6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Purchase Date, each Participant’s accumulated Contributions will be applied to the purchase of Common Stock, up to the maximum number of shares of Common Stock permitted by the Plan and the applicable Offering, at the purchase price specified in the Offering. No fractional shares will be issued unless provided for in the Offering.</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Common Stock and such remaining amount is less than the amount required to purchase one share of Common Stock on the final Purchase Date of an Offering, then such remaining amount will be held in such Participant’s account for the purchase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Unless otherwise provided in the Offering, if the amount of Contributions remaining in a Participant’s account after the purchase of Common Stock is at least equal to the amount required to purchase one (1) whole share of Common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9" w:name="page10"/>
    <w:bookmarkEnd w:id="9"/>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on the final Purchase Date of an Offering, then such remaining amount will be distributed in full to such Participant after the final Purchase Date of such Offering without interest (unless the payment of interest is otherwise required by Applicable Law), unless such Participant elects to have such amounts held in such Participant’s account for the purchase of Common Stock under the next Offering under the Plan and such Participant is eligible to participate in such next Offering.</w:t>
      </w:r>
    </w:p>
    <w:p>
      <w:pPr>
        <w:spacing w:after="0" w:line="180" w:lineRule="exact"/>
        <w:rPr>
          <w:sz w:val="20"/>
          <w:szCs w:val="20"/>
          <w:color w:val="auto"/>
        </w:rPr>
      </w:pPr>
    </w:p>
    <w:p>
      <w:pPr>
        <w:ind w:left="4" w:firstLine="436"/>
        <w:spacing w:after="0" w:line="254" w:lineRule="auto"/>
        <w:tabs>
          <w:tab w:leader="none" w:pos="6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 Rights may be exercised to any extent unless the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Common Stock is not so registered or the Plan is not in such compliance, no Purchase Rights will be exercised on such Purchase Date, and the Purchase Date will be delayed until the Common Stock is subject to such an effective registration statement and the Plan is in material compliance, except that the Purchase Date will in no event be more than 6 months from the Offering Date. If, on the Purchase Date, as delayed to the maximum extent permissible, the Common Stock is not registered and the Plan is not in material compliance with all Applicable Laws, as determined by the Company in its sole discretion, no Purchase Rights will be exercised and all accumulated but unused Contributions will be distributed as soon as practicable to the Participants without interest (unless the payment of interest is otherwise required by Applicable Law).</w:t>
      </w:r>
    </w:p>
    <w:p>
      <w:pPr>
        <w:spacing w:after="0" w:line="188"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available for purchase for any Offering is insufficient to cover the number of whole shares of Common Stock which Participants have elected to purchase, then each Participant’s Purchase Rights for such Offering Period shall be reduced to the number of whole shares of Common Stock which the Committee shall determine by multiplying the number of shares of Common Stock available for the Offering by a fraction, the numerator of which shall be the number of shares of Common Stock for which such Participant would have been granted a Purchase Right if sufficient shares were available and the denominator of which shall be the total number of shares of Common Stock for which Purchase Rights would have been granted to all Participants if sufficient shares were available.</w:t>
      </w:r>
    </w:p>
    <w:p>
      <w:pPr>
        <w:spacing w:after="0" w:line="1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With respect to Non-U.S. Participants the Company may, but is not obligated to, seek to obtain from each Governing Entity such authority as may be required to grant Purchase Rights and issue and sell Common Stock thereunder to such Participants. If the Company does not obtain the authority that counsel for the Company deems necessary for the grant of Purchase Rights or the lawful issuance and sale of Common Stock under the Plan to Non-U.S. Participants, the Company will be relieved from any liability for failure to grant Purchase Rights and/or to issue and sell Common Stock upon exercise of such Purchase Rights to such Participants.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0" w:name="page11"/>
    <w:bookmarkEnd w:id="10"/>
    <w:p>
      <w:pPr>
        <w:ind w:left="264" w:hanging="264"/>
        <w:spacing w:after="0"/>
        <w:tabs>
          <w:tab w:leader="none" w:pos="26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DESIGNATION OF BENEFICIARY.</w:t>
      </w:r>
    </w:p>
    <w:p>
      <w:pPr>
        <w:spacing w:after="0" w:line="229" w:lineRule="exact"/>
        <w:rPr>
          <w:rFonts w:ascii="Times New Roman" w:cs="Times New Roman" w:eastAsia="Times New Roman" w:hAnsi="Times New Roman"/>
          <w:sz w:val="18"/>
          <w:szCs w:val="18"/>
          <w:b w:val="1"/>
          <w:bCs w:val="1"/>
          <w:color w:val="auto"/>
        </w:rPr>
      </w:pPr>
    </w:p>
    <w:p>
      <w:pPr>
        <w:ind w:left="4" w:right="20" w:firstLine="436"/>
        <w:spacing w:after="0" w:line="261" w:lineRule="auto"/>
        <w:tabs>
          <w:tab w:leader="none" w:pos="6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18"/>
          <w:szCs w:val="18"/>
          <w:color w:val="auto"/>
        </w:rPr>
      </w:pPr>
    </w:p>
    <w:p>
      <w:pPr>
        <w:jc w:val="both"/>
        <w:ind w:left="4" w:right="100" w:firstLine="436"/>
        <w:spacing w:after="0" w:line="258" w:lineRule="auto"/>
        <w:tabs>
          <w:tab w:leader="none" w:pos="6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Common Stock and/or Contributions to the executor or administrator of the estate of the Participant. If no executor or administrator has been appointed (to the knowledge of the Company), the Company, in its sole discretion, may deliver such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CORPORATE TRANSACTIONS.</w:t>
      </w:r>
    </w:p>
    <w:p>
      <w:pPr>
        <w:spacing w:after="0" w:line="229" w:lineRule="exact"/>
        <w:rPr>
          <w:rFonts w:ascii="Times New Roman" w:cs="Times New Roman" w:eastAsia="Times New Roman" w:hAnsi="Times New Roman"/>
          <w:sz w:val="18"/>
          <w:szCs w:val="18"/>
          <w:b w:val="1"/>
          <w:bCs w:val="1"/>
          <w:color w:val="auto"/>
        </w:rPr>
      </w:pPr>
    </w:p>
    <w:p>
      <w:pPr>
        <w:ind w:left="4" w:right="120" w:firstLine="436"/>
        <w:spacing w:after="0" w:line="261" w:lineRule="auto"/>
        <w:tabs>
          <w:tab w:leader="none" w:pos="6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Capitalization Adjustment, the Committee will appropriately and proportionately adjust: (i) the class(es) and maximum 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Committee will make these adjustments, and its determination will be final, binding and conclusive.</w:t>
      </w:r>
    </w:p>
    <w:p>
      <w:pPr>
        <w:spacing w:after="0" w:line="179" w:lineRule="exact"/>
        <w:rPr>
          <w:rFonts w:ascii="Times New Roman" w:cs="Times New Roman" w:eastAsia="Times New Roman" w:hAnsi="Times New Roman"/>
          <w:sz w:val="18"/>
          <w:szCs w:val="18"/>
          <w:color w:val="auto"/>
        </w:rPr>
      </w:pPr>
    </w:p>
    <w:p>
      <w:pPr>
        <w:ind w:left="4" w:right="240" w:firstLine="436"/>
        <w:spacing w:after="0" w:line="256" w:lineRule="auto"/>
        <w:tabs>
          <w:tab w:leader="none" w:pos="6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Common Stock within ten business days prior to the Corporate Transaction under the outstanding Purchase Rights, and the Purchase Rights and this Plan will terminate immediately after such purchase.</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SHARES; HOLDING PERIOD.</w:t>
      </w:r>
    </w:p>
    <w:p>
      <w:pPr>
        <w:spacing w:after="0" w:line="229"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6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 shares of Common Stock purchased upon the exercise of Purchase Right under the Plan may be registered in book entry form or represented in certificate form and shall be held for the Participant in an investment account maintained by the Plan’s third-party custodian. The shares of Common Stock in a Participant’s investment account shall be registered in the Participant’s name (or, to the extent permitted under procedures established by the third-party custodian, jointly in the names of the Participant and the Participant’s spouse or beneficiary). No Participant (or any person who makes a claim through a Participant) shall have any interest in any shares of Common Stock subject to a Purchase Right until such Purchase Right has been exercised and the related shares of Common Stock have been registered in the Participant’s investment account. The Committee may impose restrictions on the sale or transfer of shares held in a Participant’s investment account, in accordance with Code section 423, with respect to any shares of Stock purchased under the Plan if the purchase discount exceeds 5%.</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11" w:name="page12"/>
    <w:bookmarkEnd w:id="11"/>
    <w:p>
      <w:pPr>
        <w:ind w:left="4" w:firstLine="436"/>
        <w:spacing w:after="0" w:line="261" w:lineRule="auto"/>
        <w:tabs>
          <w:tab w:leader="none" w:pos="69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unless otherwise provided by the Committee, no shares of Common Stock purchased in any Offering under the Plan may be transferred out of the Participant’s Plan investment account to any other brokerage account designated by the Participant for twelve (12) months after the Purchase Date on which such shares were purchased. Any fees associated with the sale or transfer of any shares of Common Stock shall be borne by the Participant.</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OR SUSPENSION OF THE PLAN.</w:t>
      </w:r>
    </w:p>
    <w:p>
      <w:pPr>
        <w:spacing w:after="0" w:line="229" w:lineRule="exact"/>
        <w:rPr>
          <w:rFonts w:ascii="Times New Roman" w:cs="Times New Roman" w:eastAsia="Times New Roman" w:hAnsi="Times New Roman"/>
          <w:sz w:val="18"/>
          <w:szCs w:val="18"/>
          <w:b w:val="1"/>
          <w:bCs w:val="1"/>
          <w:color w:val="auto"/>
        </w:rPr>
      </w:pPr>
    </w:p>
    <w:p>
      <w:pPr>
        <w:ind w:left="4" w:right="160" w:firstLine="436"/>
        <w:spacing w:after="0" w:line="266"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amend the Plan at any time in any respect the Committee deems necessary or advisable. However, except as provided in Section 11(a) relating to Capitalization Adjustments, stockholder approval will be required for any amendment of the Plan for which stockholder approval is required by Applicable Law.</w:t>
      </w:r>
    </w:p>
    <w:p>
      <w:pPr>
        <w:spacing w:after="0" w:line="17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suspend or terminate the Plan at any time. No Purchase Rights may be granted under the Plan while the Plan is suspended or after it is terminated.</w:t>
      </w:r>
    </w:p>
    <w:p>
      <w:pPr>
        <w:spacing w:after="0" w:line="161"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Committee, or (iii) as necessary to obtain or maintain favorable tax, listing, or regulatory treatment. To be clear, the Committee may amend outstanding Purchase Rights without a Participant’s consent if such amendment is necessary to ensure that the Purchase Right and/or the Plan complies with the requirements of Section 423 of the Code or with respect to other Applicable Laws. Notwithstanding anything in the Plan or any Offering Document to the contrary, the Committee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Committee determines in its sole discretion advisable that are consistent with the Plan. The actions of the Committee pursuant to this paragraph will not be considered to alter or impair any Purchase Rights granted under an Offering as they are part of the initial terms of each Offering and the Purchase Rights granted under each Offering.</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2" w:name="page13"/>
    <w:bookmarkEnd w:id="12"/>
    <w:p>
      <w:pPr>
        <w:ind w:left="264" w:hanging="264"/>
        <w:spacing w:after="0"/>
        <w:tabs>
          <w:tab w:leader="none" w:pos="26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QUALIFICATION; TAX WITHHOLDING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 w:firstLine="436"/>
        <w:spacing w:after="0" w:line="261" w:lineRule="auto"/>
        <w:tabs>
          <w:tab w:leader="none" w:pos="6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79"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will make arrangements, satisfactory to the Company and any applicable Related Corporation, to enable the Company or the Related Corporation to fulfill any withholding obligation for Tax-Related Items. Without limitation to the foregoing, the amount necessary to satisfy such withholding obligation may be withheld (i) from the Participant’s salary or any other cash payment due to the Participant from the Company or a Related Corporation or (ii) from the proceeds of the sale of Common Stock acquired under the Plan.</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The Plan will become effective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Committee.</w:t>
      </w:r>
    </w:p>
    <w:p>
      <w:pPr>
        <w:spacing w:after="0" w:line="172" w:lineRule="exact"/>
        <w:rPr>
          <w:sz w:val="20"/>
          <w:szCs w:val="20"/>
          <w:color w:val="auto"/>
        </w:rPr>
      </w:pPr>
    </w:p>
    <w:p>
      <w:pPr>
        <w:ind w:left="264" w:hanging="264"/>
        <w:spacing w:after="0"/>
        <w:tabs>
          <w:tab w:leader="none" w:pos="2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Common Stock pursuant to Purchase Rights will constitute general funds of the Company.</w:t>
      </w:r>
    </w:p>
    <w:p>
      <w:pPr>
        <w:spacing w:after="0" w:line="225" w:lineRule="exact"/>
        <w:rPr>
          <w:rFonts w:ascii="Times New Roman" w:cs="Times New Roman" w:eastAsia="Times New Roman" w:hAnsi="Times New Roman"/>
          <w:sz w:val="18"/>
          <w:szCs w:val="18"/>
          <w:color w:val="auto"/>
        </w:rPr>
      </w:pPr>
    </w:p>
    <w:p>
      <w:pPr>
        <w:jc w:val="both"/>
        <w:ind w:left="4" w:right="320" w:firstLine="436"/>
        <w:spacing w:after="0" w:line="266"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any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color w:val="auto"/>
        </w:rPr>
      </w:pPr>
    </w:p>
    <w:p>
      <w:pPr>
        <w:jc w:val="both"/>
        <w:ind w:left="4" w:right="180" w:firstLine="436"/>
        <w:spacing w:after="0" w:line="266" w:lineRule="auto"/>
        <w:tabs>
          <w:tab w:leader="none" w:pos="6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75"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 of laws rules. This Plan shall be interpreted and construed in accordance with the laws of the State of Delaware.</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66" w:right="499" w:bottom="1440" w:gutter="0" w:footer="0" w:header="0"/>
        </w:sectPr>
      </w:pPr>
    </w:p>
    <w:bookmarkStart w:id="13" w:name="page14"/>
    <w:bookmarkEnd w:id="13"/>
    <w:p>
      <w:pPr>
        <w:ind w:right="100" w:firstLine="436"/>
        <w:spacing w:after="0" w:line="289" w:lineRule="auto"/>
        <w:tabs>
          <w:tab w:leader="none" w:pos="6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applicable law and in the discretion of the Committee, an Eligible Employee may submit any form or notice as set forth herein by means of an electronic form approved by the Committee. Before the commencement of an Offering, the Committee may prescribe the time limits within which any such electronic form shall be submitted to the Committee with respect to such Offering in order to be a valid election.</w:t>
      </w:r>
    </w:p>
    <w:p>
      <w:pPr>
        <w:spacing w:after="0" w:line="157" w:lineRule="exact"/>
        <w:rPr>
          <w:rFonts w:ascii="Times New Roman" w:cs="Times New Roman" w:eastAsia="Times New Roman" w:hAnsi="Times New Roman"/>
          <w:sz w:val="17"/>
          <w:szCs w:val="17"/>
          <w:color w:val="auto"/>
        </w:rPr>
      </w:pPr>
    </w:p>
    <w:p>
      <w:pPr>
        <w:ind w:right="60" w:firstLine="436"/>
        <w:spacing w:after="0" w:line="266"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if any, for the delivery of shares of Common Stock to a Participant or commissions upon the sale of Common Stock shall be paid by the Participant using such service. Other expenses associated with the Plan, if any, at the discretion of the Committee, will be allocated as deemed appropriate by the Committee.</w:t>
      </w:r>
    </w:p>
    <w:p>
      <w:pPr>
        <w:spacing w:after="0" w:line="175"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payroll deduction authorizations and other communications from a Participant to the Committee under, or in connection with, the Plan shall be deemed to have been filed with the Committee when actually received in the form specified by the Committee at the location, or by the person, designated by the Committee for the receipt of such authorizations and communications.</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granting of a Purchase Right to an employee, nor the deductions from his or her pay shall cause such employee to be a stockholder of the Common Stock covered by a Purchase Right until such shares of Common Stock have been purchased by and issued to him or 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sz w:val="20"/>
          <w:szCs w:val="20"/>
          <w:color w:val="auto"/>
        </w:rPr>
      </w:pPr>
    </w:p>
    <w:p>
      <w:pPr>
        <w:ind w:right="20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Nasdaq or the Financial Industry Regulatory Authority).</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rFonts w:ascii="Times New Roman" w:cs="Times New Roman" w:eastAsia="Times New Roman" w:hAnsi="Times New Roman"/>
          <w:sz w:val="18"/>
          <w:szCs w:val="18"/>
          <w:color w:val="auto"/>
        </w:rPr>
      </w:pPr>
    </w:p>
    <w:p>
      <w:pPr>
        <w:ind w:firstLine="436"/>
        <w:spacing w:after="0" w:line="274" w:lineRule="auto"/>
        <w:tabs>
          <w:tab w:leader="none" w:pos="68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“Capitalization Adjustment” means any change that is made in, or other events that occur with respect to, the shares of Common Stock subject to the Plan or subject to any Purchase Right after the date the Plan is adopted by the Committee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14" w:name="page15"/>
    <w:bookmarkEnd w:id="14"/>
    <w:p>
      <w:pPr>
        <w:ind w:left="680" w:hanging="264"/>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“Code” means the U.S.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Committee of the Board.</w:t>
      </w:r>
    </w:p>
    <w:p>
      <w:pPr>
        <w:spacing w:after="0" w:line="225"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shares of common stock of the Company par value $0.001 per share.</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ExlService Holdings, Inc., a Delaware corporation, and any successor corporation thereto.</w:t>
      </w:r>
    </w:p>
    <w:p>
      <w:pPr>
        <w:spacing w:after="0" w:line="225" w:lineRule="exact"/>
        <w:rPr>
          <w:rFonts w:ascii="Times New Roman" w:cs="Times New Roman" w:eastAsia="Times New Roman" w:hAnsi="Times New Roman"/>
          <w:sz w:val="18"/>
          <w:szCs w:val="18"/>
          <w:color w:val="auto"/>
        </w:rPr>
      </w:pPr>
    </w:p>
    <w:p>
      <w:pPr>
        <w:ind w:left="-20" w:right="140" w:firstLine="436"/>
        <w:spacing w:after="0" w:line="261"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79" w:lineRule="exact"/>
        <w:rPr>
          <w:rFonts w:ascii="Times New Roman" w:cs="Times New Roman" w:eastAsia="Times New Roman" w:hAnsi="Times New Roman"/>
          <w:sz w:val="18"/>
          <w:szCs w:val="18"/>
          <w:color w:val="auto"/>
        </w:rPr>
      </w:pPr>
    </w:p>
    <w:p>
      <w:pPr>
        <w:ind w:left="-20" w:right="60" w:firstLine="436"/>
        <w:spacing w:after="0" w:line="25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Transaction” means the consummation, in a single transaction or in a series of related transactions, of any one or more of the following events: (i) a sale or other disposition of all or substantially all, as determined by the Board in its sole discretion, of the consolidated assets of the Company and its Subsidiaries; (ii) a sale or other disposition of more than 50% of the outstanding securities of the Company; (iii) a merger, consolidation or similar transaction following which the Company is not the surviving corporation; or (iv)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8"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w:t>
      </w:r>
    </w:p>
    <w:p>
      <w:pPr>
        <w:spacing w:after="0" w:line="225" w:lineRule="exact"/>
        <w:rPr>
          <w:rFonts w:ascii="Times New Roman" w:cs="Times New Roman" w:eastAsia="Times New Roman" w:hAnsi="Times New Roman"/>
          <w:sz w:val="18"/>
          <w:szCs w:val="18"/>
          <w:color w:val="auto"/>
        </w:rPr>
      </w:pPr>
    </w:p>
    <w:p>
      <w:pPr>
        <w:ind w:left="-20" w:firstLine="436"/>
        <w:spacing w:after="0" w:line="282"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date of the annual meeting of stockholders of the Company held in 2022, provided that this Plan is approved by the Company’s stockholders at such meeting.</w:t>
      </w:r>
    </w:p>
    <w:p>
      <w:pPr>
        <w:spacing w:after="0" w:line="161" w:lineRule="exact"/>
        <w:rPr>
          <w:rFonts w:ascii="Times New Roman" w:cs="Times New Roman" w:eastAsia="Times New Roman" w:hAnsi="Times New Roman"/>
          <w:sz w:val="18"/>
          <w:szCs w:val="18"/>
          <w:color w:val="auto"/>
        </w:rPr>
      </w:pPr>
    </w:p>
    <w:p>
      <w:pPr>
        <w:ind w:left="-20" w:right="360" w:firstLine="436"/>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61" w:lineRule="exact"/>
        <w:rPr>
          <w:rFonts w:ascii="Times New Roman" w:cs="Times New Roman" w:eastAsia="Times New Roman" w:hAnsi="Times New Roman"/>
          <w:sz w:val="18"/>
          <w:szCs w:val="18"/>
          <w:color w:val="auto"/>
        </w:rPr>
      </w:pPr>
    </w:p>
    <w:p>
      <w:pPr>
        <w:ind w:left="-20" w:right="360" w:firstLine="436"/>
        <w:spacing w:after="0" w:line="266" w:lineRule="auto"/>
        <w:tabs>
          <w:tab w:leader="none" w:pos="7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75"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 means a plan that grants Purchase Rights intended to be options issued under an “Employee Stock Purchase Plan,” as that term is defined in Section 423(b) of the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15" w:name="page16"/>
    <w:bookmarkEnd w:id="15"/>
    <w:p>
      <w:pPr>
        <w:ind w:left="680" w:hanging="26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Act”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as of any date, the value of the Common Stock determined as follows:</w:t>
      </w:r>
    </w:p>
    <w:p>
      <w:pPr>
        <w:spacing w:after="0" w:line="117" w:lineRule="exact"/>
        <w:rPr>
          <w:rFonts w:ascii="Times New Roman" w:cs="Times New Roman" w:eastAsia="Times New Roman" w:hAnsi="Times New Roman"/>
          <w:sz w:val="18"/>
          <w:szCs w:val="18"/>
          <w:color w:val="auto"/>
        </w:rPr>
      </w:pPr>
    </w:p>
    <w:p>
      <w:pPr>
        <w:ind w:left="420" w:right="180" w:firstLine="419"/>
        <w:spacing w:after="0" w:line="256" w:lineRule="auto"/>
        <w:tabs>
          <w:tab w:leader="none" w:pos="105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exchange or traded on any established market, the Fair Market Value of a share of Common Stock will be, unless otherwise determined by the Committee, the closing sales price for such Common Stock as quoted on such exchange or market (or the exchange or market with the greatest volume of trading in the Common Stock) on the date of determination, as reported in such source as the Committee deems reliable. Unless otherwise provided by the Committee, if there is no closing sales price for the Common Stock on the date of determination, then the Fair Market Value will be the closing sales price on the last preceding date for which such quotation exists.</w:t>
      </w:r>
    </w:p>
    <w:p>
      <w:pPr>
        <w:spacing w:after="0" w:line="79" w:lineRule="exact"/>
        <w:rPr>
          <w:rFonts w:ascii="Times New Roman" w:cs="Times New Roman" w:eastAsia="Times New Roman" w:hAnsi="Times New Roman"/>
          <w:sz w:val="18"/>
          <w:szCs w:val="18"/>
          <w:color w:val="auto"/>
        </w:rPr>
      </w:pPr>
    </w:p>
    <w:p>
      <w:pPr>
        <w:ind w:left="420" w:right="440" w:firstLine="419"/>
        <w:spacing w:after="0" w:line="282" w:lineRule="auto"/>
        <w:tabs>
          <w:tab w:leader="none" w:pos="110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Common Stock, the Fair Market Value will be determined by the Committee in good faith in compliance with Applicable Law and in a manner that complies with Sections 409A of the Code.</w:t>
      </w:r>
    </w:p>
    <w:p>
      <w:pPr>
        <w:spacing w:after="0" w:line="161"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Body”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Governing Entity and any court or other tribunal, and for the avoidance of doubt, any Tax authority) or other body exercising similar powers or authority; or (d) self-regulatory organization (including Nasdaq and the Financial Industry Regulatory Authority).</w:t>
      </w:r>
    </w:p>
    <w:p>
      <w:pPr>
        <w:spacing w:after="0" w:line="187"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Entity” means each U.S. federal or state, foreign or other regulatory commission or agency having jurisdiction over the Plan.</w:t>
      </w:r>
    </w:p>
    <w:p>
      <w:pPr>
        <w:spacing w:after="0" w:line="225"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Participants” means Participants employed by any Related Corporation that is not incorporated or organized in the United States.</w:t>
      </w:r>
    </w:p>
    <w:p>
      <w:pPr>
        <w:spacing w:after="0" w:line="225" w:lineRule="exact"/>
        <w:rPr>
          <w:rFonts w:ascii="Times New Roman" w:cs="Times New Roman" w:eastAsia="Times New Roman" w:hAnsi="Times New Roman"/>
          <w:sz w:val="18"/>
          <w:szCs w:val="18"/>
          <w:color w:val="auto"/>
        </w:rPr>
      </w:pPr>
    </w:p>
    <w:p>
      <w:pPr>
        <w:ind w:left="-20" w:firstLine="436"/>
        <w:spacing w:after="0" w:line="26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means the grant to Eligible Employees of Purchase Rights, with the exercise of those Purchase Rights automatically occurring at the end of one or more Purchase Periods. The terms and conditions of an Offering will generally be set forth in the “Offering Document” approved by the Committee for that Offering.</w:t>
      </w:r>
    </w:p>
    <w:p>
      <w:pPr>
        <w:spacing w:after="0" w:line="1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Date” means a date selected by the Committee for an Offering to commence.</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 person who is an officer of the Company or a Related Corporation within the meaning of Section 16 of the Exchange Act.</w:t>
      </w:r>
    </w:p>
    <w:p>
      <w:pPr>
        <w:spacing w:after="0" w:line="225" w:lineRule="exact"/>
        <w:rPr>
          <w:rFonts w:ascii="Times New Roman" w:cs="Times New Roman" w:eastAsia="Times New Roman" w:hAnsi="Times New Roman"/>
          <w:sz w:val="18"/>
          <w:szCs w:val="18"/>
          <w:color w:val="auto"/>
        </w:rPr>
      </w:pPr>
    </w:p>
    <w:p>
      <w:pPr>
        <w:ind w:left="720" w:hanging="304"/>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 Eligible Employee who holds an outstanding Purchase Right.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60" w:top="270" w:right="459" w:bottom="1440" w:gutter="0" w:footer="0" w:header="0"/>
        </w:sectPr>
      </w:pPr>
    </w:p>
    <w:bookmarkStart w:id="16" w:name="page17"/>
    <w:bookmarkEnd w:id="16"/>
    <w:p>
      <w:pPr>
        <w:ind w:left="700" w:hanging="264"/>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means this ExlService Holdings, Inc. 2022 Employee Stock Purchase Plan, as amended from time to time.</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Date” means one or more dates during an Offering selected by the Committee on which Purchase Rights will be exercised and on which purchases of Common Stock will be carried out in accordance with such Offering.</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Period” means a period of time specified within an Offering, generally beginning on the Offering Date or on the first Trading Day following an Offering Date, and ending on a Purchase Date. An Offering may consist of one or more Purchase Periods.</w:t>
      </w:r>
    </w:p>
    <w:p>
      <w:pPr>
        <w:spacing w:after="0" w:line="162" w:lineRule="exact"/>
        <w:rPr>
          <w:sz w:val="20"/>
          <w:szCs w:val="20"/>
          <w:color w:val="auto"/>
        </w:rPr>
      </w:pPr>
    </w:p>
    <w:p>
      <w:pPr>
        <w:ind w:left="760" w:hanging="32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 means an option to purchase Common Stock granted pursuant to the Plan.</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Corporation” means any “parent corporation” or “subsidiary corporation” of the Company whether now or subsequently established, as those terms are defined in Sections 424(e) and (f), respectively, of the Code.</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rFonts w:ascii="Times New Roman" w:cs="Times New Roman" w:eastAsia="Times New Roman" w:hAnsi="Times New Roman"/>
          <w:sz w:val="18"/>
          <w:szCs w:val="18"/>
          <w:color w:val="auto"/>
        </w:rPr>
      </w:pPr>
    </w:p>
    <w:p>
      <w:pPr>
        <w:ind w:right="40" w:firstLine="436"/>
        <w:spacing w:after="0" w:line="254"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with respect to the Company, (i) any corporation of which more than fifty percent (50%) of the outstanding share capital having ordinary voting power to elect a majority of the board of directors of such corporation (irrespective of whether, at the time, shares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For purposes of the foregoing clause (i), the Company will be deemed to “Own” or have “Owned” such securities if the Company, directly or indirectly, through any contract, arrangement, understanding, relationship or otherwise, has or shares voting power, which includes the power to vote or to direct the voting, with respect to such securities.</w:t>
      </w:r>
    </w:p>
    <w:p>
      <w:pPr>
        <w:spacing w:after="0" w:line="191" w:lineRule="exact"/>
        <w:rPr>
          <w:rFonts w:ascii="Times New Roman" w:cs="Times New Roman" w:eastAsia="Times New Roman" w:hAnsi="Times New Roman"/>
          <w:sz w:val="18"/>
          <w:szCs w:val="18"/>
          <w:color w:val="auto"/>
        </w:rPr>
      </w:pPr>
    </w:p>
    <w:p>
      <w:pPr>
        <w:jc w:val="both"/>
        <w:ind w:right="240" w:firstLine="436"/>
        <w:spacing w:after="0" w:line="266" w:lineRule="auto"/>
        <w:tabs>
          <w:tab w:leader="none" w:pos="7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“Tax-Related Items” means any income tax, social insurance, payroll tax, fringe benefit tax, payment on account or other tax-related items arising out of or in relation to a Participant’s participation in the Plan, including, but not limited to, the exercise of a Purchase Right and the receipt of Common Stock or the sale or other disposition of Common Stock acquired under the Plan.</w:t>
      </w:r>
    </w:p>
    <w:p>
      <w:pPr>
        <w:spacing w:after="0" w:line="175" w:lineRule="exact"/>
        <w:rPr>
          <w:rFonts w:ascii="Times New Roman" w:cs="Times New Roman" w:eastAsia="Times New Roman" w:hAnsi="Times New Roman"/>
          <w:sz w:val="18"/>
          <w:szCs w:val="18"/>
          <w:color w:val="auto"/>
        </w:rPr>
      </w:pPr>
    </w:p>
    <w:p>
      <w:pPr>
        <w:ind w:right="480" w:firstLine="436"/>
        <w:spacing w:after="0" w:line="282" w:lineRule="auto"/>
        <w:tabs>
          <w:tab w:leader="none" w:pos="7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means any day on which the exchange(s) or market(s) on which Common Stock is listed, including but not limited to the NYSE, Nasdaq Global Select Market, the Nasdaq Global Market, the Nasdaq Capital Market or any successors thereto, is open for trading.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
    <w:nsid w:val="519B500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
    <w:nsid w:val="431BD7B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3F2DBA31"/>
    <w:multiLevelType w:val="hybridMultilevel"/>
    <w:lvl w:ilvl="0">
      <w:lvlJc w:val="left"/>
      <w:lvlText w:val="%1"/>
      <w:numFmt w:val="decimal"/>
      <w:start w:val="1"/>
    </w:lvl>
    <w:lvl w:ilvl="1">
      <w:lvlJc w:val="left"/>
      <w:lvlText w:val="(%2)"/>
      <w:numFmt w:val="lowerLetter"/>
      <w:start w:val="3"/>
    </w:lvl>
  </w:abstractNum>
  <w:abstractNum w:abstractNumId="7">
    <w:nsid w:val="7C83E458"/>
    <w:multiLevelType w:val="hybridMultilevel"/>
    <w:lvl w:ilvl="0">
      <w:lvlJc w:val="left"/>
      <w:lvlText w:val="%1."/>
      <w:numFmt w:val="decimal"/>
      <w:start w:val="4"/>
    </w:lvl>
    <w:lvl w:ilvl="1">
      <w:lvlJc w:val="left"/>
      <w:lvlText w:val="%2"/>
      <w:numFmt w:val="lowerLetter"/>
      <w:start w:val="1"/>
    </w:lvl>
  </w:abstractNum>
  <w:abstractNum w:abstractNumId="8">
    <w:nsid w:val="257130A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9">
    <w:nsid w:val="62BBD95A"/>
    <w:multiLevelType w:val="hybridMultilevel"/>
    <w:lvl w:ilvl="0">
      <w:lvlJc w:val="left"/>
      <w:lvlText w:val="%1"/>
      <w:numFmt w:val="decimal"/>
      <w:start w:val="20"/>
    </w:lvl>
    <w:lvl w:ilvl="1">
      <w:lvlJc w:val="left"/>
      <w:lvlText w:val="(%2)"/>
      <w:numFmt w:val="lowerLetter"/>
      <w:start w:val="2"/>
    </w:lvl>
    <w:lvl w:ilvl="2">
      <w:lvlJc w:val="left"/>
      <w:lvlText w:val="(%3)"/>
      <w:numFmt w:val="lowerLetter"/>
      <w:start w:val="9"/>
    </w:lvl>
  </w:abstractNum>
  <w:abstractNum w:abstractNumId="10">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
    <w:nsid w:val="628C895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
    <w:nsid w:val="333AB1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
    <w:nsid w:val="721DA31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
    <w:nsid w:val="2443A85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
    <w:nsid w:val="2D1D5AE9"/>
    <w:multiLevelType w:val="hybridMultilevel"/>
    <w:lvl w:ilvl="0">
      <w:lvlJc w:val="left"/>
      <w:lvlText w:val="%1"/>
      <w:numFmt w:val="decimal"/>
      <w:start w:val="1"/>
    </w:lvl>
    <w:lvl w:ilvl="1">
      <w:lvlJc w:val="left"/>
      <w:lvlText w:val="(%2)"/>
      <w:numFmt w:val="lowerLetter"/>
      <w:start w:val="3"/>
    </w:lvl>
  </w:abstractNum>
  <w:abstractNum w:abstractNumId="16">
    <w:nsid w:val="6763845E"/>
    <w:multiLevelType w:val="hybridMultilevel"/>
    <w:lvl w:ilvl="0">
      <w:lvlJc w:val="left"/>
      <w:lvlText w:val="%1."/>
      <w:numFmt w:val="decimal"/>
      <w:start w:val="8"/>
    </w:lvl>
    <w:lvl w:ilvl="1">
      <w:lvlJc w:val="left"/>
      <w:lvlText w:val="(%2)"/>
      <w:numFmt w:val="lowerLetter"/>
      <w:start w:val="1"/>
    </w:lvl>
  </w:abstractNum>
  <w:abstractNum w:abstractNumId="17">
    <w:nsid w:val="75A2A8D4"/>
    <w:multiLevelType w:val="hybridMultilevel"/>
    <w:lvl w:ilvl="0">
      <w:lvlJc w:val="left"/>
      <w:lvlText w:val="%1"/>
      <w:numFmt w:val="decimal"/>
      <w:start w:val="1"/>
    </w:lvl>
    <w:lvl w:ilvl="1">
      <w:lvlJc w:val="left"/>
      <w:lvlText w:val="(%2)"/>
      <w:numFmt w:val="lowerLetter"/>
      <w:start w:val="3"/>
    </w:lvl>
  </w:abstractNum>
  <w:abstractNum w:abstractNumId="18">
    <w:nsid w:val="8EDBDAB"/>
    <w:multiLevelType w:val="hybridMultilevel"/>
    <w:lvl w:ilvl="0">
      <w:lvlJc w:val="left"/>
      <w:lvlText w:val="%1."/>
      <w:numFmt w:val="decimal"/>
      <w:start w:val="9"/>
    </w:lvl>
    <w:lvl w:ilvl="1">
      <w:lvlJc w:val="left"/>
      <w:lvlText w:val="%2"/>
      <w:numFmt w:val="lowerLetter"/>
      <w:start w:val="1"/>
    </w:lvl>
  </w:abstractNum>
  <w:abstractNum w:abstractNumId="19">
    <w:nsid w:val="79838CB2"/>
    <w:multiLevelType w:val="hybridMultilevel"/>
    <w:lvl w:ilvl="0">
      <w:lvlJc w:val="left"/>
      <w:lvlText w:val="%1."/>
      <w:numFmt w:val="decimal"/>
      <w:start w:val="10"/>
    </w:lvl>
    <w:lvl w:ilvl="1">
      <w:lvlJc w:val="left"/>
      <w:lvlText w:val="(%2)"/>
      <w:numFmt w:val="lowerLetter"/>
      <w:start w:val="1"/>
    </w:lvl>
  </w:abstractNum>
  <w:abstractNum w:abstractNumId="20">
    <w:nsid w:val="4353D0CD"/>
    <w:multiLevelType w:val="hybridMultilevel"/>
    <w:lvl w:ilvl="0">
      <w:lvlJc w:val="left"/>
      <w:lvlText w:val="%1"/>
      <w:numFmt w:val="decimal"/>
      <w:start w:val="1"/>
    </w:lvl>
    <w:lvl w:ilvl="1">
      <w:lvlJc w:val="left"/>
      <w:lvlText w:val="(%2)"/>
      <w:numFmt w:val="lowerLetter"/>
      <w:start w:val="2"/>
    </w:lvl>
  </w:abstractNum>
  <w:abstractNum w:abstractNumId="21">
    <w:nsid w:val="B03E0C6"/>
    <w:multiLevelType w:val="hybridMultilevel"/>
    <w:lvl w:ilvl="0">
      <w:lvlJc w:val="left"/>
      <w:lvlText w:val="%1."/>
      <w:numFmt w:val="decimal"/>
      <w:start w:val="13"/>
    </w:lvl>
    <w:lvl w:ilvl="1">
      <w:lvlJc w:val="left"/>
      <w:lvlText w:val="(%2)"/>
      <w:numFmt w:val="lowerLetter"/>
      <w:start w:val="1"/>
    </w:lvl>
  </w:abstractNum>
  <w:abstractNum w:abstractNumId="22">
    <w:nsid w:val="189A769B"/>
    <w:multiLevelType w:val="hybridMultilevel"/>
    <w:lvl w:ilvl="0">
      <w:lvlJc w:val="left"/>
      <w:lvlText w:val="%1."/>
      <w:numFmt w:val="decimal"/>
      <w:start w:val="14"/>
    </w:lvl>
    <w:lvl w:ilvl="1">
      <w:lvlJc w:val="left"/>
      <w:lvlText w:val="(%2)"/>
      <w:numFmt w:val="lowerLetter"/>
      <w:start w:val="1"/>
    </w:lvl>
  </w:abstractNum>
  <w:abstractNum w:abstractNumId="23">
    <w:nsid w:val="54E49EB4"/>
    <w:multiLevelType w:val="hybridMultilevel"/>
    <w:lvl w:ilvl="0">
      <w:lvlJc w:val="left"/>
      <w:lvlText w:val="%1."/>
      <w:numFmt w:val="decimal"/>
      <w:start w:val="16"/>
    </w:lvl>
    <w:lvl w:ilvl="1">
      <w:lvlJc w:val="left"/>
      <w:lvlText w:val="(%2)"/>
      <w:numFmt w:val="lowerLetter"/>
      <w:start w:val="1"/>
    </w:lvl>
  </w:abstractNum>
  <w:abstractNum w:abstractNumId="24">
    <w:nsid w:val="71F32454"/>
    <w:multiLevelType w:val="hybridMultilevel"/>
    <w:lvl w:ilvl="0">
      <w:lvlJc w:val="left"/>
      <w:lvlText w:val="(%1)"/>
      <w:numFmt w:val="lowerLetter"/>
      <w:start w:val="5"/>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4"/>
    </w:lvl>
  </w:abstractNum>
  <w:abstractNum w:abstractNumId="27">
    <w:nsid w:val="2901D82"/>
    <w:multiLevelType w:val="hybridMultilevel"/>
    <w:lvl w:ilvl="0">
      <w:lvlJc w:val="left"/>
      <w:lvlText w:val="(%1)"/>
      <w:numFmt w:val="lowerLetter"/>
      <w:start w:val="15"/>
    </w:lvl>
    <w:lvl w:ilvl="1">
      <w:lvlJc w:val="left"/>
      <w:lvlText w:val="(%2)"/>
      <w:numFmt w:val="lowerRoman"/>
      <w:start w:val="1"/>
    </w:lvl>
  </w:abstractNum>
  <w:abstractNum w:abstractNumId="28">
    <w:nsid w:val="3A95F874"/>
    <w:multiLevelType w:val="hybridMultilevel"/>
    <w:lvl w:ilvl="0">
      <w:lvlJc w:val="left"/>
      <w:lvlText w:val="(%1)"/>
      <w:numFmt w:val="lowerLetter"/>
      <w:start w:val="24"/>
    </w:lvl>
  </w:abstractNum>
  <w:abstractNum w:abstractNumId="29">
    <w:nsid w:val="8138641"/>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2022-06-22T06:02:58Z</dcterms:created>
  <dcterms:modified xsi:type="dcterms:W3CDTF">2022-06-22T06:02:58Z</dcterms:modified>
</cp:coreProperties>
</file>