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64"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CURRENT REPORT</w:t>
      </w:r>
    </w:p>
    <w:p>
      <w:pPr>
        <w:spacing w:after="0" w:line="3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Pursuant to Sections 13 or 15(d) of</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Date of Report: February 20, 2014</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Date of Earliest Event Reported: February 13, 2014</w:t>
      </w:r>
    </w:p>
    <w:p>
      <w:pPr>
        <w:spacing w:after="0" w:line="263"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6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040" w:type="dxa"/>
        <w:tblCellMar>
          <w:top w:w="0" w:type="dxa"/>
          <w:left w:w="0" w:type="dxa"/>
          <w:bottom w:w="0" w:type="dxa"/>
          <w:right w:w="0" w:type="dxa"/>
        </w:tblCellMar>
      </w:tblPr>
      <w:tr>
        <w:trPr>
          <w:trHeight w:val="225"/>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001-33089</w:t>
            </w:r>
          </w:p>
        </w:tc>
        <w:tc>
          <w:tcPr>
            <w:tcW w:w="148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82-0572194</w:t>
            </w:r>
          </w:p>
        </w:tc>
      </w:tr>
      <w:tr>
        <w:trPr>
          <w:trHeight w:val="17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(Commission</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File Number)</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186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280 Park Avenue, 38</w:t>
            </w:r>
            <w:r>
              <w:rPr>
                <w:rFonts w:ascii="Arial" w:cs="Arial" w:eastAsia="Arial" w:hAnsi="Arial"/>
                <w:sz w:val="25"/>
                <w:szCs w:val="25"/>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1480" w:type="dxa"/>
            <w:vAlign w:val="bottom"/>
          </w:tcPr>
          <w:p>
            <w:pPr>
              <w:spacing w:after="0"/>
              <w:rPr>
                <w:sz w:val="24"/>
                <w:szCs w:val="24"/>
                <w:color w:val="auto"/>
              </w:rPr>
            </w:pPr>
          </w:p>
        </w:tc>
      </w:tr>
      <w:tr>
        <w:trPr>
          <w:trHeight w:val="225"/>
        </w:trPr>
        <w:tc>
          <w:tcPr>
            <w:tcW w:w="1860" w:type="dxa"/>
            <w:vAlign w:val="bottom"/>
          </w:tcPr>
          <w:p>
            <w:pPr>
              <w:spacing w:after="0"/>
              <w:rPr>
                <w:sz w:val="19"/>
                <w:szCs w:val="19"/>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2"/>
              </w:rPr>
              <w:t>New York, New York 10017</w:t>
            </w:r>
          </w:p>
        </w:tc>
        <w:tc>
          <w:tcPr>
            <w:tcW w:w="1480" w:type="dxa"/>
            <w:vAlign w:val="bottom"/>
          </w:tcPr>
          <w:p>
            <w:pPr>
              <w:spacing w:after="0"/>
              <w:rPr>
                <w:sz w:val="19"/>
                <w:szCs w:val="19"/>
                <w:color w:val="auto"/>
              </w:rPr>
            </w:pPr>
          </w:p>
        </w:tc>
      </w:tr>
      <w:tr>
        <w:trPr>
          <w:trHeight w:val="186"/>
        </w:trPr>
        <w:tc>
          <w:tcPr>
            <w:tcW w:w="186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spacing w:after="0"/>
              <w:rPr>
                <w:sz w:val="16"/>
                <w:szCs w:val="16"/>
                <w:color w:val="auto"/>
              </w:rPr>
            </w:pPr>
          </w:p>
        </w:tc>
      </w:tr>
      <w:tr>
        <w:trPr>
          <w:trHeight w:val="485"/>
        </w:trPr>
        <w:tc>
          <w:tcPr>
            <w:tcW w:w="186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480" w:type="dxa"/>
            <w:vAlign w:val="bottom"/>
          </w:tcPr>
          <w:p>
            <w:pPr>
              <w:spacing w:after="0"/>
              <w:rPr>
                <w:sz w:val="24"/>
                <w:szCs w:val="24"/>
                <w:color w:val="auto"/>
              </w:rPr>
            </w:pPr>
          </w:p>
        </w:tc>
      </w:tr>
      <w:tr>
        <w:trPr>
          <w:trHeight w:val="477"/>
        </w:trPr>
        <w:tc>
          <w:tcPr>
            <w:tcW w:w="186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rPr>
              <w:t>NOT APPLICABLE</w:t>
            </w:r>
          </w:p>
        </w:tc>
        <w:tc>
          <w:tcPr>
            <w:tcW w:w="148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(Former name or address, if changed since last report)</w:t>
            </w:r>
          </w:p>
        </w:tc>
        <w:tc>
          <w:tcPr>
            <w:tcW w:w="1480" w:type="dxa"/>
            <w:vAlign w:val="bottom"/>
          </w:tcPr>
          <w:p>
            <w:pPr>
              <w:spacing w:after="0"/>
              <w:rPr>
                <w:sz w:val="16"/>
                <w:szCs w:val="16"/>
                <w:color w:val="auto"/>
              </w:rPr>
            </w:pPr>
          </w:p>
        </w:tc>
      </w:tr>
    </w:tbl>
    <w:p>
      <w:pPr>
        <w:spacing w:after="0" w:line="2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3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287" w:right="79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p>
    <w:p>
      <w:pPr>
        <w:spacing w:after="0" w:line="22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On February 13, 2014, EXLService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adopted a form of a restricted stock unit award agreement for grants under the Company’s 2006 Omnibus Award Plan (the “</w:t>
      </w:r>
      <w:r>
        <w:rPr>
          <w:rFonts w:ascii="Arial" w:cs="Arial" w:eastAsia="Arial" w:hAnsi="Arial"/>
          <w:sz w:val="17"/>
          <w:szCs w:val="17"/>
          <w:u w:val="single" w:color="auto"/>
          <w:color w:val="auto"/>
        </w:rPr>
        <w:t>Plan</w:t>
      </w:r>
      <w:r>
        <w:rPr>
          <w:rFonts w:ascii="Arial" w:cs="Arial" w:eastAsia="Arial" w:hAnsi="Arial"/>
          <w:sz w:val="17"/>
          <w:szCs w:val="17"/>
          <w:color w:val="auto"/>
        </w:rPr>
        <w:t>”) to executives of the Company at the level of Senior Vice President and above.</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award agreement form provides for a grant of restricted stock units, which in turn provides for the delivery of shares of common stock, par value $0.001 per share, of the Company to the award recipient on each applicable vesting date. Fifty percent of the awarded restricted stock units vest arithmetically over a period of four years (i.e., 10%, 30%, 60%, 100%, except for the Chief Executive Officer of the Company, whose restricted stock units vest in increments of 25%, 50%, 75% and 100%) (the “</w:t>
      </w:r>
      <w:r>
        <w:rPr>
          <w:rFonts w:ascii="Arial" w:cs="Arial" w:eastAsia="Arial" w:hAnsi="Arial"/>
          <w:sz w:val="16"/>
          <w:szCs w:val="16"/>
          <w:u w:val="single" w:color="auto"/>
          <w:color w:val="auto"/>
        </w:rPr>
        <w:t>Time-Based RSUs</w:t>
      </w:r>
      <w:r>
        <w:rPr>
          <w:rFonts w:ascii="Arial" w:cs="Arial" w:eastAsia="Arial" w:hAnsi="Arial"/>
          <w:sz w:val="16"/>
          <w:szCs w:val="16"/>
          <w:color w:val="auto"/>
        </w:rPr>
        <w:t>”), subject to the award recipient’s continued employment with the Company.</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other fifty percent of the awarded restricted stock units are subject to performance-based vesting and continuous service with the Company. These performance-based restricted stock units are split into two types that each vest independently. Fifty percent of these performance-based awards cliff vest on December 31, 2016, based on the achievement of Company revenues against an annual revenue target for 2016 (the “</w:t>
      </w:r>
      <w:r>
        <w:rPr>
          <w:rFonts w:ascii="Arial" w:cs="Arial" w:eastAsia="Arial" w:hAnsi="Arial"/>
          <w:sz w:val="16"/>
          <w:szCs w:val="16"/>
          <w:u w:val="single" w:color="auto"/>
          <w:color w:val="auto"/>
        </w:rPr>
        <w:t>Revenue-Based RSUs</w:t>
      </w:r>
      <w:r>
        <w:rPr>
          <w:rFonts w:ascii="Arial" w:cs="Arial" w:eastAsia="Arial" w:hAnsi="Arial"/>
          <w:sz w:val="16"/>
          <w:szCs w:val="16"/>
          <w:color w:val="auto"/>
        </w:rPr>
        <w:t>”). In addition, the recipient of the award may earn up to one-third of the Revenue-Based RSUs based on the Company’s revenue performance in each of 2014 and 2015 against revenue targets in those years. The ultimate amount of Revenue-Based RSUs that the recipient earns, which may be up to two-hundred percent (200%) of the target award of Revenue-Based RSUs, will be the greater of (x) the Revenue-Based RSUs earned in 2016 and (y) the sum of the earned Revenue-Based RSUs in 2014 and 2015. The other fifty percent of the performance-based awards cliff vest on December 31, 2016, based on the achievement of relative total stockholder return performance of the Company against a peer group for the period between January 31, 2014 and December 31, 2016 (the “</w:t>
      </w:r>
      <w:r>
        <w:rPr>
          <w:rFonts w:ascii="Arial" w:cs="Arial" w:eastAsia="Arial" w:hAnsi="Arial"/>
          <w:sz w:val="16"/>
          <w:szCs w:val="16"/>
          <w:u w:val="single" w:color="auto"/>
          <w:color w:val="auto"/>
        </w:rPr>
        <w:t>TSR-Based RSUs</w:t>
      </w:r>
      <w:r>
        <w:rPr>
          <w:rFonts w:ascii="Arial" w:cs="Arial" w:eastAsia="Arial" w:hAnsi="Arial"/>
          <w:sz w:val="16"/>
          <w:szCs w:val="16"/>
          <w:color w:val="auto"/>
        </w:rPr>
        <w:t>”). The award recipient may earn up to two hundred percent (200%) of the target TSR-Based RSUs.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above vesting schedules are subject to certain accelerations upon a “Change in Control” (as such term is defined in the Plan and modified by the award agreement) and further accelerations upon certain terminations of employment thereafter.</w:t>
      </w:r>
    </w:p>
    <w:p>
      <w:pPr>
        <w:spacing w:after="0" w:line="17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foregoing summary of the award agreement does not purport to be complete and is subject to, and qualified in its entirety by, the full text of the award agreement, which will be filed as an exhibit to the Company’s Quarterly Report on Form 10-Q for the quarter ending March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6320" w:type="dxa"/>
            <w:vAlign w:val="bottom"/>
            <w:gridSpan w:val="2"/>
          </w:tcPr>
          <w:p>
            <w:pPr>
              <w:ind w:left="2140"/>
              <w:spacing w:after="0"/>
              <w:rPr>
                <w:sz w:val="20"/>
                <w:szCs w:val="20"/>
                <w:color w:val="auto"/>
              </w:rPr>
            </w:pPr>
            <w:r>
              <w:rPr>
                <w:rFonts w:ascii="Arial" w:cs="Arial" w:eastAsia="Arial" w:hAnsi="Arial"/>
                <w:sz w:val="18"/>
                <w:szCs w:val="18"/>
                <w:b w:val="1"/>
                <w:bCs w:val="1"/>
                <w:color w:val="auto"/>
              </w:rPr>
              <w:t>EXLSERVICE HOLDINGS, INC.</w:t>
            </w:r>
          </w:p>
        </w:tc>
      </w:tr>
      <w:tr>
        <w:trPr>
          <w:trHeight w:val="655"/>
        </w:trPr>
        <w:tc>
          <w:tcPr>
            <w:tcW w:w="3960" w:type="dxa"/>
            <w:vAlign w:val="bottom"/>
          </w:tcPr>
          <w:p>
            <w:pPr>
              <w:spacing w:after="0"/>
              <w:rPr>
                <w:sz w:val="20"/>
                <w:szCs w:val="20"/>
                <w:color w:val="auto"/>
              </w:rPr>
            </w:pPr>
            <w:r>
              <w:rPr>
                <w:rFonts w:ascii="Arial" w:cs="Arial" w:eastAsia="Arial" w:hAnsi="Arial"/>
                <w:sz w:val="18"/>
                <w:szCs w:val="18"/>
                <w:color w:val="auto"/>
              </w:rPr>
              <w:t>Date: February 20, 2014</w:t>
            </w:r>
          </w:p>
        </w:tc>
        <w:tc>
          <w:tcPr>
            <w:tcW w:w="2800" w:type="dxa"/>
            <w:vAlign w:val="bottom"/>
          </w:tcPr>
          <w:p>
            <w:pPr>
              <w:ind w:left="214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02"/>
        </w:trPr>
        <w:tc>
          <w:tcPr>
            <w:tcW w:w="3960" w:type="dxa"/>
            <w:vAlign w:val="bottom"/>
          </w:tcPr>
          <w:p>
            <w:pPr>
              <w:spacing w:after="0"/>
              <w:rPr>
                <w:sz w:val="17"/>
                <w:szCs w:val="17"/>
                <w:color w:val="auto"/>
              </w:rPr>
            </w:pPr>
          </w:p>
        </w:tc>
        <w:tc>
          <w:tcPr>
            <w:tcW w:w="2800" w:type="dxa"/>
            <w:vAlign w:val="bottom"/>
          </w:tcPr>
          <w:p>
            <w:pPr>
              <w:ind w:left="214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Rohit Kapoor</w:t>
            </w:r>
          </w:p>
        </w:tc>
      </w:tr>
      <w:tr>
        <w:trPr>
          <w:trHeight w:val="230"/>
        </w:trPr>
        <w:tc>
          <w:tcPr>
            <w:tcW w:w="3960" w:type="dxa"/>
            <w:vAlign w:val="bottom"/>
          </w:tcPr>
          <w:p>
            <w:pPr>
              <w:spacing w:after="0"/>
              <w:rPr>
                <w:sz w:val="20"/>
                <w:szCs w:val="20"/>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Vice 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840"/>
      </w:cols>
      <w:pgMar w:left="240" w:top="5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2019-12-07T07:23:40Z</dcterms:created>
  <dcterms:modified xsi:type="dcterms:W3CDTF">2019-12-07T07:23:40Z</dcterms:modified>
</cp:coreProperties>
</file>