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18,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Vikram Talwar</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7" w:lineRule="auto"/>
        <w:rPr>
          <w:sz w:val="20"/>
          <w:szCs w:val="20"/>
          <w:color w:val="auto"/>
        </w:rPr>
      </w:pPr>
      <w:r>
        <w:rPr>
          <w:rFonts w:ascii="Courier New" w:cs="Courier New" w:eastAsia="Courier New" w:hAnsi="Courier New"/>
          <w:sz w:val="18"/>
          <w:szCs w:val="18"/>
          <w:color w:val="auto"/>
        </w:rPr>
        <w:t>350 Park Avenue</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ExlService Holdings, Inc.</w:t>
      </w:r>
    </w:p>
    <w:p>
      <w:pPr>
        <w:ind w:left="1700"/>
        <w:spacing w:after="0" w:line="238" w:lineRule="auto"/>
        <w:rPr>
          <w:sz w:val="20"/>
          <w:szCs w:val="20"/>
          <w:color w:val="auto"/>
        </w:rPr>
      </w:pPr>
      <w:r>
        <w:rPr>
          <w:rFonts w:ascii="Courier New" w:cs="Courier New" w:eastAsia="Courier New" w:hAnsi="Courier New"/>
          <w:sz w:val="18"/>
          <w:szCs w:val="18"/>
          <w:color w:val="auto"/>
        </w:rPr>
        <w:t>Registration Statement on Form S-1/A-1</w:t>
      </w:r>
    </w:p>
    <w:p>
      <w:pPr>
        <w:ind w:left="1700"/>
        <w:spacing w:after="0"/>
        <w:rPr>
          <w:sz w:val="20"/>
          <w:szCs w:val="20"/>
          <w:color w:val="auto"/>
        </w:rPr>
      </w:pPr>
      <w:r>
        <w:rPr>
          <w:rFonts w:ascii="Courier New" w:cs="Courier New" w:eastAsia="Courier New" w:hAnsi="Courier New"/>
          <w:sz w:val="18"/>
          <w:szCs w:val="18"/>
          <w:color w:val="auto"/>
        </w:rPr>
        <w:t>Filed February 1, 2005</w:t>
      </w:r>
    </w:p>
    <w:p>
      <w:pPr>
        <w:ind w:left="1700"/>
        <w:spacing w:after="0" w:line="237" w:lineRule="auto"/>
        <w:rPr>
          <w:sz w:val="20"/>
          <w:szCs w:val="20"/>
          <w:color w:val="auto"/>
        </w:rPr>
      </w:pPr>
      <w:r>
        <w:rPr>
          <w:rFonts w:ascii="Courier New" w:cs="Courier New" w:eastAsia="Courier New" w:hAnsi="Courier New"/>
          <w:sz w:val="18"/>
          <w:szCs w:val="18"/>
          <w:color w:val="auto"/>
        </w:rPr>
        <w:t>Registration No. 333-121001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Talwar:</w:t>
      </w:r>
    </w:p>
    <w:p>
      <w:pPr>
        <w:spacing w:after="0" w:line="207" w:lineRule="exact"/>
        <w:rPr>
          <w:sz w:val="24"/>
          <w:szCs w:val="24"/>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We have reviewed your filing and have the following comments. Where indicated, we think you should revise your document in response</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to these comments. If you disagree, we will consider your explanation as to why our comment is inapplicable or a revision is unnecessary. Please be as detailed as necessary in your explanation.</w:t>
      </w:r>
    </w:p>
    <w:p>
      <w:pPr>
        <w:spacing w:after="0" w:line="5"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 some of our comments, we may ask you to provide us with supplemental information so we may better understand your disclosure.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reviewing this information, we may or may not raise</w:t>
      </w:r>
    </w:p>
    <w:p>
      <w:pPr>
        <w:spacing w:after="0" w:line="238" w:lineRule="auto"/>
        <w:rPr>
          <w:sz w:val="20"/>
          <w:szCs w:val="20"/>
          <w:color w:val="auto"/>
        </w:rPr>
      </w:pPr>
      <w:r>
        <w:rPr>
          <w:rFonts w:ascii="Courier New" w:cs="Courier New" w:eastAsia="Courier New" w:hAnsi="Courier New"/>
          <w:sz w:val="18"/>
          <w:szCs w:val="18"/>
          <w:color w:val="auto"/>
        </w:rPr>
        <w:t>additional</w:t>
      </w:r>
    </w:p>
    <w:p>
      <w:pPr>
        <w:spacing w:after="0"/>
        <w:rPr>
          <w:sz w:val="20"/>
          <w:szCs w:val="20"/>
          <w:color w:val="auto"/>
        </w:rPr>
      </w:pPr>
      <w:r>
        <w:rPr>
          <w:rFonts w:ascii="Courier New" w:cs="Courier New" w:eastAsia="Courier New" w:hAnsi="Courier New"/>
          <w:sz w:val="18"/>
          <w:szCs w:val="18"/>
          <w:color w:val="auto"/>
        </w:rPr>
        <w:t>comments.</w:t>
      </w: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4"/>
          <w:szCs w:val="24"/>
          <w:color w:val="auto"/>
        </w:rPr>
      </w:pPr>
    </w:p>
    <w:p>
      <w:pPr>
        <w:ind w:right="34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pending requests for confidential treatment. We will</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provide comments on your request separately. Please resolve all comments before requesting acceleration of the effectiveness of this registration statement.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4"/>
          <w:szCs w:val="24"/>
          <w:color w:val="auto"/>
        </w:rPr>
      </w:pPr>
    </w:p>
    <w:p>
      <w:pPr>
        <w:ind w:right="325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previous comment 7 and 8; however, the continued use of industry jargon in the first two paragraph of the summary to describe otherwise simple concepts is confusing to investors. For example, we note that in the second sentence of the</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 paragraph, you have not clearly defined the meaning of "outsourcing` and "business process outsourcing." Please revise so</w:t>
      </w:r>
    </w:p>
    <w:p>
      <w:pPr>
        <w:spacing w:after="0" w:line="6" w:lineRule="exact"/>
        <w:rPr>
          <w:rFonts w:ascii="Courier New" w:cs="Courier New" w:eastAsia="Courier New" w:hAnsi="Courier New"/>
          <w:sz w:val="18"/>
          <w:szCs w:val="18"/>
          <w:color w:val="auto"/>
        </w:rPr>
      </w:pPr>
    </w:p>
    <w:p>
      <w:pPr>
        <w:ind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it is immediately clear that you essentially provide opportunities for companies to shift some of their operations, such</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human resources and accounting, to a third party in an overseas location, primarily India. The terms you use in your definition such</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"business process" and "business functions" are vague and not very</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useful in clearly identifying the services you actually provide to clients.</w:t>
      </w:r>
    </w:p>
    <w:p>
      <w:pPr>
        <w:spacing w:after="0" w:line="5" w:lineRule="exact"/>
        <w:rPr>
          <w:rFonts w:ascii="Courier New" w:cs="Courier New" w:eastAsia="Courier New" w:hAnsi="Courier New"/>
          <w:sz w:val="18"/>
          <w:szCs w:val="18"/>
          <w:color w:val="auto"/>
        </w:rPr>
      </w:pPr>
    </w:p>
    <w:p>
      <w:pPr>
        <w:jc w:val="both"/>
        <w:ind w:right="325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that regard, we note that the last sentence in paragraph two remains abstract and saturated with industry jargon. For example, in</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 problem or question, the term "solution" is abstract</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should be replaced by a more concrete term or terms. Instead of</w:t>
      </w:r>
    </w:p>
    <w:p>
      <w:pPr>
        <w:spacing w:after="0" w:line="5" w:lineRule="exact"/>
        <w:rPr>
          <w:rFonts w:ascii="Courier New" w:cs="Courier New" w:eastAsia="Courier New" w:hAnsi="Courier New"/>
          <w:sz w:val="18"/>
          <w:szCs w:val="18"/>
          <w:color w:val="auto"/>
        </w:rPr>
      </w:pPr>
    </w:p>
    <w:p>
      <w:pPr>
        <w:jc w:val="both"/>
        <w:ind w:right="3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using the term "solution," please replace the term with a brief description of your actual products and services. Also, how do</w:t>
      </w:r>
    </w:p>
    <w:p>
      <w:pPr>
        <w:sectPr>
          <w:pgSz w:w="11900" w:h="16892"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you</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"develop processes," and what are "business risk compliance services?" Please also avoid the use of terms such as "integrated business process outsourcing solutions," and "large-scale processes"</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in the second paragraph and define their meaning in the text instead.</w:t>
      </w:r>
    </w:p>
    <w:p>
      <w:pPr>
        <w:spacing w:after="0"/>
        <w:rPr>
          <w:sz w:val="20"/>
          <w:szCs w:val="20"/>
          <w:color w:val="auto"/>
        </w:rPr>
      </w:pPr>
      <w:r>
        <w:rPr>
          <w:rFonts w:ascii="Courier New" w:cs="Courier New" w:eastAsia="Courier New" w:hAnsi="Courier New"/>
          <w:sz w:val="18"/>
          <w:szCs w:val="18"/>
          <w:color w:val="auto"/>
        </w:rPr>
        <w:t>Similarly, define "back-office processing" and "high-value</w:t>
      </w:r>
    </w:p>
    <w:p>
      <w:pPr>
        <w:spacing w:after="0" w:line="238" w:lineRule="auto"/>
        <w:rPr>
          <w:sz w:val="20"/>
          <w:szCs w:val="20"/>
          <w:color w:val="auto"/>
        </w:rPr>
      </w:pPr>
      <w:r>
        <w:rPr>
          <w:rFonts w:ascii="Courier New" w:cs="Courier New" w:eastAsia="Courier New" w:hAnsi="Courier New"/>
          <w:sz w:val="18"/>
          <w:szCs w:val="18"/>
          <w:color w:val="auto"/>
        </w:rPr>
        <w:t>solutions"</w:t>
      </w:r>
    </w:p>
    <w:p>
      <w:pPr>
        <w:spacing w:after="0"/>
        <w:rPr>
          <w:sz w:val="20"/>
          <w:szCs w:val="20"/>
          <w:color w:val="auto"/>
        </w:rPr>
      </w:pPr>
      <w:r>
        <w:rPr>
          <w:rFonts w:ascii="Courier New" w:cs="Courier New" w:eastAsia="Courier New" w:hAnsi="Courier New"/>
          <w:sz w:val="18"/>
          <w:szCs w:val="18"/>
          <w:color w:val="auto"/>
        </w:rPr>
        <w:t>on page 2.</w:t>
      </w:r>
    </w:p>
    <w:p>
      <w:pPr>
        <w:spacing w:after="0" w:line="3" w:lineRule="exact"/>
        <w:rPr>
          <w:sz w:val="20"/>
          <w:szCs w:val="20"/>
          <w:color w:val="auto"/>
        </w:rPr>
      </w:pPr>
    </w:p>
    <w:p>
      <w:pPr>
        <w:jc w:val="both"/>
        <w:ind w:right="357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better explain the relevance of the terms "Six Sigma methodology" and "Kaizen Initiatives" which may not be readily apparent to investors. Similarly, please briefly describe what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"well known improvement techniques" 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page 1</w:t>
      </w:r>
    </w:p>
    <w:p>
      <w:pPr>
        <w:spacing w:after="0" w:line="3"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specific measurement you are using in</w:t>
      </w:r>
    </w:p>
    <w:p>
      <w:pPr>
        <w:spacing w:after="0" w:line="203"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concluding that you are a leading provider of offshore business process outsourcing solutions.</w:t>
      </w:r>
    </w:p>
    <w:p>
      <w:pPr>
        <w:spacing w:after="0" w:line="6" w:lineRule="exact"/>
        <w:rPr>
          <w:sz w:val="20"/>
          <w:szCs w:val="20"/>
          <w:color w:val="auto"/>
        </w:rPr>
      </w:pPr>
    </w:p>
    <w:p>
      <w:pPr>
        <w:jc w:val="both"/>
        <w:ind w:right="389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your response to previous comment 14, confirm our understanding that the number of employees specified at the</w:t>
      </w:r>
    </w:p>
    <w:p>
      <w:pPr>
        <w:ind w:right="3039"/>
        <w:spacing w:after="0" w:line="235" w:lineRule="auto"/>
        <w:rPr>
          <w:sz w:val="20"/>
          <w:szCs w:val="20"/>
          <w:color w:val="auto"/>
        </w:rPr>
      </w:pPr>
      <w:r>
        <w:rPr>
          <w:rFonts w:ascii="Courier New" w:cs="Courier New" w:eastAsia="Courier New" w:hAnsi="Courier New"/>
          <w:sz w:val="18"/>
          <w:szCs w:val="18"/>
          <w:color w:val="auto"/>
        </w:rPr>
        <w:t>particular dates do not include employees that have previously left your employment and returned at a later date.</w:t>
      </w:r>
    </w:p>
    <w:p>
      <w:pPr>
        <w:spacing w:after="0" w:line="203"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you discuss the fact that the majority of the contracts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Courier New" w:cs="Courier New" w:eastAsia="Courier New" w:hAnsi="Courier New"/>
                <w:sz w:val="18"/>
                <w:szCs w:val="18"/>
                <w:color w:val="auto"/>
              </w:rPr>
              <w:t>which you enter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into are</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from three to seven years in length,</w:t>
            </w: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please also disclose the portion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your revenues tied to</w:t>
            </w: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contracts that are set to expire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within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next year.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Strengths, page 2</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your response to previous comment 17, we note that revenue</w:t>
      </w:r>
    </w:p>
    <w:tbl>
      <w:tblPr>
        <w:tblLayout w:type="fixed"/>
        <w:tblInd w:w="0" w:type="dxa"/>
        <w:tblCellMar>
          <w:top w:w="0" w:type="dxa"/>
          <w:left w:w="0" w:type="dxa"/>
          <w:bottom w:w="0" w:type="dxa"/>
          <w:right w:w="0" w:type="dxa"/>
        </w:tblCellMar>
      </w:tblPr>
      <w:tr>
        <w:trPr>
          <w:trHeight w:val="203"/>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from the "other</w:t>
            </w:r>
          </w:p>
        </w:tc>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clients" represented</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47.8% of your total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period ended September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 2004 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these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5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clients" can terminate your contracts without cause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 the</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 term."</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Please disclose the initial</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 dates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your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clients."</w:t>
            </w:r>
          </w:p>
        </w:tc>
        <w:tc>
          <w:tcPr>
            <w:tcW w:w="526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We note also that in the aggregate,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derived</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from your other</w:t>
            </w:r>
          </w:p>
        </w:tc>
        <w:tc>
          <w:tcPr>
            <w:tcW w:w="37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clients is significant and that the</w:t>
            </w:r>
          </w:p>
        </w:tc>
      </w:tr>
      <w:tr>
        <w:trPr>
          <w:trHeight w:val="203"/>
        </w:trPr>
        <w:tc>
          <w:tcPr>
            <w:tcW w:w="5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termination of a bulk of those contracts without</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cause could</w:t>
            </w:r>
          </w:p>
        </w:tc>
      </w:tr>
      <w:tr>
        <w:trPr>
          <w:trHeight w:val="203"/>
        </w:trPr>
        <w:tc>
          <w:tcPr>
            <w:tcW w:w="4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materially impact the predictability of your</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revenue stream.</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page 5</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briefly list the most material risk factors in the</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summary section rather than including only a cross-reference to the</w:t>
      </w:r>
    </w:p>
    <w:p>
      <w:pPr>
        <w:spacing w:after="0"/>
        <w:rPr>
          <w:sz w:val="20"/>
          <w:szCs w:val="20"/>
          <w:color w:val="auto"/>
        </w:rPr>
      </w:pPr>
      <w:r>
        <w:rPr>
          <w:rFonts w:ascii="Courier New" w:cs="Courier New" w:eastAsia="Courier New" w:hAnsi="Courier New"/>
          <w:sz w:val="18"/>
          <w:szCs w:val="18"/>
          <w:color w:val="auto"/>
        </w:rPr>
        <w:t>"Risk Factors" section of the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 limited number of clients...page 10</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Reconcile your disclosure on page 10 relating to the November</w:t>
      </w:r>
    </w:p>
    <w:p>
      <w:pPr>
        <w:spacing w:after="0"/>
        <w:tabs>
          <w:tab w:leader="none" w:pos="2520" w:val="left"/>
        </w:tabs>
        <w:rPr>
          <w:sz w:val="20"/>
          <w:szCs w:val="20"/>
          <w:color w:val="auto"/>
        </w:rPr>
      </w:pPr>
      <w:r>
        <w:rPr>
          <w:rFonts w:ascii="Courier New" w:cs="Courier New" w:eastAsia="Courier New" w:hAnsi="Courier New"/>
          <w:sz w:val="18"/>
          <w:szCs w:val="18"/>
          <w:color w:val="auto"/>
        </w:rPr>
        <w:t>2005 initial term</w:t>
      </w:r>
      <w:r>
        <w:rPr>
          <w:sz w:val="20"/>
          <w:szCs w:val="20"/>
          <w:color w:val="auto"/>
        </w:rPr>
        <w:tab/>
      </w:r>
      <w:r>
        <w:rPr>
          <w:rFonts w:ascii="Courier New" w:cs="Courier New" w:eastAsia="Courier New" w:hAnsi="Courier New"/>
          <w:sz w:val="16"/>
          <w:szCs w:val="16"/>
          <w:color w:val="auto"/>
        </w:rPr>
        <w:t>expiration date of your agreement with Dell</w:t>
      </w:r>
    </w:p>
    <w:p>
      <w:pPr>
        <w:spacing w:after="0" w:line="237" w:lineRule="auto"/>
        <w:rPr>
          <w:sz w:val="20"/>
          <w:szCs w:val="20"/>
          <w:color w:val="auto"/>
        </w:rPr>
      </w:pPr>
      <w:r>
        <w:rPr>
          <w:rFonts w:ascii="Courier New" w:cs="Courier New" w:eastAsia="Courier New" w:hAnsi="Courier New"/>
          <w:sz w:val="18"/>
          <w:szCs w:val="18"/>
          <w:color w:val="auto"/>
        </w:rPr>
        <w:t>with</w:t>
      </w:r>
    </w:p>
    <w:p>
      <w:pPr>
        <w:spacing w:after="0"/>
        <w:tabs>
          <w:tab w:leader="none" w:pos="4200" w:val="left"/>
        </w:tabs>
        <w:rPr>
          <w:sz w:val="20"/>
          <w:szCs w:val="20"/>
          <w:color w:val="auto"/>
        </w:rPr>
      </w:pPr>
      <w:r>
        <w:rPr>
          <w:rFonts w:ascii="Courier New" w:cs="Courier New" w:eastAsia="Courier New" w:hAnsi="Courier New"/>
          <w:sz w:val="18"/>
          <w:szCs w:val="18"/>
          <w:color w:val="auto"/>
        </w:rPr>
        <w:t>the disclosure on page 2 stating</w:t>
      </w:r>
      <w:r>
        <w:rPr>
          <w:sz w:val="20"/>
          <w:szCs w:val="20"/>
          <w:color w:val="auto"/>
        </w:rPr>
        <w:tab/>
      </w:r>
      <w:r>
        <w:rPr>
          <w:rFonts w:ascii="Courier New" w:cs="Courier New" w:eastAsia="Courier New" w:hAnsi="Courier New"/>
          <w:sz w:val="16"/>
          <w:szCs w:val="16"/>
          <w:color w:val="auto"/>
        </w:rPr>
        <w:t>that the expiration of the</w:t>
      </w:r>
    </w:p>
    <w:p>
      <w:pPr>
        <w:spacing w:after="0"/>
        <w:rPr>
          <w:sz w:val="20"/>
          <w:szCs w:val="20"/>
          <w:color w:val="auto"/>
        </w:rPr>
      </w:pPr>
      <w:r>
        <w:rPr>
          <w:rFonts w:ascii="Courier New" w:cs="Courier New" w:eastAsia="Courier New" w:hAnsi="Courier New"/>
          <w:sz w:val="18"/>
          <w:szCs w:val="18"/>
          <w:color w:val="auto"/>
        </w:rPr>
        <w:t>initial</w:t>
      </w:r>
    </w:p>
    <w:p>
      <w:pPr>
        <w:spacing w:after="0"/>
        <w:tabs>
          <w:tab w:leader="none" w:pos="5880" w:val="left"/>
        </w:tabs>
        <w:rPr>
          <w:sz w:val="20"/>
          <w:szCs w:val="20"/>
          <w:color w:val="auto"/>
        </w:rPr>
      </w:pPr>
      <w:r>
        <w:rPr>
          <w:rFonts w:ascii="Courier New" w:cs="Courier New" w:eastAsia="Courier New" w:hAnsi="Courier New"/>
          <w:sz w:val="18"/>
          <w:szCs w:val="18"/>
          <w:color w:val="auto"/>
        </w:rPr>
        <w:t>term dates with your two largest customers (one of</w:t>
      </w:r>
      <w:r>
        <w:rPr>
          <w:sz w:val="20"/>
          <w:szCs w:val="20"/>
          <w:color w:val="auto"/>
        </w:rPr>
        <w:tab/>
      </w:r>
      <w:r>
        <w:rPr>
          <w:rFonts w:ascii="Courier New" w:cs="Courier New" w:eastAsia="Courier New" w:hAnsi="Courier New"/>
          <w:sz w:val="16"/>
          <w:szCs w:val="16"/>
          <w:color w:val="auto"/>
        </w:rPr>
        <w:t>which is</w:t>
      </w:r>
    </w:p>
    <w:p>
      <w:pPr>
        <w:spacing w:after="0"/>
        <w:rPr>
          <w:sz w:val="20"/>
          <w:szCs w:val="20"/>
          <w:color w:val="auto"/>
        </w:rPr>
      </w:pPr>
      <w:r>
        <w:rPr>
          <w:rFonts w:ascii="Courier New" w:cs="Courier New" w:eastAsia="Courier New" w:hAnsi="Courier New"/>
          <w:sz w:val="18"/>
          <w:szCs w:val="18"/>
          <w:color w:val="auto"/>
        </w:rPr>
        <w:t>Dell)</w:t>
      </w:r>
    </w:p>
    <w:p>
      <w:pPr>
        <w:spacing w:after="0"/>
        <w:tabs>
          <w:tab w:leader="none" w:pos="3040" w:val="left"/>
        </w:tabs>
        <w:rPr>
          <w:sz w:val="20"/>
          <w:szCs w:val="20"/>
          <w:color w:val="auto"/>
        </w:rPr>
      </w:pPr>
      <w:r>
        <w:rPr>
          <w:rFonts w:ascii="Courier New" w:cs="Courier New" w:eastAsia="Courier New" w:hAnsi="Courier New"/>
          <w:sz w:val="18"/>
          <w:szCs w:val="18"/>
          <w:color w:val="auto"/>
        </w:rPr>
        <w:t>expire no sooner than 2007.</w:t>
      </w:r>
      <w:r>
        <w:rPr>
          <w:sz w:val="20"/>
          <w:szCs w:val="20"/>
          <w:color w:val="auto"/>
        </w:rPr>
        <w:tab/>
      </w:r>
      <w:r>
        <w:rPr>
          <w:rFonts w:ascii="Courier New" w:cs="Courier New" w:eastAsia="Courier New" w:hAnsi="Courier New"/>
          <w:sz w:val="16"/>
          <w:szCs w:val="16"/>
          <w:color w:val="auto"/>
        </w:rPr>
        <w:t>Also, clarify on page two whether</w:t>
      </w:r>
    </w:p>
    <w:p>
      <w:pPr>
        <w:ind w:left="860"/>
        <w:spacing w:after="0"/>
        <w:rPr>
          <w:sz w:val="20"/>
          <w:szCs w:val="20"/>
          <w:color w:val="auto"/>
        </w:rPr>
      </w:pPr>
      <w:r>
        <w:rPr>
          <w:rFonts w:ascii="Courier New" w:cs="Courier New" w:eastAsia="Courier New" w:hAnsi="Courier New"/>
          <w:sz w:val="18"/>
          <w:szCs w:val="18"/>
          <w:color w:val="auto"/>
        </w:rPr>
        <w:t>Dell</w:t>
      </w:r>
    </w:p>
    <w:p>
      <w:pPr>
        <w:spacing w:after="0" w:line="237" w:lineRule="auto"/>
        <w:rPr>
          <w:sz w:val="20"/>
          <w:szCs w:val="20"/>
          <w:color w:val="auto"/>
        </w:rPr>
      </w:pPr>
      <w:r>
        <w:rPr>
          <w:rFonts w:ascii="Courier New" w:cs="Courier New" w:eastAsia="Courier New" w:hAnsi="Courier New"/>
          <w:sz w:val="18"/>
          <w:szCs w:val="18"/>
          <w:color w:val="auto"/>
        </w:rPr>
        <w:t>can terminate the agreement with 30 days notice at any time before</w:t>
      </w:r>
    </w:p>
    <w:p>
      <w:pPr>
        <w:spacing w:after="0"/>
        <w:tabs>
          <w:tab w:leader="none" w:pos="1680" w:val="left"/>
        </w:tabs>
        <w:rPr>
          <w:sz w:val="20"/>
          <w:szCs w:val="20"/>
          <w:color w:val="auto"/>
        </w:rPr>
      </w:pPr>
      <w:r>
        <w:rPr>
          <w:rFonts w:ascii="Courier New" w:cs="Courier New" w:eastAsia="Courier New" w:hAnsi="Courier New"/>
          <w:sz w:val="18"/>
          <w:szCs w:val="18"/>
          <w:color w:val="auto"/>
        </w:rPr>
        <w:t>and after</w:t>
      </w:r>
      <w:r>
        <w:rPr>
          <w:sz w:val="20"/>
          <w:szCs w:val="20"/>
          <w:color w:val="auto"/>
        </w:rPr>
        <w:tab/>
      </w:r>
      <w:r>
        <w:rPr>
          <w:rFonts w:ascii="Courier New" w:cs="Courier New" w:eastAsia="Courier New" w:hAnsi="Courier New"/>
          <w:sz w:val="16"/>
          <w:szCs w:val="16"/>
          <w:color w:val="auto"/>
        </w:rPr>
        <w:t>the initial term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a long selling cycle...page 11</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previous comment 31.  The language</w:t>
      </w:r>
    </w:p>
    <w:p>
      <w:pPr>
        <w:spacing w:after="0" w:line="23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have added in revision to this comment tends to mitigate the risk you are presenting and should be removed.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fail to attract and retain...page 13</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previous comment 35, however, you</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w:t>
      </w:r>
    </w:p>
    <w:p>
      <w:pPr>
        <w:spacing w:after="0"/>
        <w:tabs>
          <w:tab w:leader="none" w:pos="1680" w:val="left"/>
        </w:tabs>
        <w:rPr>
          <w:sz w:val="20"/>
          <w:szCs w:val="20"/>
          <w:color w:val="auto"/>
        </w:rPr>
      </w:pPr>
      <w:r>
        <w:rPr>
          <w:rFonts w:ascii="Courier New" w:cs="Courier New" w:eastAsia="Courier New" w:hAnsi="Courier New"/>
          <w:sz w:val="18"/>
          <w:szCs w:val="18"/>
          <w:color w:val="auto"/>
        </w:rPr>
        <w:t>not indicated</w:t>
      </w:r>
      <w:r>
        <w:rPr>
          <w:sz w:val="20"/>
          <w:szCs w:val="20"/>
          <w:color w:val="auto"/>
        </w:rPr>
        <w:tab/>
      </w:r>
      <w:r>
        <w:rPr>
          <w:rFonts w:ascii="Courier New" w:cs="Courier New" w:eastAsia="Courier New" w:hAnsi="Courier New"/>
          <w:sz w:val="16"/>
          <w:szCs w:val="16"/>
          <w:color w:val="auto"/>
        </w:rPr>
        <w:t>how much your cost of revenues have increased nor</w:t>
      </w:r>
    </w:p>
    <w:p>
      <w:pPr>
        <w:spacing w:after="0" w:line="237" w:lineRule="auto"/>
        <w:rPr>
          <w:sz w:val="20"/>
          <w:szCs w:val="20"/>
          <w:color w:val="auto"/>
        </w:rPr>
      </w:pPr>
      <w:r>
        <w:rPr>
          <w:rFonts w:ascii="Courier New" w:cs="Courier New" w:eastAsia="Courier New" w:hAnsi="Courier New"/>
          <w:sz w:val="18"/>
          <w:szCs w:val="18"/>
          <w:color w:val="auto"/>
        </w:rPr>
        <w:t>have</w:t>
      </w:r>
    </w:p>
    <w:p>
      <w:pPr>
        <w:spacing w:after="0"/>
        <w:tabs>
          <w:tab w:leader="none" w:pos="2520" w:val="left"/>
        </w:tabs>
        <w:rPr>
          <w:sz w:val="20"/>
          <w:szCs w:val="20"/>
          <w:color w:val="auto"/>
        </w:rPr>
      </w:pPr>
      <w:r>
        <w:rPr>
          <w:rFonts w:ascii="Courier New" w:cs="Courier New" w:eastAsia="Courier New" w:hAnsi="Courier New"/>
          <w:sz w:val="18"/>
          <w:szCs w:val="18"/>
          <w:color w:val="auto"/>
        </w:rPr>
        <w:t>you quantified the</w:t>
      </w:r>
      <w:r>
        <w:rPr>
          <w:sz w:val="20"/>
          <w:szCs w:val="20"/>
          <w:color w:val="auto"/>
        </w:rPr>
        <w:tab/>
      </w:r>
      <w:r>
        <w:rPr>
          <w:rFonts w:ascii="Courier New" w:cs="Courier New" w:eastAsia="Courier New" w:hAnsi="Courier New"/>
          <w:sz w:val="16"/>
          <w:szCs w:val="16"/>
          <w:color w:val="auto"/>
        </w:rPr>
        <w:t>impact of the high turn-over rate on your</w:t>
      </w:r>
    </w:p>
    <w:p>
      <w:pPr>
        <w:spacing w:after="0"/>
        <w:rPr>
          <w:sz w:val="20"/>
          <w:szCs w:val="20"/>
          <w:color w:val="auto"/>
        </w:rPr>
      </w:pPr>
      <w:r>
        <w:rPr>
          <w:rFonts w:ascii="Courier New" w:cs="Courier New" w:eastAsia="Courier New" w:hAnsi="Courier New"/>
          <w:sz w:val="18"/>
          <w:szCs w:val="18"/>
          <w:color w:val="auto"/>
        </w:rPr>
        <w:t>profit</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3360" w:val="left"/>
          <w:tab w:leader="none" w:pos="4300" w:val="left"/>
        </w:tabs>
        <w:rPr>
          <w:sz w:val="20"/>
          <w:szCs w:val="20"/>
          <w:color w:val="auto"/>
        </w:rPr>
      </w:pPr>
      <w:r>
        <w:rPr>
          <w:rFonts w:ascii="Courier New" w:cs="Courier New" w:eastAsia="Courier New" w:hAnsi="Courier New"/>
          <w:sz w:val="18"/>
          <w:szCs w:val="18"/>
          <w:color w:val="auto"/>
        </w:rPr>
        <w:t>margins for the most recent</w:t>
      </w:r>
      <w:r>
        <w:rPr>
          <w:sz w:val="20"/>
          <w:szCs w:val="20"/>
          <w:color w:val="auto"/>
        </w:rPr>
        <w:tab/>
      </w:r>
      <w:r>
        <w:rPr>
          <w:rFonts w:ascii="Courier New" w:cs="Courier New" w:eastAsia="Courier New" w:hAnsi="Courier New"/>
          <w:sz w:val="18"/>
          <w:szCs w:val="18"/>
          <w:color w:val="auto"/>
        </w:rPr>
        <w:t>period.</w:t>
      </w:r>
      <w:r>
        <w:rPr>
          <w:sz w:val="20"/>
          <w:szCs w:val="20"/>
          <w:color w:val="auto"/>
        </w:rPr>
        <w:tab/>
      </w:r>
      <w:r>
        <w:rPr>
          <w:rFonts w:ascii="Courier New" w:cs="Courier New" w:eastAsia="Courier New" w:hAnsi="Courier New"/>
          <w:sz w:val="16"/>
          <w:szCs w:val="16"/>
          <w:color w:val="auto"/>
        </w:rPr>
        <w:t>We reissue the comment.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Substantial future sales of shares of our common stock...page 20</w:t>
      </w:r>
    </w:p>
    <w:p>
      <w:pPr>
        <w:ind w:left="860" w:hanging="852"/>
        <w:spacing w:after="0" w:line="91" w:lineRule="auto"/>
        <w:tabs>
          <w:tab w:leader="none" w:pos="860" w:val="left"/>
        </w:tabs>
        <w:numPr>
          <w:ilvl w:val="0"/>
          <w:numId w:val="12"/>
        </w:numPr>
        <w:rPr>
          <w:rFonts w:ascii="Courier New" w:cs="Courier New" w:eastAsia="Courier New" w:hAnsi="Courier New"/>
          <w:sz w:val="1"/>
          <w:szCs w:val="1"/>
          <w:color w:val="auto"/>
        </w:rPr>
      </w:pPr>
      <w:r>
        <w:rPr>
          <w:rFonts w:ascii="Courier New" w:cs="Courier New" w:eastAsia="Courier New" w:hAnsi="Courier New"/>
          <w:sz w:val="1"/>
          <w:szCs w:val="1"/>
          <w:color w:val="auto"/>
        </w:rPr>
        <w:t>In response to previous comment 46, state that the lock-up</w:t>
      </w:r>
    </w:p>
    <w:p>
      <w:pPr>
        <w:spacing w:after="0" w:line="203"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agreement may be waived at any time at the underwriter`s sole discretion and provide the factors listed in your response as examples of circumstances under which the agreements may be waived.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Proceeds-Page 23</w:t>
      </w:r>
    </w:p>
    <w:p>
      <w:pPr>
        <w:ind w:left="860" w:hanging="852"/>
        <w:spacing w:after="0" w:line="238"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previous comment 49.  Please tell us</w:t>
      </w:r>
    </w:p>
    <w:p>
      <w:pPr>
        <w:spacing w:after="0" w:line="5" w:lineRule="exact"/>
        <w:rPr>
          <w:sz w:val="20"/>
          <w:szCs w:val="20"/>
          <w:color w:val="auto"/>
        </w:rPr>
      </w:pPr>
    </w:p>
    <w:p>
      <w:pPr>
        <w:ind w:right="2839"/>
        <w:spacing w:after="0"/>
        <w:rPr>
          <w:sz w:val="20"/>
          <w:szCs w:val="20"/>
          <w:color w:val="auto"/>
        </w:rPr>
      </w:pPr>
      <w:r>
        <w:rPr>
          <w:rFonts w:ascii="Courier New" w:cs="Courier New" w:eastAsia="Courier New" w:hAnsi="Courier New"/>
          <w:sz w:val="18"/>
          <w:szCs w:val="18"/>
          <w:color w:val="auto"/>
        </w:rPr>
        <w:t>why you have not allocated a portion of proceeds to pay for the facility you are contractually committed to acquire by September</w:t>
      </w:r>
    </w:p>
    <w:p>
      <w:pPr>
        <w:spacing w:after="0" w:line="20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of 2005. Please revise to include the estimated amounts intended to be used for this purpose.</w:t>
      </w:r>
    </w:p>
    <w:p>
      <w:pPr>
        <w:spacing w:after="0" w:line="20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page 36</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reviewed your revisions in response to prior comment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rPr>
                <w:sz w:val="20"/>
                <w:szCs w:val="20"/>
                <w:color w:val="auto"/>
              </w:rPr>
            </w:pPr>
            <w:r>
              <w:rPr>
                <w:rFonts w:ascii="Courier New" w:cs="Courier New" w:eastAsia="Courier New" w:hAnsi="Courier New"/>
                <w:sz w:val="18"/>
                <w:szCs w:val="18"/>
                <w:color w:val="auto"/>
              </w:rPr>
              <w:t>however, we</w:t>
            </w:r>
          </w:p>
        </w:tc>
        <w:tc>
          <w:tcPr>
            <w:tcW w:w="29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re-issue the comment.</w:t>
            </w:r>
          </w:p>
        </w:tc>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Please include a more robust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explanation</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 126.8</w:t>
            </w:r>
          </w:p>
        </w:tc>
        <w:tc>
          <w:tcPr>
            <w:tcW w:w="4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percent increase in revenues from</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ended September 30,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2003 to</w:t>
            </w:r>
          </w:p>
        </w:tc>
        <w:tc>
          <w:tcPr>
            <w:tcW w:w="34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the nine months ended</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September 30, 2004.  It appears</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that the increase in the</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new clients</w:t>
            </w:r>
          </w:p>
        </w:tc>
        <w:tc>
          <w:tcPr>
            <w:tcW w:w="5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did not have material effect on this increase.  In</w:t>
            </w:r>
          </w:p>
        </w:tc>
        <w:tc>
          <w:tcPr>
            <w:tcW w:w="9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light</w:t>
            </w: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the  fact that your revenues</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are largely predictable as a</w:t>
            </w:r>
          </w:p>
        </w:tc>
        <w:tc>
          <w:tcPr>
            <w:tcW w:w="9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result</w:t>
            </w: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the long-term nature</w:t>
            </w:r>
          </w:p>
        </w:tc>
        <w:tc>
          <w:tcPr>
            <w:tcW w:w="4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your agreements, it is not clear what</w:t>
            </w:r>
          </w:p>
        </w:tc>
      </w:tr>
    </w:tbl>
    <w:p>
      <w:pPr>
        <w:spacing w:after="0" w:line="238" w:lineRule="auto"/>
        <w:rPr>
          <w:sz w:val="20"/>
          <w:szCs w:val="20"/>
          <w:color w:val="auto"/>
        </w:rPr>
      </w:pPr>
      <w:r>
        <w:rPr>
          <w:rFonts w:ascii="Courier New" w:cs="Courier New" w:eastAsia="Courier New" w:hAnsi="Courier New"/>
          <w:sz w:val="18"/>
          <w:szCs w:val="18"/>
          <w:color w:val="auto"/>
        </w:rPr>
        <w:t>caused the large increase presented here.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Stockholders-Page 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Stockholder Agreement</w:t>
      </w:r>
    </w:p>
    <w:p>
      <w:pPr>
        <w:ind w:left="860" w:hanging="852"/>
        <w:spacing w:after="0" w:line="238"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previous comment 62.  Do the</w:t>
      </w:r>
    </w:p>
    <w:p>
      <w:pPr>
        <w:spacing w:after="0"/>
        <w:tabs>
          <w:tab w:leader="none" w:pos="2520" w:val="left"/>
        </w:tabs>
        <w:rPr>
          <w:sz w:val="20"/>
          <w:szCs w:val="20"/>
          <w:color w:val="auto"/>
        </w:rPr>
      </w:pP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provisions discussed in Section 8 (d)-(f) of</w:t>
      </w:r>
    </w:p>
    <w:p>
      <w:pPr>
        <w:spacing w:after="0" w:line="237" w:lineRule="auto"/>
        <w:rPr>
          <w:sz w:val="20"/>
          <w:szCs w:val="20"/>
          <w:color w:val="auto"/>
        </w:rPr>
      </w:pPr>
      <w:r>
        <w:rPr>
          <w:rFonts w:ascii="Courier New" w:cs="Courier New" w:eastAsia="Courier New" w:hAnsi="Courier New"/>
          <w:sz w:val="18"/>
          <w:szCs w:val="18"/>
          <w:color w:val="auto"/>
        </w:rPr>
        <w:t>the</w:t>
      </w:r>
    </w:p>
    <w:p>
      <w:pPr>
        <w:spacing w:after="0"/>
        <w:tabs>
          <w:tab w:leader="none" w:pos="3360" w:val="left"/>
        </w:tabs>
        <w:rPr>
          <w:sz w:val="20"/>
          <w:szCs w:val="20"/>
          <w:color w:val="auto"/>
        </w:rPr>
      </w:pPr>
      <w:r>
        <w:rPr>
          <w:rFonts w:ascii="Courier New" w:cs="Courier New" w:eastAsia="Courier New" w:hAnsi="Courier New"/>
          <w:sz w:val="18"/>
          <w:szCs w:val="18"/>
          <w:color w:val="auto"/>
        </w:rPr>
        <w:t>Supplemental Stockholder</w:t>
      </w:r>
      <w:r>
        <w:rPr>
          <w:sz w:val="20"/>
          <w:szCs w:val="20"/>
          <w:color w:val="auto"/>
        </w:rPr>
        <w:tab/>
      </w:r>
      <w:r>
        <w:rPr>
          <w:rFonts w:ascii="Courier New" w:cs="Courier New" w:eastAsia="Courier New" w:hAnsi="Courier New"/>
          <w:sz w:val="16"/>
          <w:szCs w:val="16"/>
          <w:color w:val="auto"/>
        </w:rPr>
        <w:t>Agreement dated December 3, 2004</w:t>
      </w:r>
    </w:p>
    <w:p>
      <w:pPr>
        <w:spacing w:after="0"/>
        <w:rPr>
          <w:sz w:val="20"/>
          <w:szCs w:val="20"/>
          <w:color w:val="auto"/>
        </w:rPr>
      </w:pPr>
      <w:r>
        <w:rPr>
          <w:rFonts w:ascii="Courier New" w:cs="Courier New" w:eastAsia="Courier New" w:hAnsi="Courier New"/>
          <w:sz w:val="18"/>
          <w:szCs w:val="18"/>
          <w:color w:val="auto"/>
        </w:rPr>
        <w:t>extend</w:t>
      </w:r>
    </w:p>
    <w:p>
      <w:pPr>
        <w:spacing w:after="0"/>
        <w:tabs>
          <w:tab w:leader="none" w:pos="4200" w:val="left"/>
        </w:tabs>
        <w:rPr>
          <w:sz w:val="20"/>
          <w:szCs w:val="20"/>
          <w:color w:val="auto"/>
        </w:rPr>
      </w:pPr>
      <w:r>
        <w:rPr>
          <w:rFonts w:ascii="Courier New" w:cs="Courier New" w:eastAsia="Courier New" w:hAnsi="Courier New"/>
          <w:sz w:val="18"/>
          <w:szCs w:val="18"/>
          <w:color w:val="auto"/>
        </w:rPr>
        <w:t>indemnification protection to any of</w:t>
      </w:r>
      <w:r>
        <w:rPr>
          <w:sz w:val="20"/>
          <w:szCs w:val="20"/>
          <w:color w:val="auto"/>
        </w:rPr>
        <w:tab/>
      </w:r>
      <w:r>
        <w:rPr>
          <w:rFonts w:ascii="Courier New" w:cs="Courier New" w:eastAsia="Courier New" w:hAnsi="Courier New"/>
          <w:sz w:val="16"/>
          <w:szCs w:val="16"/>
          <w:color w:val="auto"/>
        </w:rPr>
        <w:t>your directors and</w:t>
      </w:r>
    </w:p>
    <w:p>
      <w:pPr>
        <w:spacing w:after="0"/>
        <w:rPr>
          <w:sz w:val="20"/>
          <w:szCs w:val="20"/>
          <w:color w:val="auto"/>
        </w:rPr>
      </w:pPr>
      <w:r>
        <w:rPr>
          <w:rFonts w:ascii="Courier New" w:cs="Courier New" w:eastAsia="Courier New" w:hAnsi="Courier New"/>
          <w:sz w:val="18"/>
          <w:szCs w:val="18"/>
          <w:color w:val="auto"/>
        </w:rPr>
        <w:t>executive</w:t>
      </w:r>
    </w:p>
    <w:p>
      <w:pPr>
        <w:spacing w:after="0"/>
        <w:tabs>
          <w:tab w:leader="none" w:pos="5880" w:val="left"/>
        </w:tabs>
        <w:rPr>
          <w:sz w:val="20"/>
          <w:szCs w:val="20"/>
          <w:color w:val="auto"/>
        </w:rPr>
      </w:pPr>
      <w:r>
        <w:rPr>
          <w:rFonts w:ascii="Courier New" w:cs="Courier New" w:eastAsia="Courier New" w:hAnsi="Courier New"/>
          <w:sz w:val="18"/>
          <w:szCs w:val="18"/>
          <w:color w:val="auto"/>
        </w:rPr>
        <w:t>officers beyond that which you have provided and</w:t>
      </w:r>
      <w:r>
        <w:rPr>
          <w:sz w:val="20"/>
          <w:szCs w:val="20"/>
          <w:color w:val="auto"/>
        </w:rPr>
        <w:tab/>
      </w:r>
      <w:r>
        <w:rPr>
          <w:rFonts w:ascii="Courier New" w:cs="Courier New" w:eastAsia="Courier New" w:hAnsi="Courier New"/>
          <w:sz w:val="16"/>
          <w:szCs w:val="16"/>
          <w:color w:val="auto"/>
        </w:rPr>
        <w:t>disclosed on</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II-1 of</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your originally</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filed registration statement?   If so,</w:t>
            </w:r>
          </w:p>
        </w:tc>
      </w:tr>
      <w:tr>
        <w:trPr>
          <w:trHeight w:val="203"/>
        </w:trPr>
        <w:tc>
          <w:tcPr>
            <w:tcW w:w="800" w:type="dxa"/>
            <w:vAlign w:val="bottom"/>
          </w:tcPr>
          <w:p>
            <w:pPr>
              <w:spacing w:after="0"/>
              <w:rPr>
                <w:sz w:val="17"/>
                <w:szCs w:val="17"/>
                <w:color w:val="auto"/>
              </w:rPr>
            </w:pPr>
          </w:p>
        </w:tc>
        <w:tc>
          <w:tcPr>
            <w:tcW w:w="6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please discuss the differences in your document.  We note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that</w:t>
            </w: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Stockholder</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Agreement indemnifies the purchasers, as well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partners, members,</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directors, officers, affiliates, legal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counsel</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and each person</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who controls the</w:t>
            </w:r>
          </w:p>
        </w:tc>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purchasers, and that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some of</w:t>
            </w:r>
          </w:p>
        </w:tc>
        <w:tc>
          <w:tcPr>
            <w:tcW w:w="6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your officer and directors serve as partners to the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Underwriting</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supplementally confirm that the i-Deal materials have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t>
      </w:r>
    </w:p>
    <w:p>
      <w:pPr>
        <w:spacing w:after="0"/>
        <w:tabs>
          <w:tab w:leader="none" w:pos="1680" w:val="left"/>
        </w:tabs>
        <w:rPr>
          <w:sz w:val="20"/>
          <w:szCs w:val="20"/>
          <w:color w:val="auto"/>
        </w:rPr>
      </w:pPr>
      <w:r>
        <w:rPr>
          <w:rFonts w:ascii="Courier New" w:cs="Courier New" w:eastAsia="Courier New" w:hAnsi="Courier New"/>
          <w:sz w:val="18"/>
          <w:szCs w:val="18"/>
          <w:color w:val="auto"/>
        </w:rPr>
        <w:t>changed since</w:t>
      </w:r>
      <w:r>
        <w:rPr>
          <w:sz w:val="20"/>
          <w:szCs w:val="20"/>
          <w:color w:val="auto"/>
        </w:rPr>
        <w:tab/>
      </w:r>
      <w:r>
        <w:rPr>
          <w:rFonts w:ascii="Courier New" w:cs="Courier New" w:eastAsia="Courier New" w:hAnsi="Courier New"/>
          <w:sz w:val="16"/>
          <w:szCs w:val="16"/>
          <w:color w:val="auto"/>
        </w:rPr>
        <w:t>you obtained clearance from the Office of Chief</w:t>
      </w:r>
    </w:p>
    <w:p>
      <w:pPr>
        <w:spacing w:after="0" w:line="237" w:lineRule="auto"/>
        <w:rPr>
          <w:sz w:val="20"/>
          <w:szCs w:val="20"/>
          <w:color w:val="auto"/>
        </w:rPr>
      </w:pPr>
      <w:r>
        <w:rPr>
          <w:rFonts w:ascii="Courier New" w:cs="Courier New" w:eastAsia="Courier New" w:hAnsi="Courier New"/>
          <w:sz w:val="18"/>
          <w:szCs w:val="18"/>
          <w:color w:val="auto"/>
        </w:rPr>
        <w:t>Counsel.</w:t>
      </w:r>
    </w:p>
    <w:p>
      <w:pPr>
        <w:spacing w:after="0" w:line="202"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Supplementally tell us who falls within the category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"friends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family" of directors.  For example, are Oak Hill Partners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FTV</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Ventures parties that may participate in the directed share program</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"friends and family members?" We note that some of your directors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 partners with Oak Hill and FTV Ventures.</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Note 1-Organization, Basis of Presentation and Business Combinations</w:t>
      </w: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comment 71, however, your disclosure</w:t>
      </w:r>
    </w:p>
    <w:p>
      <w:pPr>
        <w:spacing w:after="0" w:line="23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indicates that  Conseco`s waiver of $11 million in advances to</w:t>
      </w:r>
    </w:p>
    <w:p>
      <w:pPr>
        <w:spacing w:after="0" w:line="207" w:lineRule="exact"/>
        <w:rPr>
          <w:sz w:val="20"/>
          <w:szCs w:val="20"/>
          <w:color w:val="auto"/>
        </w:rPr>
      </w:pPr>
    </w:p>
    <w:p>
      <w:pPr>
        <w:ind w:right="2619"/>
        <w:spacing w:after="0"/>
        <w:rPr>
          <w:sz w:val="20"/>
          <w:szCs w:val="20"/>
          <w:color w:val="auto"/>
        </w:rPr>
      </w:pPr>
      <w:r>
        <w:rPr>
          <w:rFonts w:ascii="Courier New" w:cs="Courier New" w:eastAsia="Courier New" w:hAnsi="Courier New"/>
          <w:sz w:val="18"/>
          <w:szCs w:val="18"/>
          <w:color w:val="auto"/>
        </w:rPr>
        <w:t>the Company, as well as Conseco`s $1 million contribution to the Company were "key transactions" of the acquisition. Please explain</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to us in further detail</w:t>
            </w:r>
          </w:p>
        </w:tc>
        <w:tc>
          <w:tcPr>
            <w:tcW w:w="3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 timing of these transactions</w:t>
            </w:r>
          </w:p>
        </w:tc>
        <w:tc>
          <w:tcPr>
            <w:tcW w:w="1320" w:type="dxa"/>
            <w:vAlign w:val="bottom"/>
          </w:tcPr>
          <w:p>
            <w:pPr>
              <w:ind w:left="800"/>
              <w:spacing w:after="0"/>
              <w:rPr>
                <w:sz w:val="20"/>
                <w:szCs w:val="20"/>
                <w:color w:val="auto"/>
              </w:rPr>
            </w:pPr>
            <w:r>
              <w:rPr>
                <w:rFonts w:ascii="Courier New" w:cs="Courier New" w:eastAsia="Courier New" w:hAnsi="Courier New"/>
                <w:sz w:val="18"/>
                <w:szCs w:val="18"/>
                <w:color w:val="auto"/>
              </w:rPr>
              <w:t>as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they</w:t>
            </w: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appear to have occurred</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 contemplation of the acquisition and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 us</w:t>
            </w: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with more substantive reasons why you do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believe</w:t>
            </w: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they should be factored</w:t>
            </w: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into your purchase price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calculation.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w:t>
            </w: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 paragraphs 44 and 45</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SFAS No.</w:t>
            </w:r>
          </w:p>
        </w:tc>
        <w:tc>
          <w:tcPr>
            <w:tcW w:w="20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141.</w:t>
            </w:r>
          </w:p>
        </w:tc>
        <w:tc>
          <w:tcPr>
            <w:tcW w:w="13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Restatement</w:t>
      </w:r>
    </w:p>
    <w:p>
      <w:pPr>
        <w:ind w:left="860" w:hanging="852"/>
        <w:spacing w:after="0" w:line="238"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to prior comment 75, please supplementally explain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nature of the</w:t>
      </w:r>
      <w:r>
        <w:rPr>
          <w:sz w:val="20"/>
          <w:szCs w:val="20"/>
          <w:color w:val="auto"/>
        </w:rPr>
        <w:tab/>
      </w:r>
      <w:r>
        <w:rPr>
          <w:rFonts w:ascii="Courier New" w:cs="Courier New" w:eastAsia="Courier New" w:hAnsi="Courier New"/>
          <w:sz w:val="18"/>
          <w:szCs w:val="18"/>
          <w:color w:val="auto"/>
        </w:rPr>
        <w:t>services provided by Oak Hill.</w:t>
      </w:r>
      <w:r>
        <w:rPr>
          <w:sz w:val="20"/>
          <w:szCs w:val="20"/>
          <w:color w:val="auto"/>
        </w:rPr>
        <w:tab/>
      </w:r>
      <w:r>
        <w:rPr>
          <w:rFonts w:ascii="Courier New" w:cs="Courier New" w:eastAsia="Courier New" w:hAnsi="Courier New"/>
          <w:sz w:val="16"/>
          <w:szCs w:val="16"/>
          <w:color w:val="auto"/>
        </w:rPr>
        <w:t>Specifically, tell</w:t>
      </w:r>
    </w:p>
    <w:p>
      <w:pPr>
        <w:spacing w:after="0" w:line="237" w:lineRule="auto"/>
        <w:rPr>
          <w:sz w:val="20"/>
          <w:szCs w:val="20"/>
          <w:color w:val="auto"/>
        </w:rPr>
      </w:pPr>
      <w:r>
        <w:rPr>
          <w:rFonts w:ascii="Courier New" w:cs="Courier New" w:eastAsia="Courier New" w:hAnsi="Courier New"/>
          <w:sz w:val="18"/>
          <w:szCs w:val="18"/>
          <w:color w:val="auto"/>
        </w:rPr>
        <w:t>us</w:t>
      </w:r>
    </w:p>
    <w:p>
      <w:pPr>
        <w:spacing w:after="0"/>
        <w:tabs>
          <w:tab w:leader="none" w:pos="3360" w:val="left"/>
        </w:tabs>
        <w:rPr>
          <w:sz w:val="20"/>
          <w:szCs w:val="20"/>
          <w:color w:val="auto"/>
        </w:rPr>
      </w:pPr>
      <w:r>
        <w:rPr>
          <w:rFonts w:ascii="Courier New" w:cs="Courier New" w:eastAsia="Courier New" w:hAnsi="Courier New"/>
          <w:sz w:val="18"/>
          <w:szCs w:val="18"/>
          <w:color w:val="auto"/>
        </w:rPr>
        <w:t>whether the amounts due to</w:t>
      </w:r>
      <w:r>
        <w:rPr>
          <w:sz w:val="20"/>
          <w:szCs w:val="20"/>
          <w:color w:val="auto"/>
        </w:rPr>
        <w:tab/>
      </w:r>
      <w:r>
        <w:rPr>
          <w:rFonts w:ascii="Courier New" w:cs="Courier New" w:eastAsia="Courier New" w:hAnsi="Courier New"/>
          <w:sz w:val="16"/>
          <w:szCs w:val="16"/>
          <w:color w:val="auto"/>
        </w:rPr>
        <w:t>Oak Hill were contractually based or</w:t>
      </w:r>
    </w:p>
    <w:p>
      <w:pPr>
        <w:spacing w:after="0"/>
        <w:tabs>
          <w:tab w:leader="none" w:pos="3560" w:val="left"/>
          <w:tab w:leader="none" w:pos="4200" w:val="left"/>
        </w:tabs>
        <w:rPr>
          <w:sz w:val="20"/>
          <w:szCs w:val="20"/>
          <w:color w:val="auto"/>
        </w:rPr>
      </w:pPr>
      <w:r>
        <w:rPr>
          <w:rFonts w:ascii="Courier New" w:cs="Courier New" w:eastAsia="Courier New" w:hAnsi="Courier New"/>
          <w:sz w:val="18"/>
          <w:szCs w:val="18"/>
          <w:color w:val="auto"/>
        </w:rPr>
        <w:t>determined in some other manner.</w:t>
        <w:tab/>
        <w:t>In</w:t>
      </w:r>
      <w:r>
        <w:rPr>
          <w:sz w:val="20"/>
          <w:szCs w:val="20"/>
          <w:color w:val="auto"/>
        </w:rPr>
        <w:tab/>
      </w:r>
      <w:r>
        <w:rPr>
          <w:rFonts w:ascii="Courier New" w:cs="Courier New" w:eastAsia="Courier New" w:hAnsi="Courier New"/>
          <w:sz w:val="16"/>
          <w:szCs w:val="16"/>
          <w:color w:val="auto"/>
        </w:rPr>
        <w:t>addition, please clarify</w:t>
      </w:r>
    </w:p>
    <w:p>
      <w:pPr>
        <w:spacing w:after="0" w:line="237" w:lineRule="auto"/>
        <w:rPr>
          <w:sz w:val="20"/>
          <w:szCs w:val="20"/>
          <w:color w:val="auto"/>
        </w:rPr>
      </w:pPr>
      <w:r>
        <w:rPr>
          <w:rFonts w:ascii="Courier New" w:cs="Courier New" w:eastAsia="Courier New" w:hAnsi="Courier New"/>
          <w:sz w:val="18"/>
          <w:szCs w:val="18"/>
          <w:color w:val="auto"/>
        </w:rPr>
        <w:t>the</w:t>
      </w:r>
    </w:p>
    <w:p>
      <w:pPr>
        <w:spacing w:after="0"/>
        <w:tabs>
          <w:tab w:leader="none" w:pos="5880" w:val="left"/>
        </w:tabs>
        <w:rPr>
          <w:sz w:val="20"/>
          <w:szCs w:val="20"/>
          <w:color w:val="auto"/>
        </w:rPr>
      </w:pPr>
      <w:r>
        <w:rPr>
          <w:rFonts w:ascii="Courier New" w:cs="Courier New" w:eastAsia="Courier New" w:hAnsi="Courier New"/>
          <w:sz w:val="18"/>
          <w:szCs w:val="18"/>
          <w:color w:val="auto"/>
        </w:rPr>
        <w:t>facts and circumstances that resulted in the error and</w:t>
      </w:r>
      <w:r>
        <w:rPr>
          <w:sz w:val="20"/>
          <w:szCs w:val="20"/>
          <w:color w:val="auto"/>
        </w:rPr>
        <w:tab/>
      </w:r>
      <w:r>
        <w:rPr>
          <w:rFonts w:ascii="Courier New" w:cs="Courier New" w:eastAsia="Courier New" w:hAnsi="Courier New"/>
          <w:sz w:val="16"/>
          <w:szCs w:val="16"/>
          <w:color w:val="auto"/>
        </w:rPr>
        <w:t>how</w:t>
      </w:r>
    </w:p>
    <w:p>
      <w:pPr>
        <w:spacing w:after="0" w:line="237" w:lineRule="auto"/>
        <w:rPr>
          <w:sz w:val="20"/>
          <w:szCs w:val="20"/>
          <w:color w:val="auto"/>
        </w:rPr>
      </w:pPr>
      <w:r>
        <w:rPr>
          <w:rFonts w:ascii="Courier New" w:cs="Courier New" w:eastAsia="Courier New" w:hAnsi="Courier New"/>
          <w:sz w:val="18"/>
          <w:szCs w:val="18"/>
          <w:color w:val="auto"/>
        </w:rPr>
        <w:t>the</w:t>
      </w:r>
    </w:p>
    <w:p>
      <w:pPr>
        <w:spacing w:after="0"/>
        <w:tabs>
          <w:tab w:leader="none" w:pos="2200" w:val="left"/>
        </w:tabs>
        <w:rPr>
          <w:sz w:val="20"/>
          <w:szCs w:val="20"/>
          <w:color w:val="auto"/>
        </w:rPr>
      </w:pPr>
      <w:r>
        <w:rPr>
          <w:rFonts w:ascii="Courier New" w:cs="Courier New" w:eastAsia="Courier New" w:hAnsi="Courier New"/>
          <w:sz w:val="18"/>
          <w:szCs w:val="18"/>
          <w:color w:val="auto"/>
        </w:rPr>
        <w:t>error was detected.</w:t>
      </w:r>
      <w:r>
        <w:rPr>
          <w:sz w:val="20"/>
          <w:szCs w:val="20"/>
          <w:color w:val="auto"/>
        </w:rPr>
        <w:tab/>
      </w:r>
      <w:r>
        <w:rPr>
          <w:rFonts w:ascii="Courier New" w:cs="Courier New" w:eastAsia="Courier New" w:hAnsi="Courier New"/>
          <w:sz w:val="16"/>
          <w:szCs w:val="16"/>
          <w:color w:val="auto"/>
        </w:rPr>
        <w:t>Finally, please explain why you had disclosed</w:t>
      </w:r>
    </w:p>
    <w:p>
      <w:pPr>
        <w:spacing w:after="0" w:line="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change as a renegotiation in your prior filing instead of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w:t>
      </w:r>
    </w:p>
    <w:p>
      <w:pPr>
        <w:spacing w:after="0" w:line="238" w:lineRule="auto"/>
        <w:rPr>
          <w:sz w:val="20"/>
          <w:szCs w:val="20"/>
          <w:color w:val="auto"/>
        </w:rPr>
      </w:pPr>
      <w:r>
        <w:rPr>
          <w:rFonts w:ascii="Courier New" w:cs="Courier New" w:eastAsia="Courier New" w:hAnsi="Courier New"/>
          <w:sz w:val="18"/>
          <w:szCs w:val="18"/>
          <w:color w:val="auto"/>
        </w:rPr>
        <w:t>error.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7-Capital Structure</w:t>
      </w:r>
    </w:p>
    <w:p>
      <w:pPr>
        <w:ind w:left="860" w:hanging="852"/>
        <w:spacing w:after="0" w:line="238"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your response to comment 76, you indicate that mandatory</w:t>
      </w:r>
    </w:p>
    <w:tbl>
      <w:tblPr>
        <w:tblLayout w:type="fixed"/>
        <w:tblInd w:w="0" w:type="dxa"/>
        <w:tblCellMar>
          <w:top w:w="0" w:type="dxa"/>
          <w:left w:w="0" w:type="dxa"/>
          <w:bottom w:w="0" w:type="dxa"/>
          <w:right w:w="0" w:type="dxa"/>
        </w:tblCellMar>
      </w:tblPr>
      <w:tr>
        <w:trPr>
          <w:trHeight w:val="203"/>
        </w:trPr>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rPr>
              <w:t>redemption events</w:t>
            </w:r>
          </w:p>
        </w:tc>
        <w:tc>
          <w:tcPr>
            <w:tcW w:w="4900" w:type="dxa"/>
            <w:vAlign w:val="bottom"/>
            <w:gridSpan w:val="4"/>
          </w:tcPr>
          <w:p>
            <w:pPr>
              <w:ind w:left="380"/>
              <w:spacing w:after="0"/>
              <w:rPr>
                <w:sz w:val="20"/>
                <w:szCs w:val="20"/>
                <w:color w:val="auto"/>
              </w:rPr>
            </w:pPr>
            <w:r>
              <w:rPr>
                <w:rFonts w:ascii="Courier New" w:cs="Courier New" w:eastAsia="Courier New" w:hAnsi="Courier New"/>
                <w:sz w:val="18"/>
                <w:szCs w:val="18"/>
                <w:color w:val="auto"/>
                <w:w w:val="96"/>
              </w:rPr>
              <w:t>include "if either or both Vikram Talwar or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Rohit</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Kapoor resign from or are</w:t>
            </w:r>
          </w:p>
        </w:tc>
        <w:tc>
          <w:tcPr>
            <w:tcW w:w="43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terminated or are otherwise no</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longer</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employed by the Company or any of its</w:t>
            </w:r>
          </w:p>
        </w:tc>
        <w:tc>
          <w:tcPr>
            <w:tcW w:w="3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subsidiaries for any</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reason."</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These appear to be events</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that are certain to occur</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would</w:t>
            </w:r>
          </w:p>
        </w:tc>
      </w:tr>
      <w:tr>
        <w:trPr>
          <w:trHeight w:val="203"/>
        </w:trPr>
        <w:tc>
          <w:tcPr>
            <w:tcW w:w="2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require classification as</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 liability in accordance with</w:t>
            </w:r>
          </w:p>
        </w:tc>
        <w:tc>
          <w:tcPr>
            <w:tcW w:w="11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paragraphs 9</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50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A6 of SFAS No. 150. Please advise.</w:t>
            </w:r>
          </w:p>
        </w:tc>
        <w:tc>
          <w:tcPr>
            <w:tcW w:w="11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supplemental information. Detailed cover letters greatly facilitate our review. Please understand that we may have additional comments after reviewing your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responses to our comments.</w:t>
      </w:r>
    </w:p>
    <w:p>
      <w:pPr>
        <w:spacing w:after="0" w:line="207" w:lineRule="exact"/>
        <w:rPr>
          <w:sz w:val="20"/>
          <w:szCs w:val="20"/>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You may contact Jay Spinella at 202-942-7323 or Steven Jacobs,</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Senior Accountant, at 202-942-5222 if you have questions regarding comments on the financial statements and related matters. Please contact Charito A. Mittelman at 202-942-2946 or me at 202-942-1971 with any other questions.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Owen Pinkerton</w:t>
      </w:r>
    </w:p>
    <w:p>
      <w:pPr>
        <w:spacing w:after="0" w:line="238" w:lineRule="auto"/>
        <w:rPr>
          <w:sz w:val="20"/>
          <w:szCs w:val="20"/>
          <w:color w:val="auto"/>
        </w:rPr>
      </w:pPr>
      <w:r>
        <w:rPr>
          <w:rFonts w:ascii="Courier New" w:cs="Courier New" w:eastAsia="Courier New" w:hAnsi="Courier New"/>
          <w:sz w:val="18"/>
          <w:szCs w:val="18"/>
          <w:color w:val="auto"/>
        </w:rPr>
        <w:t>Senior Counsel</w:t>
      </w:r>
    </w:p>
    <w:p>
      <w:pPr>
        <w:spacing w:after="0" w:line="207" w:lineRule="exact"/>
        <w:rPr>
          <w:sz w:val="20"/>
          <w:szCs w:val="20"/>
          <w:color w:val="auto"/>
        </w:rPr>
      </w:pPr>
    </w:p>
    <w:p>
      <w:pPr>
        <w:jc w:val="both"/>
        <w:ind w:left="860" w:right="5479" w:hanging="852"/>
        <w:spacing w:after="0" w:line="268" w:lineRule="auto"/>
        <w:tabs>
          <w:tab w:leader="none" w:pos="8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C. Kennedy, Esq. (via facsimile) Valerie DeMont, Esq. (via facsimile)</w:t>
      </w:r>
    </w:p>
    <w:p>
      <w:pPr>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Vikram Talwar</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February 18, 2005</w:t>
      </w:r>
    </w:p>
    <w:p>
      <w:pPr>
        <w:spacing w:after="0" w:line="237"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36"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decimal"/>
      <w:start w:val="6"/>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1."/>
      <w:numFmt w:val="decimal"/>
      <w:start w:val="12"/>
    </w:lvl>
  </w:abstractNum>
  <w:abstractNum w:abstractNumId="10">
    <w:nsid w:val="6B68079A"/>
    <w:multiLevelType w:val="hybridMultilevel"/>
    <w:lvl w:ilvl="0">
      <w:lvlJc w:val="left"/>
      <w:lvlText w:val="%1."/>
      <w:numFmt w:val="decimal"/>
      <w:start w:val="13"/>
    </w:lvl>
  </w:abstractNum>
  <w:abstractNum w:abstractNumId="11">
    <w:nsid w:val="4E6AFB66"/>
    <w:multiLevelType w:val="hybridMultilevel"/>
    <w:lvl w:ilvl="0">
      <w:lvlJc w:val="left"/>
      <w:lvlText w:val="%1."/>
      <w:numFmt w:val="decimal"/>
      <w:start w:val="14"/>
    </w:lvl>
  </w:abstractNum>
  <w:abstractNum w:abstractNumId="12">
    <w:nsid w:val="25E45D32"/>
    <w:multiLevelType w:val="hybridMultilevel"/>
    <w:lvl w:ilvl="0">
      <w:lvlJc w:val="left"/>
      <w:lvlText w:val="%1."/>
      <w:numFmt w:val="decimal"/>
      <w:start w:val="15"/>
    </w:lvl>
  </w:abstractNum>
  <w:abstractNum w:abstractNumId="13">
    <w:nsid w:val="519B500D"/>
    <w:multiLevelType w:val="hybridMultilevel"/>
    <w:lvl w:ilvl="0">
      <w:lvlJc w:val="left"/>
      <w:lvlText w:val="%1."/>
      <w:numFmt w:val="decimal"/>
      <w:start w:val="16"/>
    </w:lvl>
  </w:abstractNum>
  <w:abstractNum w:abstractNumId="14">
    <w:nsid w:val="431BD7B7"/>
    <w:multiLevelType w:val="hybridMultilevel"/>
    <w:lvl w:ilvl="0">
      <w:lvlJc w:val="left"/>
      <w:lvlText w:val="%1."/>
      <w:numFmt w:val="decimal"/>
      <w:start w:val="17"/>
    </w:lvl>
  </w:abstractNum>
  <w:abstractNum w:abstractNumId="15">
    <w:nsid w:val="3F2DBA31"/>
    <w:multiLevelType w:val="hybridMultilevel"/>
    <w:lvl w:ilvl="0">
      <w:lvlJc w:val="left"/>
      <w:lvlText w:val="%1."/>
      <w:numFmt w:val="decimal"/>
      <w:start w:val="18"/>
    </w:lvl>
  </w:abstractNum>
  <w:abstractNum w:abstractNumId="16">
    <w:nsid w:val="7C83E458"/>
    <w:multiLevelType w:val="hybridMultilevel"/>
    <w:lvl w:ilvl="0">
      <w:lvlJc w:val="left"/>
      <w:lvlText w:val="%1."/>
      <w:numFmt w:val="decimal"/>
      <w:start w:val="19"/>
    </w:lvl>
  </w:abstractNum>
  <w:abstractNum w:abstractNumId="17">
    <w:nsid w:val="257130A3"/>
    <w:multiLevelType w:val="hybridMultilevel"/>
    <w:lvl w:ilvl="0">
      <w:lvlJc w:val="left"/>
      <w:lvlText w:val="%1."/>
      <w:numFmt w:val="decimal"/>
      <w:start w:val="20"/>
    </w:lvl>
  </w:abstractNum>
  <w:abstractNum w:abstractNumId="18">
    <w:nsid w:val="62BBD95A"/>
    <w:multiLevelType w:val="hybridMultilevel"/>
    <w:lvl w:ilvl="0">
      <w:lvlJc w:val="left"/>
      <w:lvlText w:val="%1."/>
      <w:numFmt w:val="decimal"/>
      <w:start w:val="21"/>
    </w:lvl>
  </w:abstractNum>
  <w:abstractNum w:abstractNumId="19">
    <w:nsid w:val="436C6125"/>
    <w:multiLevelType w:val="hybridMultilevel"/>
    <w:lvl w:ilvl="0">
      <w:lvlJc w:val="left"/>
      <w:lvlText w:val="%1."/>
      <w:numFmt w:val="decimal"/>
      <w:start w:val="22"/>
    </w:lvl>
  </w:abstractNum>
  <w:abstractNum w:abstractNumId="20">
    <w:nsid w:val="628C895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2019-12-12T05:01:47Z</dcterms:created>
  <dcterms:modified xsi:type="dcterms:W3CDTF">2019-12-12T05:01:47Z</dcterms:modified>
</cp:coreProperties>
</file>