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07/12/2016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tcBorders>
              <w:bottom w:val="single" w:sz="8" w:color="2C2C2C"/>
            </w:tcBorders>
            <w:gridSpan w:val="2"/>
          </w:tcPr>
          <w:p>
            <w:pPr>
              <w:jc w:val="right"/>
              <w:ind w:right="120"/>
              <w:spacing w:after="0"/>
              <w:rPr>
                <w:sz w:val="20"/>
                <w:szCs w:val="20"/>
                <w:color w:val="auto"/>
              </w:rPr>
            </w:pPr>
            <w:r>
              <w:rPr>
                <w:rFonts w:ascii="Arial" w:cs="Arial" w:eastAsia="Arial" w:hAnsi="Arial"/>
                <w:sz w:val="18"/>
                <w:szCs w:val="18"/>
                <w:color w:val="0000FF"/>
              </w:rPr>
              <w:t>07/12/2016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2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4,500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24.77</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8,470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tcBorders>
              <w:bottom w:val="single" w:sz="8" w:color="2C2C2C"/>
            </w:tcBorders>
            <w:gridSpan w:val="2"/>
          </w:tcPr>
          <w:p>
            <w:pPr>
              <w:jc w:val="right"/>
              <w:ind w:right="120"/>
              <w:spacing w:after="0"/>
              <w:rPr>
                <w:sz w:val="20"/>
                <w:szCs w:val="20"/>
                <w:color w:val="auto"/>
              </w:rPr>
            </w:pPr>
            <w:r>
              <w:rPr>
                <w:rFonts w:ascii="Arial" w:cs="Arial" w:eastAsia="Arial" w:hAnsi="Arial"/>
                <w:sz w:val="18"/>
                <w:szCs w:val="18"/>
                <w:color w:val="0000FF"/>
              </w:rPr>
              <w:t>07/12/2016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2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4,500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54</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3,970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gridSpan w:val="11"/>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4,500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24.77</w:t>
            </w: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07/12/2016</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4,500</w:t>
            </w:r>
          </w:p>
        </w:tc>
        <w:tc>
          <w:tcPr>
            <w:tcW w:w="800" w:type="dxa"/>
            <w:vAlign w:val="bottom"/>
            <w:gridSpan w:val="2"/>
            <w:vMerge w:val="continue"/>
          </w:tcPr>
          <w:p>
            <w:pPr>
              <w:spacing w:after="0"/>
              <w:rPr>
                <w:sz w:val="12"/>
                <w:szCs w:val="12"/>
                <w:color w:val="auto"/>
              </w:rPr>
            </w:pP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color w:val="0000FF"/>
                <w:w w:val="99"/>
              </w:rPr>
              <w:t>02/07/2022</w:t>
            </w: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80"/>
              <w:spacing w:after="0" w:line="149" w:lineRule="exact"/>
              <w:rPr>
                <w:sz w:val="20"/>
                <w:szCs w:val="20"/>
                <w:color w:val="auto"/>
              </w:rPr>
            </w:pPr>
            <w:r>
              <w:rPr>
                <w:rFonts w:ascii="Arial" w:cs="Arial" w:eastAsia="Arial" w:hAnsi="Arial"/>
                <w:sz w:val="14"/>
                <w:szCs w:val="14"/>
                <w:color w:val="0000FF"/>
                <w:w w:val="91"/>
              </w:rPr>
              <w:t>2,050</w:t>
            </w:r>
          </w:p>
        </w:tc>
        <w:tc>
          <w:tcPr>
            <w:tcW w:w="30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July 12, 2016 the reporting person exercised previously issued options to purchase an aggregate of 4,500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40" w:right="4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7, 2012, the reporting person was granted 11,050 stock options. 10 percent of these options became vested and exercisable on February 7, 2013, an additional 20 percent became vested and exercisable on February 7, 2014, an additional 30 percent became vested and exercisable on February 7, 2015, and the balance of 40 percent became vested and exercisable on February 7, 2016.</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07/14/2016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2019-12-08T02:40:48Z</dcterms:created>
  <dcterms:modified xsi:type="dcterms:W3CDTF">2019-12-08T02:40:48Z</dcterms:modified>
</cp:coreProperties>
</file>