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EVP &amp; Head of Outsourcing.</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02/01/2021</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6,268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4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12,414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02/01/2021</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2,680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76.68</w:t>
            </w:r>
            <w:r>
              <w:rPr>
                <w:rFonts w:ascii="Times New Roman" w:cs="Times New Roman" w:eastAsia="Times New Roman" w:hAnsi="Times New Roman"/>
                <w:sz w:val="22"/>
                <w:szCs w:val="22"/>
                <w:color w:val="008000"/>
                <w:vertAlign w:val="superscript"/>
              </w:rPr>
              <w:t>(2)</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9,734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22, 2018. Such shares of Common Stock were deemed earned on February 1, 2021 based on the Compensation Committee of the Board of Directors administering the award certifying the achievement of performance targets applicable to the PRSUs for the performance period ending on December 31, 2020.</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29, 2021 in this case, is used for purposes of computing tax reporting and withholding.</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02/03/2021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2021-02-03T16:30:27Z</dcterms:created>
  <dcterms:modified xsi:type="dcterms:W3CDTF">2021-02-03T16:30:27Z</dcterms:modified>
</cp:coreProperties>
</file>