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Miglani Nalin Kumar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EVP and Chief HR Officer</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52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52717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02/22/2021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9"/>
              <w:spacing w:after="0"/>
              <w:rPr>
                <w:sz w:val="20"/>
                <w:szCs w:val="20"/>
                <w:color w:val="auto"/>
              </w:rPr>
            </w:pPr>
            <w:r>
              <w:rPr>
                <w:rFonts w:ascii="Arial" w:cs="Arial" w:eastAsia="Arial" w:hAnsi="Arial"/>
                <w:sz w:val="17"/>
                <w:szCs w:val="17"/>
                <w:color w:val="0000FF"/>
                <w:w w:val="89"/>
              </w:rPr>
              <w:t>1,602</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1"/>
                <w:szCs w:val="11"/>
                <w:color w:val="008000"/>
              </w:rPr>
              <w:t>(1)</w:t>
            </w:r>
          </w:p>
        </w:tc>
        <w:tc>
          <w:tcPr>
            <w:tcW w:w="1120" w:type="dxa"/>
            <w:vAlign w:val="bottom"/>
          </w:tcPr>
          <w:p>
            <w:pPr>
              <w:ind w:left="380"/>
              <w:spacing w:after="0"/>
              <w:rPr>
                <w:sz w:val="20"/>
                <w:szCs w:val="20"/>
                <w:color w:val="auto"/>
              </w:rPr>
            </w:pPr>
            <w:r>
              <w:rPr>
                <w:rFonts w:ascii="Arial" w:cs="Arial" w:eastAsia="Arial" w:hAnsi="Arial"/>
                <w:sz w:val="17"/>
                <w:szCs w:val="17"/>
                <w:color w:val="0000FF"/>
              </w:rPr>
              <w:t>5,458</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02/22/2021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91"/>
              </w:rPr>
              <w:t>613</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80.55</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4,845</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02/22/2021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74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w w:val="91"/>
              </w:rPr>
              <w:t>540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79.58</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4,305</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(4)</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1,602</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02/22/2021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1,602</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1,603</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22,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45"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6,410 restricted stock units, vesting in four annual installments beginning on the first anniversary of the grant date. 25 percent of the restricted stock units became vested on February 22, 2019, an additional twenty-five percent of the restricted stock units became vested on February 22, 2020, an additional twenty-five percent of the restricted stock units became vested on February 22, 2021; and the remaining balance of twenty-five percent of the restricted stock units will vest on February 22,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2701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2021-02-24T16:42:23Z</dcterms:created>
  <dcterms:modified xsi:type="dcterms:W3CDTF">2021-02-24T16:42:23Z</dcterms:modified>
</cp:coreProperties>
</file>