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725551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5510" cy="8255"/>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-185420</wp:posOffset>
            </wp:positionV>
            <wp:extent cx="725551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5510" cy="8255"/>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5" w:lineRule="exact"/>
        <w:rPr>
          <w:sz w:val="24"/>
          <w:szCs w:val="24"/>
          <w:color w:val="auto"/>
        </w:rPr>
      </w:pPr>
    </w:p>
    <w:p>
      <w:pPr>
        <w:ind w:left="3320"/>
        <w:spacing w:after="0"/>
        <w:rPr>
          <w:sz w:val="20"/>
          <w:szCs w:val="20"/>
          <w:color w:val="auto"/>
        </w:rPr>
      </w:pPr>
      <w:r>
        <w:rPr>
          <w:rFonts w:ascii="Arial" w:cs="Arial" w:eastAsia="Arial" w:hAnsi="Arial"/>
          <w:sz w:val="17"/>
          <w:szCs w:val="17"/>
          <w:b w:val="1"/>
          <w:bCs w:val="1"/>
          <w:color w:val="auto"/>
        </w:rPr>
        <w:t>_________________________________________________________</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FORM 10-Q</w:t>
      </w:r>
    </w:p>
    <w:p>
      <w:pPr>
        <w:spacing w:after="0" w:line="8" w:lineRule="exact"/>
        <w:rPr>
          <w:sz w:val="24"/>
          <w:szCs w:val="24"/>
          <w:color w:val="auto"/>
        </w:rPr>
      </w:pPr>
    </w:p>
    <w:p>
      <w:pPr>
        <w:ind w:left="3320"/>
        <w:spacing w:after="0"/>
        <w:rPr>
          <w:sz w:val="20"/>
          <w:szCs w:val="20"/>
          <w:color w:val="auto"/>
        </w:rPr>
      </w:pPr>
      <w:r>
        <w:rPr>
          <w:rFonts w:ascii="Arial" w:cs="Arial" w:eastAsia="Arial" w:hAnsi="Arial"/>
          <w:sz w:val="17"/>
          <w:szCs w:val="17"/>
          <w:b w:val="1"/>
          <w:bCs w:val="1"/>
          <w:color w:val="auto"/>
        </w:rPr>
        <w:t>_________________________________________________________</w:t>
      </w:r>
    </w:p>
    <w:p>
      <w:pPr>
        <w:spacing w:after="0" w:line="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(Mark One)</w:t>
      </w:r>
    </w:p>
    <w:p>
      <w:pPr>
        <w:spacing w:after="0" w:line="164" w:lineRule="exact"/>
        <w:rPr>
          <w:sz w:val="24"/>
          <w:szCs w:val="24"/>
          <w:color w:val="auto"/>
        </w:rPr>
      </w:pPr>
    </w:p>
    <w:p>
      <w:pPr>
        <w:ind w:left="260" w:hanging="234"/>
        <w:spacing w:after="0"/>
        <w:tabs>
          <w:tab w:leader="none" w:pos="26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QUARTERLY REPORT PURSUANT TO SECTION 13 OR 15(d) OF THE SECURITIES EXCHANGE ACT OF 1934</w:t>
      </w:r>
    </w:p>
    <w:p>
      <w:pPr>
        <w:spacing w:after="0" w:line="40" w:lineRule="exact"/>
        <w:rPr>
          <w:rFonts w:ascii="MS PGothic" w:cs="MS PGothic" w:eastAsia="MS PGothic" w:hAnsi="MS PGothic"/>
          <w:sz w:val="17"/>
          <w:szCs w:val="17"/>
          <w:color w:val="auto"/>
        </w:rPr>
      </w:pPr>
    </w:p>
    <w:p>
      <w:pPr>
        <w:ind w:left="3520"/>
        <w:spacing w:after="0"/>
        <w:rPr>
          <w:rFonts w:ascii="MS PGothic" w:cs="MS PGothic" w:eastAsia="MS PGothic" w:hAnsi="MS PGothic"/>
          <w:sz w:val="17"/>
          <w:szCs w:val="17"/>
          <w:color w:val="auto"/>
        </w:rPr>
      </w:pPr>
      <w:r>
        <w:rPr>
          <w:rFonts w:ascii="Arial" w:cs="Arial" w:eastAsia="Arial" w:hAnsi="Arial"/>
          <w:sz w:val="15"/>
          <w:szCs w:val="15"/>
          <w:b w:val="1"/>
          <w:bCs w:val="1"/>
          <w:color w:val="auto"/>
        </w:rPr>
        <w:t>FOR THE QUARTERLY PERIOD ENDED SEPTEMBER 30, 2016</w:t>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OR</w:t>
      </w:r>
    </w:p>
    <w:p>
      <w:pPr>
        <w:spacing w:after="0" w:line="152" w:lineRule="exact"/>
        <w:rPr>
          <w:sz w:val="24"/>
          <w:szCs w:val="24"/>
          <w:color w:val="auto"/>
        </w:rPr>
      </w:pPr>
    </w:p>
    <w:p>
      <w:pPr>
        <w:ind w:left="260" w:hanging="234"/>
        <w:spacing w:after="0"/>
        <w:tabs>
          <w:tab w:leader="none" w:pos="26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87" w:lineRule="exact"/>
        <w:rPr>
          <w:sz w:val="24"/>
          <w:szCs w:val="24"/>
          <w:color w:val="auto"/>
        </w:rPr>
      </w:pPr>
    </w:p>
    <w:p>
      <w:pPr>
        <w:ind w:left="3380"/>
        <w:spacing w:after="0"/>
        <w:tabs>
          <w:tab w:leader="none" w:pos="7000" w:val="left"/>
        </w:tabs>
        <w:rPr>
          <w:sz w:val="20"/>
          <w:szCs w:val="20"/>
          <w:color w:val="auto"/>
        </w:rPr>
      </w:pPr>
      <w:r>
        <w:rPr>
          <w:rFonts w:ascii="Arial" w:cs="Arial" w:eastAsia="Arial" w:hAnsi="Arial"/>
          <w:sz w:val="15"/>
          <w:szCs w:val="15"/>
          <w:b w:val="1"/>
          <w:bCs w:val="1"/>
          <w:color w:val="auto"/>
        </w:rPr>
        <w:t>FOR THE TRANSITION PERIOD FROM</w:t>
      </w:r>
      <w:r>
        <w:rPr>
          <w:sz w:val="20"/>
          <w:szCs w:val="20"/>
          <w:color w:val="auto"/>
        </w:rPr>
        <w:tab/>
      </w:r>
      <w:r>
        <w:rPr>
          <w:rFonts w:ascii="Arial" w:cs="Arial" w:eastAsia="Arial" w:hAnsi="Arial"/>
          <w:sz w:val="15"/>
          <w:szCs w:val="15"/>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3957320</wp:posOffset>
            </wp:positionH>
            <wp:positionV relativeFrom="paragraph">
              <wp:posOffset>-5080</wp:posOffset>
            </wp:positionV>
            <wp:extent cx="11487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48715" cy="8255"/>
                    </a:xfrm>
                    <a:prstGeom prst="rect">
                      <a:avLst/>
                    </a:prstGeom>
                    <a:noFill/>
                  </pic:spPr>
                </pic:pic>
              </a:graphicData>
            </a:graphic>
          </wp:anchor>
        </w:drawing>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COMMISSION FILE NUMBER 001-33089</w:t>
      </w:r>
    </w:p>
    <w:p>
      <w:pPr>
        <w:spacing w:after="0" w:line="18" w:lineRule="exact"/>
        <w:rPr>
          <w:sz w:val="24"/>
          <w:szCs w:val="24"/>
          <w:color w:val="auto"/>
        </w:rPr>
      </w:pPr>
    </w:p>
    <w:p>
      <w:pPr>
        <w:ind w:left="3320"/>
        <w:spacing w:after="0"/>
        <w:rPr>
          <w:sz w:val="20"/>
          <w:szCs w:val="20"/>
          <w:color w:val="auto"/>
        </w:rPr>
      </w:pPr>
      <w:r>
        <w:rPr>
          <w:rFonts w:ascii="Arial" w:cs="Arial" w:eastAsia="Arial" w:hAnsi="Arial"/>
          <w:sz w:val="17"/>
          <w:szCs w:val="17"/>
          <w:b w:val="1"/>
          <w:bCs w:val="1"/>
          <w:color w:val="auto"/>
        </w:rPr>
        <w:t>_________________________________________________________</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34"/>
          <w:szCs w:val="34"/>
          <w:b w:val="1"/>
          <w:bCs w:val="1"/>
          <w:color w:val="auto"/>
        </w:rPr>
        <w:t>EXLSERVICE HOLDINGS, INC.</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(Exact name of registrant as specified in its charter)</w:t>
      </w:r>
    </w:p>
    <w:p>
      <w:pPr>
        <w:spacing w:after="0" w:line="2" w:lineRule="exact"/>
        <w:rPr>
          <w:sz w:val="24"/>
          <w:szCs w:val="24"/>
          <w:color w:val="auto"/>
        </w:rPr>
      </w:pPr>
    </w:p>
    <w:p>
      <w:pPr>
        <w:ind w:left="3320"/>
        <w:spacing w:after="0"/>
        <w:rPr>
          <w:sz w:val="20"/>
          <w:szCs w:val="20"/>
          <w:color w:val="auto"/>
        </w:rPr>
      </w:pPr>
      <w:r>
        <w:rPr>
          <w:rFonts w:ascii="Arial" w:cs="Arial" w:eastAsia="Arial" w:hAnsi="Arial"/>
          <w:sz w:val="17"/>
          <w:szCs w:val="17"/>
          <w:b w:val="1"/>
          <w:bCs w:val="1"/>
          <w:color w:val="auto"/>
        </w:rPr>
        <w:t>_________________________________________________________</w:t>
      </w:r>
    </w:p>
    <w:p>
      <w:pPr>
        <w:spacing w:after="0" w:line="145"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8080" w:type="dxa"/>
            <w:vAlign w:val="bottom"/>
          </w:tcPr>
          <w:p>
            <w:pPr>
              <w:jc w:val="center"/>
              <w:ind w:right="2506"/>
              <w:spacing w:after="0"/>
              <w:rPr>
                <w:sz w:val="20"/>
                <w:szCs w:val="20"/>
                <w:color w:val="auto"/>
              </w:rPr>
            </w:pPr>
            <w:r>
              <w:rPr>
                <w:rFonts w:ascii="Arial" w:cs="Arial" w:eastAsia="Arial" w:hAnsi="Arial"/>
                <w:sz w:val="15"/>
                <w:szCs w:val="15"/>
                <w:b w:val="1"/>
                <w:bCs w:val="1"/>
                <w:color w:val="auto"/>
                <w:w w:val="99"/>
              </w:rPr>
              <w:t>DELAWARE</w:t>
            </w:r>
          </w:p>
        </w:tc>
        <w:tc>
          <w:tcPr>
            <w:tcW w:w="2920" w:type="dxa"/>
            <w:vAlign w:val="bottom"/>
          </w:tcPr>
          <w:p>
            <w:pPr>
              <w:jc w:val="right"/>
              <w:ind w:right="1929"/>
              <w:spacing w:after="0"/>
              <w:rPr>
                <w:sz w:val="20"/>
                <w:szCs w:val="20"/>
                <w:color w:val="auto"/>
              </w:rPr>
            </w:pPr>
            <w:r>
              <w:rPr>
                <w:rFonts w:ascii="Arial" w:cs="Arial" w:eastAsia="Arial" w:hAnsi="Arial"/>
                <w:sz w:val="15"/>
                <w:szCs w:val="15"/>
                <w:b w:val="1"/>
                <w:bCs w:val="1"/>
                <w:color w:val="auto"/>
              </w:rPr>
              <w:t>82-0572194</w:t>
            </w:r>
          </w:p>
        </w:tc>
      </w:tr>
      <w:tr>
        <w:trPr>
          <w:trHeight w:val="176"/>
        </w:trPr>
        <w:tc>
          <w:tcPr>
            <w:tcW w:w="8080" w:type="dxa"/>
            <w:vAlign w:val="bottom"/>
          </w:tcPr>
          <w:p>
            <w:pPr>
              <w:jc w:val="center"/>
              <w:ind w:right="2526"/>
              <w:spacing w:after="0"/>
              <w:rPr>
                <w:sz w:val="20"/>
                <w:szCs w:val="20"/>
                <w:color w:val="auto"/>
              </w:rPr>
            </w:pPr>
            <w:r>
              <w:rPr>
                <w:rFonts w:ascii="Arial" w:cs="Arial" w:eastAsia="Arial" w:hAnsi="Arial"/>
                <w:sz w:val="13"/>
                <w:szCs w:val="13"/>
                <w:b w:val="1"/>
                <w:bCs w:val="1"/>
                <w:color w:val="auto"/>
                <w:w w:val="94"/>
              </w:rPr>
              <w:t>(State or other jurisdiction of</w:t>
            </w:r>
          </w:p>
        </w:tc>
        <w:tc>
          <w:tcPr>
            <w:tcW w:w="2920" w:type="dxa"/>
            <w:vAlign w:val="bottom"/>
          </w:tcPr>
          <w:p>
            <w:pPr>
              <w:jc w:val="center"/>
              <w:ind w:right="1749"/>
              <w:spacing w:after="0"/>
              <w:rPr>
                <w:sz w:val="20"/>
                <w:szCs w:val="20"/>
                <w:color w:val="auto"/>
              </w:rPr>
            </w:pPr>
            <w:r>
              <w:rPr>
                <w:rFonts w:ascii="Arial" w:cs="Arial" w:eastAsia="Arial" w:hAnsi="Arial"/>
                <w:sz w:val="13"/>
                <w:szCs w:val="13"/>
                <w:b w:val="1"/>
                <w:bCs w:val="1"/>
                <w:color w:val="auto"/>
                <w:w w:val="98"/>
              </w:rPr>
              <w:t>(I.R.S. Employer</w:t>
            </w:r>
          </w:p>
        </w:tc>
      </w:tr>
      <w:tr>
        <w:trPr>
          <w:trHeight w:val="174"/>
        </w:trPr>
        <w:tc>
          <w:tcPr>
            <w:tcW w:w="8080" w:type="dxa"/>
            <w:vAlign w:val="bottom"/>
          </w:tcPr>
          <w:p>
            <w:pPr>
              <w:jc w:val="center"/>
              <w:ind w:right="2526"/>
              <w:spacing w:after="0"/>
              <w:rPr>
                <w:sz w:val="20"/>
                <w:szCs w:val="20"/>
                <w:color w:val="auto"/>
              </w:rPr>
            </w:pPr>
            <w:r>
              <w:rPr>
                <w:rFonts w:ascii="Arial" w:cs="Arial" w:eastAsia="Arial" w:hAnsi="Arial"/>
                <w:sz w:val="13"/>
                <w:szCs w:val="13"/>
                <w:b w:val="1"/>
                <w:bCs w:val="1"/>
                <w:color w:val="auto"/>
                <w:w w:val="94"/>
              </w:rPr>
              <w:t>incorporation or organization)</w:t>
            </w:r>
          </w:p>
        </w:tc>
        <w:tc>
          <w:tcPr>
            <w:tcW w:w="2920" w:type="dxa"/>
            <w:vAlign w:val="bottom"/>
          </w:tcPr>
          <w:p>
            <w:pPr>
              <w:jc w:val="center"/>
              <w:ind w:right="1749"/>
              <w:spacing w:after="0"/>
              <w:rPr>
                <w:sz w:val="20"/>
                <w:szCs w:val="20"/>
                <w:color w:val="auto"/>
              </w:rPr>
            </w:pPr>
            <w:r>
              <w:rPr>
                <w:rFonts w:ascii="Arial" w:cs="Arial" w:eastAsia="Arial" w:hAnsi="Arial"/>
                <w:sz w:val="13"/>
                <w:szCs w:val="13"/>
                <w:b w:val="1"/>
                <w:bCs w:val="1"/>
                <w:color w:val="auto"/>
                <w:w w:val="96"/>
              </w:rPr>
              <w:t>Identification No.)</w:t>
            </w:r>
          </w:p>
        </w:tc>
      </w:tr>
      <w:tr>
        <w:trPr>
          <w:trHeight w:val="327"/>
        </w:trPr>
        <w:tc>
          <w:tcPr>
            <w:tcW w:w="8080" w:type="dxa"/>
            <w:vAlign w:val="bottom"/>
          </w:tcPr>
          <w:p>
            <w:pPr>
              <w:jc w:val="center"/>
              <w:ind w:right="2526"/>
              <w:spacing w:after="0"/>
              <w:rPr>
                <w:sz w:val="20"/>
                <w:szCs w:val="20"/>
                <w:color w:val="auto"/>
              </w:rPr>
            </w:pPr>
            <w:r>
              <w:rPr>
                <w:rFonts w:ascii="Arial" w:cs="Arial" w:eastAsia="Arial" w:hAnsi="Arial"/>
                <w:sz w:val="15"/>
                <w:szCs w:val="15"/>
                <w:b w:val="1"/>
                <w:bCs w:val="1"/>
                <w:color w:val="auto"/>
                <w:w w:val="95"/>
              </w:rPr>
              <w:t>280 PARK AVENUE, 38</w:t>
            </w:r>
            <w:r>
              <w:rPr>
                <w:rFonts w:ascii="Arial" w:cs="Arial" w:eastAsia="Arial" w:hAnsi="Arial"/>
                <w:sz w:val="20"/>
                <w:szCs w:val="20"/>
                <w:b w:val="1"/>
                <w:bCs w:val="1"/>
                <w:color w:val="auto"/>
                <w:w w:val="95"/>
                <w:vertAlign w:val="superscript"/>
              </w:rPr>
              <w:t>TH</w:t>
            </w:r>
            <w:r>
              <w:rPr>
                <w:rFonts w:ascii="Arial" w:cs="Arial" w:eastAsia="Arial" w:hAnsi="Arial"/>
                <w:sz w:val="15"/>
                <w:szCs w:val="15"/>
                <w:b w:val="1"/>
                <w:bCs w:val="1"/>
                <w:color w:val="auto"/>
                <w:w w:val="95"/>
              </w:rPr>
              <w:t xml:space="preserve"> FLOOR,</w:t>
            </w:r>
          </w:p>
        </w:tc>
        <w:tc>
          <w:tcPr>
            <w:tcW w:w="2920" w:type="dxa"/>
            <w:vAlign w:val="bottom"/>
          </w:tcPr>
          <w:p>
            <w:pPr>
              <w:spacing w:after="0"/>
              <w:rPr>
                <w:sz w:val="24"/>
                <w:szCs w:val="24"/>
                <w:color w:val="auto"/>
              </w:rPr>
            </w:pPr>
          </w:p>
        </w:tc>
      </w:tr>
      <w:tr>
        <w:trPr>
          <w:trHeight w:val="195"/>
        </w:trPr>
        <w:tc>
          <w:tcPr>
            <w:tcW w:w="8080" w:type="dxa"/>
            <w:vAlign w:val="bottom"/>
          </w:tcPr>
          <w:p>
            <w:pPr>
              <w:jc w:val="center"/>
              <w:ind w:right="2506"/>
              <w:spacing w:after="0"/>
              <w:rPr>
                <w:sz w:val="20"/>
                <w:szCs w:val="20"/>
                <w:color w:val="auto"/>
              </w:rPr>
            </w:pPr>
            <w:r>
              <w:rPr>
                <w:rFonts w:ascii="Arial" w:cs="Arial" w:eastAsia="Arial" w:hAnsi="Arial"/>
                <w:sz w:val="15"/>
                <w:szCs w:val="15"/>
                <w:b w:val="1"/>
                <w:bCs w:val="1"/>
                <w:color w:val="auto"/>
              </w:rPr>
              <w:t>NEW YORK, NEW YORK</w:t>
            </w:r>
          </w:p>
        </w:tc>
        <w:tc>
          <w:tcPr>
            <w:tcW w:w="2920" w:type="dxa"/>
            <w:vAlign w:val="bottom"/>
          </w:tcPr>
          <w:p>
            <w:pPr>
              <w:jc w:val="right"/>
              <w:ind w:right="2109"/>
              <w:spacing w:after="0"/>
              <w:rPr>
                <w:sz w:val="20"/>
                <w:szCs w:val="20"/>
                <w:color w:val="auto"/>
              </w:rPr>
            </w:pPr>
            <w:r>
              <w:rPr>
                <w:rFonts w:ascii="Arial" w:cs="Arial" w:eastAsia="Arial" w:hAnsi="Arial"/>
                <w:sz w:val="15"/>
                <w:szCs w:val="15"/>
                <w:b w:val="1"/>
                <w:bCs w:val="1"/>
                <w:color w:val="auto"/>
              </w:rPr>
              <w:t>10017</w:t>
            </w:r>
          </w:p>
        </w:tc>
      </w:tr>
      <w:tr>
        <w:trPr>
          <w:trHeight w:val="211"/>
        </w:trPr>
        <w:tc>
          <w:tcPr>
            <w:tcW w:w="8080" w:type="dxa"/>
            <w:vAlign w:val="bottom"/>
          </w:tcPr>
          <w:p>
            <w:pPr>
              <w:jc w:val="center"/>
              <w:ind w:right="2506"/>
              <w:spacing w:after="0"/>
              <w:rPr>
                <w:sz w:val="20"/>
                <w:szCs w:val="20"/>
                <w:color w:val="auto"/>
              </w:rPr>
            </w:pPr>
            <w:r>
              <w:rPr>
                <w:rFonts w:ascii="Arial" w:cs="Arial" w:eastAsia="Arial" w:hAnsi="Arial"/>
                <w:sz w:val="13"/>
                <w:szCs w:val="13"/>
                <w:b w:val="1"/>
                <w:bCs w:val="1"/>
                <w:color w:val="auto"/>
                <w:w w:val="91"/>
              </w:rPr>
              <w:t>(Address of principal executive offices)</w:t>
            </w:r>
          </w:p>
        </w:tc>
        <w:tc>
          <w:tcPr>
            <w:tcW w:w="2920" w:type="dxa"/>
            <w:vAlign w:val="bottom"/>
          </w:tcPr>
          <w:p>
            <w:pPr>
              <w:jc w:val="center"/>
              <w:ind w:right="1749"/>
              <w:spacing w:after="0"/>
              <w:rPr>
                <w:sz w:val="20"/>
                <w:szCs w:val="20"/>
                <w:color w:val="auto"/>
              </w:rPr>
            </w:pPr>
            <w:r>
              <w:rPr>
                <w:rFonts w:ascii="Arial" w:cs="Arial" w:eastAsia="Arial" w:hAnsi="Arial"/>
                <w:sz w:val="13"/>
                <w:szCs w:val="13"/>
                <w:b w:val="1"/>
                <w:bCs w:val="1"/>
                <w:color w:val="auto"/>
                <w:w w:val="93"/>
              </w:rPr>
              <w:t>(Zip code)</w:t>
            </w:r>
          </w:p>
        </w:tc>
      </w:tr>
      <w:tr>
        <w:trPr>
          <w:trHeight w:val="244"/>
        </w:trPr>
        <w:tc>
          <w:tcPr>
            <w:tcW w:w="8080" w:type="dxa"/>
            <w:vAlign w:val="bottom"/>
          </w:tcPr>
          <w:p>
            <w:pPr>
              <w:jc w:val="right"/>
              <w:ind w:right="1826"/>
              <w:spacing w:after="0"/>
              <w:rPr>
                <w:sz w:val="20"/>
                <w:szCs w:val="20"/>
                <w:color w:val="auto"/>
              </w:rPr>
            </w:pPr>
            <w:r>
              <w:rPr>
                <w:rFonts w:ascii="Arial" w:cs="Arial" w:eastAsia="Arial" w:hAnsi="Arial"/>
                <w:sz w:val="15"/>
                <w:szCs w:val="15"/>
                <w:b w:val="1"/>
                <w:bCs w:val="1"/>
                <w:color w:val="auto"/>
              </w:rPr>
              <w:t>(212) 277-7100</w:t>
            </w:r>
          </w:p>
        </w:tc>
        <w:tc>
          <w:tcPr>
            <w:tcW w:w="2920" w:type="dxa"/>
            <w:vAlign w:val="bottom"/>
          </w:tcPr>
          <w:p>
            <w:pPr>
              <w:spacing w:after="0"/>
              <w:rPr>
                <w:sz w:val="21"/>
                <w:szCs w:val="21"/>
                <w:color w:val="auto"/>
              </w:rPr>
            </w:pPr>
          </w:p>
        </w:tc>
      </w:tr>
      <w:tr>
        <w:trPr>
          <w:trHeight w:val="180"/>
        </w:trPr>
        <w:tc>
          <w:tcPr>
            <w:tcW w:w="8080" w:type="dxa"/>
            <w:vAlign w:val="bottom"/>
          </w:tcPr>
          <w:p>
            <w:pPr>
              <w:ind w:left="4200"/>
              <w:spacing w:after="0"/>
              <w:rPr>
                <w:sz w:val="20"/>
                <w:szCs w:val="20"/>
                <w:color w:val="auto"/>
              </w:rPr>
            </w:pPr>
            <w:r>
              <w:rPr>
                <w:rFonts w:ascii="Arial" w:cs="Arial" w:eastAsia="Arial" w:hAnsi="Arial"/>
                <w:sz w:val="13"/>
                <w:szCs w:val="13"/>
                <w:b w:val="1"/>
                <w:bCs w:val="1"/>
                <w:color w:val="auto"/>
              </w:rPr>
              <w:t>(Registrant’s telephone number, including area code)</w:t>
            </w:r>
          </w:p>
        </w:tc>
        <w:tc>
          <w:tcPr>
            <w:tcW w:w="2920" w:type="dxa"/>
            <w:vAlign w:val="bottom"/>
          </w:tcPr>
          <w:p>
            <w:pPr>
              <w:spacing w:after="0"/>
              <w:rPr>
                <w:sz w:val="15"/>
                <w:szCs w:val="15"/>
                <w:color w:val="auto"/>
              </w:rPr>
            </w:pPr>
          </w:p>
        </w:tc>
      </w:tr>
      <w:tr>
        <w:trPr>
          <w:trHeight w:val="218"/>
        </w:trPr>
        <w:tc>
          <w:tcPr>
            <w:tcW w:w="8080" w:type="dxa"/>
            <w:vAlign w:val="bottom"/>
          </w:tcPr>
          <w:p>
            <w:pPr>
              <w:jc w:val="right"/>
              <w:spacing w:after="0"/>
              <w:rPr>
                <w:sz w:val="20"/>
                <w:szCs w:val="20"/>
                <w:color w:val="auto"/>
              </w:rPr>
            </w:pPr>
            <w:r>
              <w:rPr>
                <w:rFonts w:ascii="Arial" w:cs="Arial" w:eastAsia="Arial" w:hAnsi="Arial"/>
                <w:sz w:val="17"/>
                <w:szCs w:val="17"/>
                <w:b w:val="1"/>
                <w:bCs w:val="1"/>
                <w:color w:val="auto"/>
              </w:rPr>
              <w:t>________________________________________________________</w:t>
            </w:r>
          </w:p>
        </w:tc>
        <w:tc>
          <w:tcPr>
            <w:tcW w:w="2920" w:type="dxa"/>
            <w:vAlign w:val="bottom"/>
          </w:tcPr>
          <w:p>
            <w:pPr>
              <w:spacing w:after="0"/>
              <w:rPr>
                <w:sz w:val="18"/>
                <w:szCs w:val="18"/>
                <w:color w:val="auto"/>
              </w:rPr>
            </w:pPr>
          </w:p>
        </w:tc>
      </w:tr>
      <w:tr>
        <w:trPr>
          <w:trHeight w:val="190"/>
        </w:trPr>
        <w:tc>
          <w:tcPr>
            <w:tcW w:w="11000" w:type="dxa"/>
            <w:vAlign w:val="bottom"/>
            <w:gridSpan w:val="2"/>
          </w:tcPr>
          <w:p>
            <w:pPr>
              <w:ind w:left="300"/>
              <w:spacing w:after="0"/>
              <w:rPr>
                <w:sz w:val="20"/>
                <w:szCs w:val="20"/>
                <w:color w:val="auto"/>
              </w:rPr>
            </w:pPr>
            <w:r>
              <w:rPr>
                <w:rFonts w:ascii="Arial" w:cs="Arial" w:eastAsia="Arial" w:hAnsi="Arial"/>
                <w:sz w:val="15"/>
                <w:szCs w:val="15"/>
                <w:color w:val="auto"/>
                <w:w w:val="92"/>
              </w:rPr>
              <w:t>Indicate by check mark whether the registrant (1) has filed all reports required to be filed by Section 13 or 15(d) of the Securities Exchange Act of 1934 during the preceding 12</w:t>
            </w:r>
          </w:p>
        </w:tc>
      </w:tr>
      <w:tr>
        <w:trPr>
          <w:trHeight w:val="239"/>
        </w:trPr>
        <w:tc>
          <w:tcPr>
            <w:tcW w:w="11000" w:type="dxa"/>
            <w:vAlign w:val="bottom"/>
            <w:gridSpan w:val="2"/>
          </w:tcPr>
          <w:p>
            <w:pPr>
              <w:spacing w:after="0" w:line="173" w:lineRule="exact"/>
              <w:rPr>
                <w:sz w:val="20"/>
                <w:szCs w:val="20"/>
                <w:color w:val="auto"/>
              </w:rPr>
            </w:pPr>
            <w:r>
              <w:rPr>
                <w:rFonts w:ascii="Arial" w:cs="Arial" w:eastAsia="Arial" w:hAnsi="Arial"/>
                <w:sz w:val="15"/>
                <w:szCs w:val="15"/>
                <w:color w:val="auto"/>
                <w:w w:val="94"/>
              </w:rPr>
              <w:t xml:space="preserve">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w w:val="94"/>
              </w:rPr>
              <w:t>☒</w:t>
            </w:r>
            <w:r>
              <w:rPr>
                <w:rFonts w:ascii="Arial" w:cs="Arial" w:eastAsia="Arial" w:hAnsi="Arial"/>
                <w:sz w:val="15"/>
                <w:szCs w:val="15"/>
                <w:color w:val="auto"/>
                <w:w w:val="94"/>
              </w:rPr>
              <w:t xml:space="preserve"> No </w:t>
            </w:r>
            <w:r>
              <w:rPr>
                <w:rFonts w:ascii="MS PGothic" w:cs="MS PGothic" w:eastAsia="MS PGothic" w:hAnsi="MS PGothic"/>
                <w:sz w:val="15"/>
                <w:szCs w:val="15"/>
                <w:color w:val="auto"/>
                <w:w w:val="94"/>
              </w:rPr>
              <w:t>☐</w:t>
            </w:r>
          </w:p>
        </w:tc>
      </w:tr>
    </w:tbl>
    <w:p>
      <w:pPr>
        <w:spacing w:after="0" w:line="18" w:lineRule="exact"/>
        <w:rPr>
          <w:sz w:val="24"/>
          <w:szCs w:val="24"/>
          <w:color w:val="auto"/>
        </w:rPr>
      </w:pPr>
    </w:p>
    <w:p>
      <w:pPr>
        <w:ind w:right="40" w:firstLine="303"/>
        <w:spacing w:after="0" w:line="188" w:lineRule="exact"/>
        <w:rPr>
          <w:sz w:val="20"/>
          <w:szCs w:val="20"/>
          <w:color w:val="auto"/>
        </w:rPr>
      </w:pPr>
      <w:r>
        <w:rPr>
          <w:rFonts w:ascii="Arial" w:cs="Arial" w:eastAsia="Arial" w:hAnsi="Arial"/>
          <w:sz w:val="15"/>
          <w:szCs w:val="15"/>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31" w:lineRule="exact"/>
        <w:rPr>
          <w:sz w:val="24"/>
          <w:szCs w:val="24"/>
          <w:color w:val="auto"/>
        </w:rPr>
      </w:pPr>
    </w:p>
    <w:p>
      <w:pPr>
        <w:ind w:left="300"/>
        <w:spacing w:after="0"/>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w:t>
      </w: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191"/>
        </w:trPr>
        <w:tc>
          <w:tcPr>
            <w:tcW w:w="8160" w:type="dxa"/>
            <w:vAlign w:val="bottom"/>
            <w:gridSpan w:val="2"/>
          </w:tcPr>
          <w:p>
            <w:pPr>
              <w:spacing w:after="0"/>
              <w:rPr>
                <w:sz w:val="20"/>
                <w:szCs w:val="20"/>
                <w:color w:val="auto"/>
              </w:rPr>
            </w:pPr>
            <w:r>
              <w:rPr>
                <w:rFonts w:ascii="Arial" w:cs="Arial" w:eastAsia="Arial" w:hAnsi="Arial"/>
                <w:sz w:val="15"/>
                <w:szCs w:val="15"/>
                <w:color w:val="auto"/>
              </w:rPr>
              <w:t>accelerated filer,” “accelerated filer” and “smaller reporting company” in Rule 12b-2 of the Exchange Act. (Check one):</w:t>
            </w:r>
          </w:p>
        </w:tc>
        <w:tc>
          <w:tcPr>
            <w:tcW w:w="21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359"/>
        </w:trPr>
        <w:tc>
          <w:tcPr>
            <w:tcW w:w="2140" w:type="dxa"/>
            <w:vAlign w:val="bottom"/>
          </w:tcPr>
          <w:p>
            <w:pPr>
              <w:ind w:left="20"/>
              <w:spacing w:after="0"/>
              <w:rPr>
                <w:sz w:val="20"/>
                <w:szCs w:val="20"/>
                <w:color w:val="auto"/>
              </w:rPr>
            </w:pPr>
            <w:r>
              <w:rPr>
                <w:rFonts w:ascii="Arial" w:cs="Arial" w:eastAsia="Arial" w:hAnsi="Arial"/>
                <w:sz w:val="15"/>
                <w:szCs w:val="15"/>
                <w:color w:val="auto"/>
              </w:rPr>
              <w:t>Large accelerated filer</w:t>
            </w:r>
          </w:p>
        </w:tc>
        <w:tc>
          <w:tcPr>
            <w:tcW w:w="6020" w:type="dxa"/>
            <w:vAlign w:val="bottom"/>
          </w:tcPr>
          <w:p>
            <w:pPr>
              <w:ind w:left="760"/>
              <w:spacing w:after="0" w:line="151" w:lineRule="exact"/>
              <w:rPr>
                <w:sz w:val="20"/>
                <w:szCs w:val="20"/>
                <w:color w:val="auto"/>
              </w:rPr>
            </w:pPr>
            <w:r>
              <w:rPr>
                <w:rFonts w:ascii="MS PGothic" w:cs="MS PGothic" w:eastAsia="MS PGothic" w:hAnsi="MS PGothic"/>
                <w:sz w:val="15"/>
                <w:szCs w:val="15"/>
                <w:color w:val="auto"/>
              </w:rPr>
              <w:t>☒</w:t>
            </w:r>
          </w:p>
        </w:tc>
        <w:tc>
          <w:tcPr>
            <w:tcW w:w="2180" w:type="dxa"/>
            <w:vAlign w:val="bottom"/>
          </w:tcPr>
          <w:p>
            <w:pPr>
              <w:ind w:left="40"/>
              <w:spacing w:after="0"/>
              <w:rPr>
                <w:sz w:val="20"/>
                <w:szCs w:val="20"/>
                <w:color w:val="auto"/>
              </w:rPr>
            </w:pPr>
            <w:r>
              <w:rPr>
                <w:rFonts w:ascii="Arial" w:cs="Arial" w:eastAsia="Arial" w:hAnsi="Arial"/>
                <w:sz w:val="15"/>
                <w:szCs w:val="15"/>
                <w:color w:val="auto"/>
              </w:rPr>
              <w:t>Accelerated filer</w:t>
            </w:r>
          </w:p>
        </w:tc>
        <w:tc>
          <w:tcPr>
            <w:tcW w:w="1080" w:type="dxa"/>
            <w:vAlign w:val="bottom"/>
          </w:tcPr>
          <w:p>
            <w:pPr>
              <w:ind w:left="500"/>
              <w:spacing w:after="0" w:line="151" w:lineRule="exact"/>
              <w:rPr>
                <w:sz w:val="20"/>
                <w:szCs w:val="20"/>
                <w:color w:val="auto"/>
              </w:rPr>
            </w:pPr>
            <w:r>
              <w:rPr>
                <w:rFonts w:ascii="MS PGothic" w:cs="MS PGothic" w:eastAsia="MS PGothic" w:hAnsi="MS PGothic"/>
                <w:sz w:val="15"/>
                <w:szCs w:val="15"/>
                <w:color w:val="auto"/>
              </w:rPr>
              <w:t>☐</w:t>
            </w:r>
          </w:p>
        </w:tc>
      </w:tr>
      <w:tr>
        <w:trPr>
          <w:trHeight w:val="379"/>
        </w:trPr>
        <w:tc>
          <w:tcPr>
            <w:tcW w:w="2140" w:type="dxa"/>
            <w:vAlign w:val="bottom"/>
          </w:tcPr>
          <w:p>
            <w:pPr>
              <w:ind w:left="20"/>
              <w:spacing w:after="0"/>
              <w:rPr>
                <w:sz w:val="20"/>
                <w:szCs w:val="20"/>
                <w:color w:val="auto"/>
              </w:rPr>
            </w:pPr>
            <w:r>
              <w:rPr>
                <w:rFonts w:ascii="Arial" w:cs="Arial" w:eastAsia="Arial" w:hAnsi="Arial"/>
                <w:sz w:val="15"/>
                <w:szCs w:val="15"/>
                <w:color w:val="auto"/>
              </w:rPr>
              <w:t>Non-accelerated filer</w:t>
            </w:r>
          </w:p>
        </w:tc>
        <w:tc>
          <w:tcPr>
            <w:tcW w:w="6020" w:type="dxa"/>
            <w:vAlign w:val="bottom"/>
          </w:tcPr>
          <w:p>
            <w:pPr>
              <w:ind w:left="760"/>
              <w:spacing w:after="0" w:line="196" w:lineRule="exact"/>
              <w:rPr>
                <w:sz w:val="20"/>
                <w:szCs w:val="20"/>
                <w:color w:val="auto"/>
              </w:rPr>
            </w:pPr>
            <w:r>
              <w:rPr>
                <w:rFonts w:ascii="MS PGothic" w:cs="MS PGothic" w:eastAsia="MS PGothic" w:hAnsi="MS PGothic"/>
                <w:sz w:val="15"/>
                <w:szCs w:val="15"/>
                <w:color w:val="auto"/>
              </w:rPr>
              <w:t>☐</w:t>
            </w:r>
            <w:r>
              <w:rPr>
                <w:rFonts w:ascii="Arial" w:cs="Arial" w:eastAsia="Arial" w:hAnsi="Arial"/>
                <w:sz w:val="17"/>
                <w:szCs w:val="17"/>
                <w:color w:val="auto"/>
              </w:rPr>
              <w:t xml:space="preserve"> (Do not check if a smaller reporting company)</w:t>
            </w:r>
          </w:p>
        </w:tc>
        <w:tc>
          <w:tcPr>
            <w:tcW w:w="2180" w:type="dxa"/>
            <w:vAlign w:val="bottom"/>
          </w:tcPr>
          <w:p>
            <w:pPr>
              <w:ind w:left="40"/>
              <w:spacing w:after="0"/>
              <w:rPr>
                <w:sz w:val="20"/>
                <w:szCs w:val="20"/>
                <w:color w:val="auto"/>
              </w:rPr>
            </w:pPr>
            <w:r>
              <w:rPr>
                <w:rFonts w:ascii="Arial" w:cs="Arial" w:eastAsia="Arial" w:hAnsi="Arial"/>
                <w:sz w:val="15"/>
                <w:szCs w:val="15"/>
                <w:color w:val="auto"/>
              </w:rPr>
              <w:t>Smaller reporting company</w:t>
            </w:r>
          </w:p>
        </w:tc>
        <w:tc>
          <w:tcPr>
            <w:tcW w:w="1080" w:type="dxa"/>
            <w:vAlign w:val="bottom"/>
          </w:tcPr>
          <w:p>
            <w:pPr>
              <w:ind w:left="500"/>
              <w:spacing w:after="0" w:line="151" w:lineRule="exact"/>
              <w:rPr>
                <w:sz w:val="20"/>
                <w:szCs w:val="20"/>
                <w:color w:val="auto"/>
              </w:rPr>
            </w:pPr>
            <w:r>
              <w:rPr>
                <w:rFonts w:ascii="MS PGothic" w:cs="MS PGothic" w:eastAsia="MS PGothic" w:hAnsi="MS PGothic"/>
                <w:sz w:val="15"/>
                <w:szCs w:val="15"/>
                <w:color w:val="auto"/>
              </w:rPr>
              <w:t>☐</w:t>
            </w:r>
          </w:p>
        </w:tc>
      </w:tr>
      <w:tr>
        <w:trPr>
          <w:trHeight w:val="233"/>
        </w:trPr>
        <w:tc>
          <w:tcPr>
            <w:tcW w:w="8160" w:type="dxa"/>
            <w:vAlign w:val="bottom"/>
            <w:gridSpan w:val="2"/>
          </w:tcPr>
          <w:p>
            <w:pPr>
              <w:ind w:left="300"/>
              <w:spacing w:after="0" w:line="173" w:lineRule="exact"/>
              <w:rPr>
                <w:sz w:val="20"/>
                <w:szCs w:val="20"/>
                <w:color w:val="auto"/>
              </w:rPr>
            </w:pPr>
            <w:r>
              <w:rPr>
                <w:rFonts w:ascii="Arial" w:cs="Arial" w:eastAsia="Arial" w:hAnsi="Arial"/>
                <w:sz w:val="15"/>
                <w:szCs w:val="15"/>
                <w:color w:val="auto"/>
                <w:w w:val="94"/>
              </w:rPr>
              <w:t xml:space="preserve">Indicate by check mark whether the registrant is a shell company (as defined in Rule 12b-2 of the Exchange Act).  Yes </w:t>
            </w:r>
            <w:r>
              <w:rPr>
                <w:rFonts w:ascii="MS PGothic" w:cs="MS PGothic" w:eastAsia="MS PGothic" w:hAnsi="MS PGothic"/>
                <w:sz w:val="15"/>
                <w:szCs w:val="15"/>
                <w:color w:val="auto"/>
                <w:w w:val="94"/>
              </w:rPr>
              <w:t>☐</w:t>
            </w:r>
            <w:r>
              <w:rPr>
                <w:rFonts w:ascii="Arial" w:cs="Arial" w:eastAsia="Arial" w:hAnsi="Arial"/>
                <w:sz w:val="15"/>
                <w:szCs w:val="15"/>
                <w:color w:val="auto"/>
                <w:w w:val="94"/>
              </w:rPr>
              <w:t xml:space="preserve"> No</w:t>
            </w:r>
          </w:p>
        </w:tc>
        <w:tc>
          <w:tcPr>
            <w:tcW w:w="2180" w:type="dxa"/>
            <w:vAlign w:val="bottom"/>
          </w:tcPr>
          <w:p>
            <w:pPr>
              <w:ind w:left="20"/>
              <w:spacing w:after="0" w:line="151" w:lineRule="exact"/>
              <w:rPr>
                <w:sz w:val="20"/>
                <w:szCs w:val="20"/>
                <w:color w:val="auto"/>
              </w:rPr>
            </w:pPr>
            <w:r>
              <w:rPr>
                <w:rFonts w:ascii="MS PGothic" w:cs="MS PGothic" w:eastAsia="MS PGothic" w:hAnsi="MS PGothic"/>
                <w:sz w:val="15"/>
                <w:szCs w:val="15"/>
                <w:color w:val="auto"/>
              </w:rPr>
              <w:t>☒</w:t>
            </w:r>
          </w:p>
        </w:tc>
        <w:tc>
          <w:tcPr>
            <w:tcW w:w="1080" w:type="dxa"/>
            <w:vAlign w:val="bottom"/>
          </w:tcPr>
          <w:p>
            <w:pPr>
              <w:spacing w:after="0"/>
              <w:rPr>
                <w:sz w:val="20"/>
                <w:szCs w:val="20"/>
                <w:color w:val="auto"/>
              </w:rPr>
            </w:pPr>
          </w:p>
        </w:tc>
      </w:tr>
      <w:tr>
        <w:trPr>
          <w:trHeight w:val="191"/>
        </w:trPr>
        <w:tc>
          <w:tcPr>
            <w:tcW w:w="8160" w:type="dxa"/>
            <w:vAlign w:val="bottom"/>
            <w:gridSpan w:val="2"/>
          </w:tcPr>
          <w:p>
            <w:pPr>
              <w:ind w:left="300"/>
              <w:spacing w:after="0"/>
              <w:rPr>
                <w:sz w:val="20"/>
                <w:szCs w:val="20"/>
                <w:color w:val="auto"/>
              </w:rPr>
            </w:pPr>
            <w:r>
              <w:rPr>
                <w:rFonts w:ascii="Arial" w:cs="Arial" w:eastAsia="Arial" w:hAnsi="Arial"/>
                <w:sz w:val="15"/>
                <w:szCs w:val="15"/>
                <w:color w:val="auto"/>
                <w:w w:val="91"/>
              </w:rPr>
              <w:t>As of October 25, 2016, there were 33,507,211 shares of the registrant’s common stock outstanding, par value $0.001 per share.</w:t>
            </w:r>
          </w:p>
        </w:tc>
        <w:tc>
          <w:tcPr>
            <w:tcW w:w="21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97"/>
        </w:trPr>
        <w:tc>
          <w:tcPr>
            <w:tcW w:w="2140" w:type="dxa"/>
            <w:vAlign w:val="bottom"/>
            <w:tcBorders>
              <w:bottom w:val="single" w:sz="8" w:color="auto"/>
            </w:tcBorders>
          </w:tcPr>
          <w:p>
            <w:pPr>
              <w:spacing w:after="0"/>
              <w:rPr>
                <w:sz w:val="24"/>
                <w:szCs w:val="24"/>
                <w:color w:val="auto"/>
              </w:rPr>
            </w:pPr>
          </w:p>
        </w:tc>
        <w:tc>
          <w:tcPr>
            <w:tcW w:w="60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r>
      <w:tr>
        <w:trPr>
          <w:trHeight w:val="106"/>
        </w:trPr>
        <w:tc>
          <w:tcPr>
            <w:tcW w:w="2140" w:type="dxa"/>
            <w:vAlign w:val="bottom"/>
            <w:tcBorders>
              <w:bottom w:val="single" w:sz="8" w:color="auto"/>
            </w:tcBorders>
          </w:tcPr>
          <w:p>
            <w:pPr>
              <w:spacing w:after="0"/>
              <w:rPr>
                <w:sz w:val="9"/>
                <w:szCs w:val="9"/>
                <w:color w:val="auto"/>
              </w:rPr>
            </w:pPr>
          </w:p>
        </w:tc>
        <w:tc>
          <w:tcPr>
            <w:tcW w:w="6020" w:type="dxa"/>
            <w:vAlign w:val="bottom"/>
            <w:tcBorders>
              <w:bottom w:val="single" w:sz="8" w:color="auto"/>
            </w:tcBorders>
          </w:tcPr>
          <w:p>
            <w:pPr>
              <w:spacing w:after="0"/>
              <w:rPr>
                <w:sz w:val="9"/>
                <w:szCs w:val="9"/>
                <w:color w:val="auto"/>
              </w:rPr>
            </w:pPr>
          </w:p>
        </w:tc>
        <w:tc>
          <w:tcPr>
            <w:tcW w:w="218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r>
    </w:tbl>
    <w:p>
      <w:pPr>
        <w:sectPr>
          <w:pgSz w:w="11900" w:h="16838" w:orient="portrait"/>
          <w:cols w:equalWidth="0" w:num="1">
            <w:col w:w="11420"/>
          </w:cols>
          <w:pgMar w:left="240" w:top="426" w:right="239" w:bottom="1440" w:gutter="0" w:footer="0" w:header="0"/>
        </w:sectPr>
      </w:pPr>
    </w:p>
    <w:bookmarkStart w:id="1" w:name="page2"/>
    <w:bookmarkEnd w:id="1"/>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TABLE OF CONTENTS</w:t>
      </w:r>
    </w:p>
    <w:p>
      <w:pPr>
        <w:spacing w:after="0" w:line="200" w:lineRule="exact"/>
        <w:rPr>
          <w:sz w:val="20"/>
          <w:szCs w:val="20"/>
          <w:color w:val="auto"/>
        </w:rPr>
      </w:pPr>
    </w:p>
    <w:p>
      <w:pPr>
        <w:spacing w:after="0" w:line="321" w:lineRule="exact"/>
        <w:rPr>
          <w:sz w:val="20"/>
          <w:szCs w:val="20"/>
          <w:color w:val="auto"/>
        </w:rPr>
      </w:pPr>
    </w:p>
    <w:tbl>
      <w:tblPr>
        <w:tblLayout w:type="fixed"/>
        <w:tblInd w:w="40" w:type="dxa"/>
        <w:tblCellMar>
          <w:top w:w="0" w:type="dxa"/>
          <w:left w:w="0" w:type="dxa"/>
          <w:bottom w:w="0" w:type="dxa"/>
          <w:right w:w="0" w:type="dxa"/>
        </w:tblCellMar>
      </w:tblPr>
      <w:tr>
        <w:trPr>
          <w:trHeight w:val="177"/>
        </w:trPr>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rPr>
              <w:t>PAGE</w:t>
            </w:r>
          </w:p>
        </w:tc>
      </w:tr>
      <w:tr>
        <w:trPr>
          <w:trHeight w:val="214"/>
        </w:trPr>
        <w:tc>
          <w:tcPr>
            <w:tcW w:w="1500" w:type="dxa"/>
            <w:vAlign w:val="bottom"/>
            <w:gridSpan w:val="2"/>
          </w:tcPr>
          <w:p>
            <w:pPr>
              <w:spacing w:after="0"/>
              <w:rPr>
                <w:sz w:val="20"/>
                <w:szCs w:val="20"/>
                <w:color w:val="auto"/>
              </w:rPr>
            </w:pPr>
            <w:r>
              <w:rPr>
                <w:rFonts w:ascii="Arial" w:cs="Arial" w:eastAsia="Arial" w:hAnsi="Arial"/>
                <w:sz w:val="17"/>
                <w:szCs w:val="17"/>
                <w:color w:val="auto"/>
              </w:rPr>
              <w:t>ITEM</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28"/>
        </w:trPr>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0" w:type="dxa"/>
            <w:vAlign w:val="bottom"/>
            <w:gridSpan w:val="21"/>
          </w:tcPr>
          <w:p>
            <w:pPr>
              <w:spacing w:after="0"/>
              <w:rPr>
                <w:rFonts w:ascii="Arial" w:cs="Arial" w:eastAsia="Arial" w:hAnsi="Arial"/>
                <w:sz w:val="17"/>
                <w:szCs w:val="17"/>
                <w:color w:val="0000EE"/>
              </w:rPr>
            </w:pPr>
            <w:hyperlink w:anchor="page3">
              <w:r>
                <w:rPr>
                  <w:rFonts w:ascii="Arial" w:cs="Arial" w:eastAsia="Arial" w:hAnsi="Arial"/>
                  <w:sz w:val="17"/>
                  <w:szCs w:val="17"/>
                  <w:color w:val="0000EE"/>
                </w:rPr>
                <w:t>Part 1. Financial Information</w:t>
              </w:r>
            </w:hyperlink>
          </w:p>
        </w:tc>
        <w:tc>
          <w:tcPr>
            <w:tcW w:w="680" w:type="dxa"/>
            <w:vAlign w:val="bottom"/>
          </w:tcPr>
          <w:p>
            <w:pPr>
              <w:ind w:left="20"/>
              <w:spacing w:after="0"/>
              <w:rPr>
                <w:rFonts w:ascii="Arial" w:cs="Arial" w:eastAsia="Arial" w:hAnsi="Arial"/>
                <w:sz w:val="17"/>
                <w:szCs w:val="17"/>
                <w:color w:val="auto"/>
              </w:rPr>
            </w:pPr>
            <w:hyperlink w:anchor="page3">
              <w:r>
                <w:rPr>
                  <w:rFonts w:ascii="Arial" w:cs="Arial" w:eastAsia="Arial" w:hAnsi="Arial"/>
                  <w:sz w:val="17"/>
                  <w:szCs w:val="17"/>
                  <w:color w:val="auto"/>
                </w:rPr>
                <w:t>3</w:t>
              </w:r>
            </w:hyperlink>
          </w:p>
        </w:tc>
      </w:tr>
      <w:tr>
        <w:trPr>
          <w:trHeight w:val="347"/>
        </w:trPr>
        <w:tc>
          <w:tcPr>
            <w:tcW w:w="720" w:type="dxa"/>
            <w:vAlign w:val="bottom"/>
          </w:tcPr>
          <w:p>
            <w:pPr>
              <w:spacing w:after="0"/>
              <w:rPr>
                <w:sz w:val="20"/>
                <w:szCs w:val="20"/>
                <w:color w:val="auto"/>
              </w:rPr>
            </w:pPr>
            <w:r>
              <w:rPr>
                <w:rFonts w:ascii="Arial" w:cs="Arial" w:eastAsia="Arial" w:hAnsi="Arial"/>
                <w:sz w:val="17"/>
                <w:szCs w:val="17"/>
                <w:color w:val="auto"/>
              </w:rPr>
              <w:t>1.</w:t>
            </w:r>
          </w:p>
        </w:tc>
        <w:tc>
          <w:tcPr>
            <w:tcW w:w="780" w:type="dxa"/>
            <w:vAlign w:val="bottom"/>
          </w:tcPr>
          <w:p>
            <w:pPr>
              <w:spacing w:after="0"/>
              <w:rPr>
                <w:sz w:val="24"/>
                <w:szCs w:val="24"/>
                <w:color w:val="auto"/>
              </w:rPr>
            </w:pPr>
          </w:p>
        </w:tc>
        <w:tc>
          <w:tcPr>
            <w:tcW w:w="1400" w:type="dxa"/>
            <w:vAlign w:val="bottom"/>
            <w:tcBorders>
              <w:top w:val="single" w:sz="8" w:color="0000EE"/>
              <w:bottom w:val="single" w:sz="8" w:color="0000EE"/>
            </w:tcBorders>
            <w:gridSpan w:val="7"/>
          </w:tcPr>
          <w:p>
            <w:pPr>
              <w:spacing w:after="0"/>
              <w:rPr>
                <w:rFonts w:ascii="Arial" w:cs="Arial" w:eastAsia="Arial" w:hAnsi="Arial"/>
                <w:sz w:val="17"/>
                <w:szCs w:val="17"/>
                <w:color w:val="0000EE"/>
                <w:w w:val="86"/>
              </w:rPr>
            </w:pPr>
            <w:hyperlink w:anchor="page3">
              <w:r>
                <w:rPr>
                  <w:rFonts w:ascii="Arial" w:cs="Arial" w:eastAsia="Arial" w:hAnsi="Arial"/>
                  <w:sz w:val="17"/>
                  <w:szCs w:val="17"/>
                  <w:color w:val="0000EE"/>
                  <w:w w:val="86"/>
                </w:rPr>
                <w:t>Financial Statements</w:t>
              </w:r>
            </w:hyperlink>
          </w:p>
        </w:tc>
        <w:tc>
          <w:tcPr>
            <w:tcW w:w="540" w:type="dxa"/>
            <w:vAlign w:val="bottom"/>
            <w:tcBorders>
              <w:top w:val="single" w:sz="8" w:color="0000EE"/>
            </w:tcBorders>
            <w:gridSpan w:val="4"/>
          </w:tcPr>
          <w:p>
            <w:pPr>
              <w:spacing w:after="0"/>
              <w:rPr>
                <w:sz w:val="24"/>
                <w:szCs w:val="24"/>
                <w:color w:val="auto"/>
              </w:rPr>
            </w:pPr>
          </w:p>
        </w:tc>
        <w:tc>
          <w:tcPr>
            <w:tcW w:w="7260" w:type="dxa"/>
            <w:vAlign w:val="bottom"/>
            <w:gridSpan w:val="10"/>
          </w:tcPr>
          <w:p>
            <w:pPr>
              <w:spacing w:after="0"/>
              <w:rPr>
                <w:sz w:val="24"/>
                <w:szCs w:val="24"/>
                <w:color w:val="auto"/>
              </w:rPr>
            </w:pPr>
          </w:p>
        </w:tc>
        <w:tc>
          <w:tcPr>
            <w:tcW w:w="680" w:type="dxa"/>
            <w:vAlign w:val="bottom"/>
          </w:tcPr>
          <w:p>
            <w:pPr>
              <w:spacing w:after="0"/>
              <w:rPr>
                <w:sz w:val="24"/>
                <w:szCs w:val="24"/>
                <w:color w:val="auto"/>
              </w:rPr>
            </w:pPr>
          </w:p>
        </w:tc>
      </w:tr>
      <w:tr>
        <w:trPr>
          <w:trHeight w:val="233"/>
        </w:trPr>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20" w:type="dxa"/>
            <w:vAlign w:val="bottom"/>
            <w:tcBorders>
              <w:bottom w:val="single" w:sz="8" w:color="0000EE"/>
            </w:tcBorders>
            <w:gridSpan w:val="16"/>
          </w:tcPr>
          <w:p>
            <w:pPr>
              <w:spacing w:after="0"/>
              <w:rPr>
                <w:rFonts w:ascii="Arial" w:cs="Arial" w:eastAsia="Arial" w:hAnsi="Arial"/>
                <w:sz w:val="17"/>
                <w:szCs w:val="17"/>
                <w:color w:val="0000EE"/>
                <w:w w:val="88"/>
              </w:rPr>
            </w:pPr>
            <w:hyperlink w:anchor="page3">
              <w:r>
                <w:rPr>
                  <w:rFonts w:ascii="Arial" w:cs="Arial" w:eastAsia="Arial" w:hAnsi="Arial"/>
                  <w:sz w:val="17"/>
                  <w:szCs w:val="17"/>
                  <w:color w:val="0000EE"/>
                  <w:w w:val="88"/>
                </w:rPr>
                <w:t>Consolidated Balance Sheets as of September 30, 2016 (Unaudited) and December 31, 2015</w:t>
              </w:r>
            </w:hyperlink>
          </w:p>
        </w:tc>
        <w:tc>
          <w:tcPr>
            <w:tcW w:w="2760" w:type="dxa"/>
            <w:vAlign w:val="bottom"/>
            <w:gridSpan w:val="4"/>
          </w:tcPr>
          <w:p>
            <w:pPr>
              <w:spacing w:after="0"/>
              <w:rPr>
                <w:sz w:val="20"/>
                <w:szCs w:val="20"/>
                <w:color w:val="auto"/>
              </w:rPr>
            </w:pPr>
          </w:p>
        </w:tc>
        <w:tc>
          <w:tcPr>
            <w:tcW w:w="680" w:type="dxa"/>
            <w:vAlign w:val="bottom"/>
          </w:tcPr>
          <w:p>
            <w:pPr>
              <w:ind w:left="20"/>
              <w:spacing w:after="0"/>
              <w:rPr>
                <w:rFonts w:ascii="Arial" w:cs="Arial" w:eastAsia="Arial" w:hAnsi="Arial"/>
                <w:sz w:val="17"/>
                <w:szCs w:val="17"/>
                <w:color w:val="auto"/>
              </w:rPr>
            </w:pPr>
            <w:hyperlink w:anchor="page3">
              <w:r>
                <w:rPr>
                  <w:rFonts w:ascii="Arial" w:cs="Arial" w:eastAsia="Arial" w:hAnsi="Arial"/>
                  <w:sz w:val="17"/>
                  <w:szCs w:val="17"/>
                  <w:color w:val="auto"/>
                </w:rPr>
                <w:t>3</w:t>
              </w:r>
            </w:hyperlink>
          </w:p>
        </w:tc>
      </w:tr>
      <w:tr>
        <w:trPr>
          <w:trHeight w:val="233"/>
        </w:trPr>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80" w:type="dxa"/>
            <w:vAlign w:val="bottom"/>
            <w:tcBorders>
              <w:bottom w:val="single" w:sz="8" w:color="0000EE"/>
            </w:tcBorders>
            <w:gridSpan w:val="18"/>
          </w:tcPr>
          <w:p>
            <w:pPr>
              <w:spacing w:after="0"/>
              <w:rPr>
                <w:rFonts w:ascii="Arial" w:cs="Arial" w:eastAsia="Arial" w:hAnsi="Arial"/>
                <w:sz w:val="17"/>
                <w:szCs w:val="17"/>
                <w:color w:val="0000EE"/>
                <w:w w:val="89"/>
              </w:rPr>
            </w:pPr>
            <w:hyperlink w:anchor="page4">
              <w:r>
                <w:rPr>
                  <w:rFonts w:ascii="Arial" w:cs="Arial" w:eastAsia="Arial" w:hAnsi="Arial"/>
                  <w:sz w:val="17"/>
                  <w:szCs w:val="17"/>
                  <w:color w:val="0000EE"/>
                  <w:w w:val="89"/>
                </w:rPr>
                <w:t>Consolidated Statements of Income (Unaudited) for the Three Months and Nine Months Ended September 30, 2016 and 2015</w:t>
              </w:r>
            </w:hyperlink>
          </w:p>
        </w:tc>
        <w:tc>
          <w:tcPr>
            <w:tcW w:w="500" w:type="dxa"/>
            <w:vAlign w:val="bottom"/>
            <w:gridSpan w:val="2"/>
          </w:tcPr>
          <w:p>
            <w:pPr>
              <w:spacing w:after="0"/>
              <w:rPr>
                <w:sz w:val="20"/>
                <w:szCs w:val="20"/>
                <w:color w:val="auto"/>
              </w:rPr>
            </w:pPr>
          </w:p>
        </w:tc>
        <w:tc>
          <w:tcPr>
            <w:tcW w:w="680" w:type="dxa"/>
            <w:vAlign w:val="bottom"/>
          </w:tcPr>
          <w:p>
            <w:pPr>
              <w:ind w:left="20"/>
              <w:spacing w:after="0"/>
              <w:rPr>
                <w:rFonts w:ascii="Arial" w:cs="Arial" w:eastAsia="Arial" w:hAnsi="Arial"/>
                <w:sz w:val="17"/>
                <w:szCs w:val="17"/>
                <w:color w:val="auto"/>
              </w:rPr>
            </w:pPr>
            <w:hyperlink w:anchor="page4">
              <w:r>
                <w:rPr>
                  <w:rFonts w:ascii="Arial" w:cs="Arial" w:eastAsia="Arial" w:hAnsi="Arial"/>
                  <w:sz w:val="17"/>
                  <w:szCs w:val="17"/>
                  <w:color w:val="auto"/>
                </w:rPr>
                <w:t>4</w:t>
              </w:r>
            </w:hyperlink>
          </w:p>
        </w:tc>
      </w:tr>
      <w:tr>
        <w:trPr>
          <w:trHeight w:val="233"/>
        </w:trPr>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920" w:type="dxa"/>
            <w:vAlign w:val="bottom"/>
            <w:tcBorders>
              <w:bottom w:val="single" w:sz="8" w:color="0000EE"/>
            </w:tcBorders>
            <w:gridSpan w:val="19"/>
          </w:tcPr>
          <w:p>
            <w:pPr>
              <w:spacing w:after="0"/>
              <w:rPr>
                <w:rFonts w:ascii="Arial" w:cs="Arial" w:eastAsia="Arial" w:hAnsi="Arial"/>
                <w:sz w:val="17"/>
                <w:szCs w:val="17"/>
                <w:color w:val="0000EE"/>
                <w:w w:val="89"/>
              </w:rPr>
            </w:pPr>
            <w:hyperlink w:anchor="page5">
              <w:r>
                <w:rPr>
                  <w:rFonts w:ascii="Arial" w:cs="Arial" w:eastAsia="Arial" w:hAnsi="Arial"/>
                  <w:sz w:val="17"/>
                  <w:szCs w:val="17"/>
                  <w:color w:val="0000EE"/>
                  <w:w w:val="89"/>
                </w:rPr>
                <w:t>Consolidated Statements of Comprehensive Income (Unaudited) for the Three Months and Nine Months Ended September 30, 2016</w:t>
              </w:r>
            </w:hyperlink>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182"/>
        </w:trPr>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Borders>
              <w:bottom w:val="single" w:sz="8" w:color="0000EE"/>
            </w:tcBorders>
            <w:gridSpan w:val="3"/>
          </w:tcPr>
          <w:p>
            <w:pPr>
              <w:spacing w:after="0" w:line="182" w:lineRule="exact"/>
              <w:rPr>
                <w:rFonts w:ascii="Arial" w:cs="Arial" w:eastAsia="Arial" w:hAnsi="Arial"/>
                <w:sz w:val="17"/>
                <w:szCs w:val="17"/>
                <w:color w:val="0000EE"/>
                <w:w w:val="87"/>
              </w:rPr>
            </w:pPr>
            <w:hyperlink w:anchor="page5">
              <w:r>
                <w:rPr>
                  <w:rFonts w:ascii="Arial" w:cs="Arial" w:eastAsia="Arial" w:hAnsi="Arial"/>
                  <w:sz w:val="17"/>
                  <w:szCs w:val="17"/>
                  <w:color w:val="0000EE"/>
                  <w:w w:val="87"/>
                </w:rPr>
                <w:t>and 2015</w:t>
              </w:r>
            </w:hyperlink>
          </w:p>
        </w:tc>
        <w:tc>
          <w:tcPr>
            <w:tcW w:w="8340" w:type="dxa"/>
            <w:vAlign w:val="bottom"/>
            <w:gridSpan w:val="17"/>
          </w:tcPr>
          <w:p>
            <w:pPr>
              <w:spacing w:after="0"/>
              <w:rPr>
                <w:sz w:val="15"/>
                <w:szCs w:val="15"/>
                <w:color w:val="auto"/>
              </w:rPr>
            </w:pPr>
          </w:p>
        </w:tc>
        <w:tc>
          <w:tcPr>
            <w:tcW w:w="680" w:type="dxa"/>
            <w:vAlign w:val="bottom"/>
          </w:tcPr>
          <w:p>
            <w:pPr>
              <w:ind w:left="20"/>
              <w:spacing w:after="0" w:line="182" w:lineRule="exact"/>
              <w:rPr>
                <w:rFonts w:ascii="Arial" w:cs="Arial" w:eastAsia="Arial" w:hAnsi="Arial"/>
                <w:sz w:val="17"/>
                <w:szCs w:val="17"/>
                <w:color w:val="auto"/>
              </w:rPr>
            </w:pPr>
            <w:hyperlink w:anchor="page5">
              <w:r>
                <w:rPr>
                  <w:rFonts w:ascii="Arial" w:cs="Arial" w:eastAsia="Arial" w:hAnsi="Arial"/>
                  <w:sz w:val="17"/>
                  <w:szCs w:val="17"/>
                  <w:color w:val="auto"/>
                </w:rPr>
                <w:t>5</w:t>
              </w:r>
            </w:hyperlink>
          </w:p>
        </w:tc>
      </w:tr>
      <w:tr>
        <w:trPr>
          <w:trHeight w:val="233"/>
        </w:trPr>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980" w:type="dxa"/>
            <w:vAlign w:val="bottom"/>
            <w:gridSpan w:val="20"/>
          </w:tcPr>
          <w:p>
            <w:pPr>
              <w:spacing w:after="0"/>
              <w:rPr>
                <w:rFonts w:ascii="Arial" w:cs="Arial" w:eastAsia="Arial" w:hAnsi="Arial"/>
                <w:sz w:val="17"/>
                <w:szCs w:val="17"/>
                <w:color w:val="0000EE"/>
              </w:rPr>
            </w:pPr>
            <w:hyperlink w:anchor="page6">
              <w:r>
                <w:rPr>
                  <w:rFonts w:ascii="Arial" w:cs="Arial" w:eastAsia="Arial" w:hAnsi="Arial"/>
                  <w:sz w:val="17"/>
                  <w:szCs w:val="17"/>
                  <w:color w:val="0000EE"/>
                </w:rPr>
                <w:t>Consolidated Statements of Cash Flows (Unaudited) for the Nine Months Ended September 30, 2016 and 2015</w:t>
              </w:r>
            </w:hyperlink>
          </w:p>
        </w:tc>
        <w:tc>
          <w:tcPr>
            <w:tcW w:w="680" w:type="dxa"/>
            <w:vAlign w:val="bottom"/>
          </w:tcPr>
          <w:p>
            <w:pPr>
              <w:ind w:left="20"/>
              <w:spacing w:after="0"/>
              <w:rPr>
                <w:rFonts w:ascii="Arial" w:cs="Arial" w:eastAsia="Arial" w:hAnsi="Arial"/>
                <w:sz w:val="17"/>
                <w:szCs w:val="17"/>
                <w:color w:val="auto"/>
              </w:rPr>
            </w:pPr>
            <w:hyperlink w:anchor="page6">
              <w:r>
                <w:rPr>
                  <w:rFonts w:ascii="Arial" w:cs="Arial" w:eastAsia="Arial" w:hAnsi="Arial"/>
                  <w:sz w:val="17"/>
                  <w:szCs w:val="17"/>
                  <w:color w:val="auto"/>
                </w:rPr>
                <w:t>6</w:t>
              </w:r>
            </w:hyperlink>
          </w:p>
        </w:tc>
      </w:tr>
      <w:tr>
        <w:trPr>
          <w:trHeight w:val="233"/>
        </w:trPr>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80" w:type="dxa"/>
            <w:vAlign w:val="bottom"/>
            <w:tcBorders>
              <w:top w:val="single" w:sz="8" w:color="0000EE"/>
            </w:tcBorders>
            <w:gridSpan w:val="17"/>
          </w:tcPr>
          <w:p>
            <w:pPr>
              <w:spacing w:after="0"/>
              <w:rPr>
                <w:rFonts w:ascii="Arial" w:cs="Arial" w:eastAsia="Arial" w:hAnsi="Arial"/>
                <w:sz w:val="17"/>
                <w:szCs w:val="17"/>
                <w:color w:val="0000EE"/>
              </w:rPr>
            </w:pPr>
            <w:hyperlink w:anchor="page7">
              <w:r>
                <w:rPr>
                  <w:rFonts w:ascii="Arial" w:cs="Arial" w:eastAsia="Arial" w:hAnsi="Arial"/>
                  <w:sz w:val="17"/>
                  <w:szCs w:val="17"/>
                  <w:color w:val="0000EE"/>
                </w:rPr>
                <w:t>Notes to Unaudited Consolidated Financial Statements</w:t>
              </w:r>
            </w:hyperlink>
          </w:p>
        </w:tc>
        <w:tc>
          <w:tcPr>
            <w:tcW w:w="1500" w:type="dxa"/>
            <w:vAlign w:val="bottom"/>
            <w:gridSpan w:val="3"/>
          </w:tcPr>
          <w:p>
            <w:pPr>
              <w:spacing w:after="0"/>
              <w:rPr>
                <w:sz w:val="20"/>
                <w:szCs w:val="20"/>
                <w:color w:val="auto"/>
              </w:rPr>
            </w:pPr>
          </w:p>
        </w:tc>
        <w:tc>
          <w:tcPr>
            <w:tcW w:w="680" w:type="dxa"/>
            <w:vAlign w:val="bottom"/>
          </w:tcPr>
          <w:p>
            <w:pPr>
              <w:ind w:left="20"/>
              <w:spacing w:after="0"/>
              <w:rPr>
                <w:rFonts w:ascii="Arial" w:cs="Arial" w:eastAsia="Arial" w:hAnsi="Arial"/>
                <w:sz w:val="17"/>
                <w:szCs w:val="17"/>
                <w:color w:val="auto"/>
              </w:rPr>
            </w:pPr>
            <w:hyperlink w:anchor="page7">
              <w:r>
                <w:rPr>
                  <w:rFonts w:ascii="Arial" w:cs="Arial" w:eastAsia="Arial" w:hAnsi="Arial"/>
                  <w:sz w:val="17"/>
                  <w:szCs w:val="17"/>
                  <w:color w:val="auto"/>
                </w:rPr>
                <w:t>7</w:t>
              </w:r>
            </w:hyperlink>
          </w:p>
        </w:tc>
      </w:tr>
      <w:tr>
        <w:trPr>
          <w:trHeight w:val="20"/>
        </w:trPr>
        <w:tc>
          <w:tcPr>
            <w:tcW w:w="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160" w:type="dxa"/>
            <w:vAlign w:val="bottom"/>
            <w:gridSpan w:val="5"/>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347"/>
        </w:trPr>
        <w:tc>
          <w:tcPr>
            <w:tcW w:w="720" w:type="dxa"/>
            <w:vAlign w:val="bottom"/>
          </w:tcPr>
          <w:p>
            <w:pPr>
              <w:spacing w:after="0"/>
              <w:rPr>
                <w:sz w:val="20"/>
                <w:szCs w:val="20"/>
                <w:color w:val="auto"/>
              </w:rPr>
            </w:pPr>
            <w:r>
              <w:rPr>
                <w:rFonts w:ascii="Arial" w:cs="Arial" w:eastAsia="Arial" w:hAnsi="Arial"/>
                <w:sz w:val="17"/>
                <w:szCs w:val="17"/>
                <w:color w:val="auto"/>
              </w:rPr>
              <w:t>2.</w:t>
            </w:r>
          </w:p>
        </w:tc>
        <w:tc>
          <w:tcPr>
            <w:tcW w:w="780" w:type="dxa"/>
            <w:vAlign w:val="bottom"/>
          </w:tcPr>
          <w:p>
            <w:pPr>
              <w:spacing w:after="0"/>
              <w:rPr>
                <w:sz w:val="24"/>
                <w:szCs w:val="24"/>
                <w:color w:val="auto"/>
              </w:rPr>
            </w:pPr>
          </w:p>
        </w:tc>
        <w:tc>
          <w:tcPr>
            <w:tcW w:w="6040" w:type="dxa"/>
            <w:vAlign w:val="bottom"/>
            <w:tcBorders>
              <w:bottom w:val="single" w:sz="8" w:color="0000EE"/>
            </w:tcBorders>
            <w:gridSpan w:val="16"/>
          </w:tcPr>
          <w:p>
            <w:pPr>
              <w:spacing w:after="0"/>
              <w:rPr>
                <w:rFonts w:ascii="Arial" w:cs="Arial" w:eastAsia="Arial" w:hAnsi="Arial"/>
                <w:sz w:val="17"/>
                <w:szCs w:val="17"/>
                <w:color w:val="0000EE"/>
                <w:w w:val="89"/>
              </w:rPr>
            </w:pPr>
            <w:hyperlink w:anchor="page27">
              <w:r>
                <w:rPr>
                  <w:rFonts w:ascii="Arial" w:cs="Arial" w:eastAsia="Arial" w:hAnsi="Arial"/>
                  <w:sz w:val="17"/>
                  <w:szCs w:val="17"/>
                  <w:color w:val="0000EE"/>
                  <w:w w:val="89"/>
                </w:rPr>
                <w:t>Management’s Discussion and Analysis of Financial Condition and Results of Operations</w:t>
              </w:r>
            </w:hyperlink>
          </w:p>
        </w:tc>
        <w:tc>
          <w:tcPr>
            <w:tcW w:w="3160" w:type="dxa"/>
            <w:vAlign w:val="bottom"/>
            <w:gridSpan w:val="5"/>
          </w:tcPr>
          <w:p>
            <w:pPr>
              <w:spacing w:after="0"/>
              <w:rPr>
                <w:sz w:val="24"/>
                <w:szCs w:val="24"/>
                <w:color w:val="auto"/>
              </w:rPr>
            </w:pPr>
          </w:p>
        </w:tc>
        <w:tc>
          <w:tcPr>
            <w:tcW w:w="680" w:type="dxa"/>
            <w:vAlign w:val="bottom"/>
          </w:tcPr>
          <w:p>
            <w:pPr>
              <w:ind w:left="20"/>
              <w:spacing w:after="0"/>
              <w:rPr>
                <w:rFonts w:ascii="Arial" w:cs="Arial" w:eastAsia="Arial" w:hAnsi="Arial"/>
                <w:sz w:val="17"/>
                <w:szCs w:val="17"/>
                <w:color w:val="auto"/>
              </w:rPr>
            </w:pPr>
            <w:hyperlink w:anchor="page27">
              <w:r>
                <w:rPr>
                  <w:rFonts w:ascii="Arial" w:cs="Arial" w:eastAsia="Arial" w:hAnsi="Arial"/>
                  <w:sz w:val="17"/>
                  <w:szCs w:val="17"/>
                  <w:color w:val="auto"/>
                </w:rPr>
                <w:t>27</w:t>
              </w:r>
            </w:hyperlink>
          </w:p>
        </w:tc>
      </w:tr>
      <w:tr>
        <w:trPr>
          <w:trHeight w:val="347"/>
        </w:trPr>
        <w:tc>
          <w:tcPr>
            <w:tcW w:w="720" w:type="dxa"/>
            <w:vAlign w:val="bottom"/>
          </w:tcPr>
          <w:p>
            <w:pPr>
              <w:spacing w:after="0"/>
              <w:rPr>
                <w:sz w:val="20"/>
                <w:szCs w:val="20"/>
                <w:color w:val="auto"/>
              </w:rPr>
            </w:pPr>
            <w:r>
              <w:rPr>
                <w:rFonts w:ascii="Arial" w:cs="Arial" w:eastAsia="Arial" w:hAnsi="Arial"/>
                <w:sz w:val="17"/>
                <w:szCs w:val="17"/>
                <w:color w:val="auto"/>
              </w:rPr>
              <w:t>3.</w:t>
            </w:r>
          </w:p>
        </w:tc>
        <w:tc>
          <w:tcPr>
            <w:tcW w:w="780" w:type="dxa"/>
            <w:vAlign w:val="bottom"/>
          </w:tcPr>
          <w:p>
            <w:pPr>
              <w:spacing w:after="0"/>
              <w:rPr>
                <w:sz w:val="24"/>
                <w:szCs w:val="24"/>
                <w:color w:val="auto"/>
              </w:rPr>
            </w:pPr>
          </w:p>
        </w:tc>
        <w:tc>
          <w:tcPr>
            <w:tcW w:w="4080" w:type="dxa"/>
            <w:vAlign w:val="bottom"/>
            <w:tcBorders>
              <w:bottom w:val="single" w:sz="8" w:color="0000EE"/>
            </w:tcBorders>
            <w:gridSpan w:val="15"/>
          </w:tcPr>
          <w:p>
            <w:pPr>
              <w:spacing w:after="0"/>
              <w:rPr>
                <w:rFonts w:ascii="Arial" w:cs="Arial" w:eastAsia="Arial" w:hAnsi="Arial"/>
                <w:sz w:val="17"/>
                <w:szCs w:val="17"/>
                <w:color w:val="0000EE"/>
                <w:w w:val="91"/>
              </w:rPr>
            </w:pPr>
            <w:hyperlink w:anchor="page39">
              <w:r>
                <w:rPr>
                  <w:rFonts w:ascii="Arial" w:cs="Arial" w:eastAsia="Arial" w:hAnsi="Arial"/>
                  <w:sz w:val="17"/>
                  <w:szCs w:val="17"/>
                  <w:color w:val="0000EE"/>
                  <w:w w:val="91"/>
                </w:rPr>
                <w:t>Quantitative and Qualitative Disclosures About Market Risk</w:t>
              </w:r>
            </w:hyperlink>
          </w:p>
        </w:tc>
        <w:tc>
          <w:tcPr>
            <w:tcW w:w="5120" w:type="dxa"/>
            <w:vAlign w:val="bottom"/>
            <w:gridSpan w:val="6"/>
          </w:tcPr>
          <w:p>
            <w:pPr>
              <w:spacing w:after="0"/>
              <w:rPr>
                <w:sz w:val="24"/>
                <w:szCs w:val="24"/>
                <w:color w:val="auto"/>
              </w:rPr>
            </w:pPr>
          </w:p>
        </w:tc>
        <w:tc>
          <w:tcPr>
            <w:tcW w:w="680" w:type="dxa"/>
            <w:vAlign w:val="bottom"/>
          </w:tcPr>
          <w:p>
            <w:pPr>
              <w:ind w:left="20"/>
              <w:spacing w:after="0"/>
              <w:rPr>
                <w:rFonts w:ascii="Arial" w:cs="Arial" w:eastAsia="Arial" w:hAnsi="Arial"/>
                <w:sz w:val="17"/>
                <w:szCs w:val="17"/>
                <w:color w:val="auto"/>
              </w:rPr>
            </w:pPr>
            <w:hyperlink w:anchor="page39">
              <w:r>
                <w:rPr>
                  <w:rFonts w:ascii="Arial" w:cs="Arial" w:eastAsia="Arial" w:hAnsi="Arial"/>
                  <w:sz w:val="17"/>
                  <w:szCs w:val="17"/>
                  <w:color w:val="auto"/>
                </w:rPr>
                <w:t>39</w:t>
              </w:r>
            </w:hyperlink>
          </w:p>
        </w:tc>
      </w:tr>
      <w:tr>
        <w:trPr>
          <w:trHeight w:val="347"/>
        </w:trPr>
        <w:tc>
          <w:tcPr>
            <w:tcW w:w="720" w:type="dxa"/>
            <w:vAlign w:val="bottom"/>
          </w:tcPr>
          <w:p>
            <w:pPr>
              <w:spacing w:after="0"/>
              <w:rPr>
                <w:sz w:val="20"/>
                <w:szCs w:val="20"/>
                <w:color w:val="auto"/>
              </w:rPr>
            </w:pPr>
            <w:r>
              <w:rPr>
                <w:rFonts w:ascii="Arial" w:cs="Arial" w:eastAsia="Arial" w:hAnsi="Arial"/>
                <w:sz w:val="17"/>
                <w:szCs w:val="17"/>
                <w:color w:val="auto"/>
              </w:rPr>
              <w:t>4.</w:t>
            </w:r>
          </w:p>
        </w:tc>
        <w:tc>
          <w:tcPr>
            <w:tcW w:w="780" w:type="dxa"/>
            <w:vAlign w:val="bottom"/>
          </w:tcPr>
          <w:p>
            <w:pPr>
              <w:spacing w:after="0"/>
              <w:rPr>
                <w:sz w:val="24"/>
                <w:szCs w:val="24"/>
                <w:color w:val="auto"/>
              </w:rPr>
            </w:pPr>
          </w:p>
        </w:tc>
        <w:tc>
          <w:tcPr>
            <w:tcW w:w="1660" w:type="dxa"/>
            <w:vAlign w:val="bottom"/>
            <w:tcBorders>
              <w:bottom w:val="single" w:sz="8" w:color="0000EE"/>
            </w:tcBorders>
            <w:gridSpan w:val="9"/>
          </w:tcPr>
          <w:p>
            <w:pPr>
              <w:spacing w:after="0"/>
              <w:rPr>
                <w:rFonts w:ascii="Arial" w:cs="Arial" w:eastAsia="Arial" w:hAnsi="Arial"/>
                <w:sz w:val="17"/>
                <w:szCs w:val="17"/>
                <w:color w:val="0000EE"/>
                <w:w w:val="87"/>
              </w:rPr>
            </w:pPr>
            <w:hyperlink w:anchor="page39">
              <w:r>
                <w:rPr>
                  <w:rFonts w:ascii="Arial" w:cs="Arial" w:eastAsia="Arial" w:hAnsi="Arial"/>
                  <w:sz w:val="17"/>
                  <w:szCs w:val="17"/>
                  <w:color w:val="0000EE"/>
                  <w:w w:val="87"/>
                </w:rPr>
                <w:t>Controls and Procedures</w:t>
              </w:r>
            </w:hyperlink>
          </w:p>
        </w:tc>
        <w:tc>
          <w:tcPr>
            <w:tcW w:w="7540" w:type="dxa"/>
            <w:vAlign w:val="bottom"/>
            <w:gridSpan w:val="12"/>
          </w:tcPr>
          <w:p>
            <w:pPr>
              <w:spacing w:after="0"/>
              <w:rPr>
                <w:sz w:val="24"/>
                <w:szCs w:val="24"/>
                <w:color w:val="auto"/>
              </w:rPr>
            </w:pPr>
          </w:p>
        </w:tc>
        <w:tc>
          <w:tcPr>
            <w:tcW w:w="680" w:type="dxa"/>
            <w:vAlign w:val="bottom"/>
          </w:tcPr>
          <w:p>
            <w:pPr>
              <w:ind w:left="20"/>
              <w:spacing w:after="0"/>
              <w:rPr>
                <w:rFonts w:ascii="Arial" w:cs="Arial" w:eastAsia="Arial" w:hAnsi="Arial"/>
                <w:sz w:val="17"/>
                <w:szCs w:val="17"/>
                <w:color w:val="auto"/>
              </w:rPr>
            </w:pPr>
            <w:hyperlink w:anchor="page39">
              <w:r>
                <w:rPr>
                  <w:rFonts w:ascii="Arial" w:cs="Arial" w:eastAsia="Arial" w:hAnsi="Arial"/>
                  <w:sz w:val="17"/>
                  <w:szCs w:val="17"/>
                  <w:color w:val="auto"/>
                </w:rPr>
                <w:t>39</w:t>
              </w:r>
            </w:hyperlink>
          </w:p>
        </w:tc>
      </w:tr>
      <w:tr>
        <w:trPr>
          <w:trHeight w:val="347"/>
        </w:trPr>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740" w:type="dxa"/>
            <w:vAlign w:val="bottom"/>
            <w:tcBorders>
              <w:bottom w:val="single" w:sz="8" w:color="0000EE"/>
            </w:tcBorders>
            <w:gridSpan w:val="10"/>
          </w:tcPr>
          <w:p>
            <w:pPr>
              <w:spacing w:after="0"/>
              <w:rPr>
                <w:rFonts w:ascii="Arial" w:cs="Arial" w:eastAsia="Arial" w:hAnsi="Arial"/>
                <w:sz w:val="17"/>
                <w:szCs w:val="17"/>
                <w:color w:val="0000EE"/>
                <w:w w:val="91"/>
              </w:rPr>
            </w:pPr>
            <w:hyperlink w:anchor="page39">
              <w:r>
                <w:rPr>
                  <w:rFonts w:ascii="Arial" w:cs="Arial" w:eastAsia="Arial" w:hAnsi="Arial"/>
                  <w:sz w:val="17"/>
                  <w:szCs w:val="17"/>
                  <w:color w:val="0000EE"/>
                  <w:w w:val="91"/>
                </w:rPr>
                <w:t>Part II. Other Information</w:t>
              </w:r>
            </w:hyperlink>
          </w:p>
        </w:tc>
        <w:tc>
          <w:tcPr>
            <w:tcW w:w="7460" w:type="dxa"/>
            <w:vAlign w:val="bottom"/>
            <w:gridSpan w:val="11"/>
          </w:tcPr>
          <w:p>
            <w:pPr>
              <w:spacing w:after="0"/>
              <w:rPr>
                <w:sz w:val="24"/>
                <w:szCs w:val="24"/>
                <w:color w:val="auto"/>
              </w:rPr>
            </w:pPr>
          </w:p>
        </w:tc>
        <w:tc>
          <w:tcPr>
            <w:tcW w:w="680" w:type="dxa"/>
            <w:vAlign w:val="bottom"/>
          </w:tcPr>
          <w:p>
            <w:pPr>
              <w:ind w:left="20"/>
              <w:spacing w:after="0"/>
              <w:rPr>
                <w:rFonts w:ascii="Arial" w:cs="Arial" w:eastAsia="Arial" w:hAnsi="Arial"/>
                <w:sz w:val="17"/>
                <w:szCs w:val="17"/>
                <w:color w:val="auto"/>
              </w:rPr>
            </w:pPr>
            <w:hyperlink w:anchor="page39">
              <w:r>
                <w:rPr>
                  <w:rFonts w:ascii="Arial" w:cs="Arial" w:eastAsia="Arial" w:hAnsi="Arial"/>
                  <w:sz w:val="17"/>
                  <w:szCs w:val="17"/>
                  <w:color w:val="auto"/>
                </w:rPr>
                <w:t>39</w:t>
              </w:r>
            </w:hyperlink>
          </w:p>
        </w:tc>
      </w:tr>
      <w:tr>
        <w:trPr>
          <w:trHeight w:val="347"/>
        </w:trPr>
        <w:tc>
          <w:tcPr>
            <w:tcW w:w="720" w:type="dxa"/>
            <w:vAlign w:val="bottom"/>
          </w:tcPr>
          <w:p>
            <w:pPr>
              <w:spacing w:after="0"/>
              <w:rPr>
                <w:sz w:val="20"/>
                <w:szCs w:val="20"/>
                <w:color w:val="auto"/>
              </w:rPr>
            </w:pPr>
            <w:r>
              <w:rPr>
                <w:rFonts w:ascii="Arial" w:cs="Arial" w:eastAsia="Arial" w:hAnsi="Arial"/>
                <w:sz w:val="17"/>
                <w:szCs w:val="17"/>
                <w:color w:val="auto"/>
              </w:rPr>
              <w:t>1.</w:t>
            </w:r>
          </w:p>
        </w:tc>
        <w:tc>
          <w:tcPr>
            <w:tcW w:w="780" w:type="dxa"/>
            <w:vAlign w:val="bottom"/>
          </w:tcPr>
          <w:p>
            <w:pPr>
              <w:spacing w:after="0"/>
              <w:rPr>
                <w:sz w:val="24"/>
                <w:szCs w:val="24"/>
                <w:color w:val="auto"/>
              </w:rPr>
            </w:pPr>
          </w:p>
        </w:tc>
        <w:tc>
          <w:tcPr>
            <w:tcW w:w="1240" w:type="dxa"/>
            <w:vAlign w:val="bottom"/>
            <w:tcBorders>
              <w:bottom w:val="single" w:sz="8" w:color="0000EE"/>
            </w:tcBorders>
            <w:gridSpan w:val="6"/>
          </w:tcPr>
          <w:p>
            <w:pPr>
              <w:spacing w:after="0"/>
              <w:rPr>
                <w:rFonts w:ascii="Arial" w:cs="Arial" w:eastAsia="Arial" w:hAnsi="Arial"/>
                <w:sz w:val="17"/>
                <w:szCs w:val="17"/>
                <w:color w:val="0000EE"/>
                <w:w w:val="86"/>
              </w:rPr>
            </w:pPr>
            <w:hyperlink w:anchor="page39">
              <w:r>
                <w:rPr>
                  <w:rFonts w:ascii="Arial" w:cs="Arial" w:eastAsia="Arial" w:hAnsi="Arial"/>
                  <w:sz w:val="17"/>
                  <w:szCs w:val="17"/>
                  <w:color w:val="0000EE"/>
                  <w:w w:val="86"/>
                </w:rPr>
                <w:t>Legal Proceedings</w:t>
              </w:r>
            </w:hyperlink>
          </w:p>
        </w:tc>
        <w:tc>
          <w:tcPr>
            <w:tcW w:w="7960" w:type="dxa"/>
            <w:vAlign w:val="bottom"/>
            <w:gridSpan w:val="15"/>
          </w:tcPr>
          <w:p>
            <w:pPr>
              <w:spacing w:after="0"/>
              <w:rPr>
                <w:sz w:val="24"/>
                <w:szCs w:val="24"/>
                <w:color w:val="auto"/>
              </w:rPr>
            </w:pPr>
          </w:p>
        </w:tc>
        <w:tc>
          <w:tcPr>
            <w:tcW w:w="680" w:type="dxa"/>
            <w:vAlign w:val="bottom"/>
          </w:tcPr>
          <w:p>
            <w:pPr>
              <w:ind w:left="20"/>
              <w:spacing w:after="0"/>
              <w:rPr>
                <w:rFonts w:ascii="Arial" w:cs="Arial" w:eastAsia="Arial" w:hAnsi="Arial"/>
                <w:sz w:val="17"/>
                <w:szCs w:val="17"/>
                <w:color w:val="auto"/>
              </w:rPr>
            </w:pPr>
            <w:hyperlink w:anchor="page39">
              <w:r>
                <w:rPr>
                  <w:rFonts w:ascii="Arial" w:cs="Arial" w:eastAsia="Arial" w:hAnsi="Arial"/>
                  <w:sz w:val="17"/>
                  <w:szCs w:val="17"/>
                  <w:color w:val="auto"/>
                </w:rPr>
                <w:t>39</w:t>
              </w:r>
            </w:hyperlink>
          </w:p>
        </w:tc>
      </w:tr>
      <w:tr>
        <w:trPr>
          <w:trHeight w:val="347"/>
        </w:trPr>
        <w:tc>
          <w:tcPr>
            <w:tcW w:w="1500" w:type="dxa"/>
            <w:vAlign w:val="bottom"/>
            <w:gridSpan w:val="2"/>
          </w:tcPr>
          <w:p>
            <w:pPr>
              <w:spacing w:after="0"/>
              <w:rPr>
                <w:sz w:val="20"/>
                <w:szCs w:val="20"/>
                <w:color w:val="auto"/>
              </w:rPr>
            </w:pPr>
            <w:r>
              <w:rPr>
                <w:rFonts w:ascii="Arial" w:cs="Arial" w:eastAsia="Arial" w:hAnsi="Arial"/>
                <w:sz w:val="17"/>
                <w:szCs w:val="17"/>
                <w:color w:val="auto"/>
              </w:rPr>
              <w:t>1A.</w:t>
            </w:r>
          </w:p>
        </w:tc>
        <w:tc>
          <w:tcPr>
            <w:tcW w:w="840" w:type="dxa"/>
            <w:vAlign w:val="bottom"/>
            <w:tcBorders>
              <w:bottom w:val="single" w:sz="8" w:color="0000EE"/>
            </w:tcBorders>
            <w:gridSpan w:val="3"/>
          </w:tcPr>
          <w:p>
            <w:pPr>
              <w:spacing w:after="0"/>
              <w:rPr>
                <w:rFonts w:ascii="Arial" w:cs="Arial" w:eastAsia="Arial" w:hAnsi="Arial"/>
                <w:sz w:val="17"/>
                <w:szCs w:val="17"/>
                <w:color w:val="0000EE"/>
                <w:w w:val="86"/>
              </w:rPr>
            </w:pPr>
            <w:hyperlink w:anchor="page39">
              <w:r>
                <w:rPr>
                  <w:rFonts w:ascii="Arial" w:cs="Arial" w:eastAsia="Arial" w:hAnsi="Arial"/>
                  <w:sz w:val="17"/>
                  <w:szCs w:val="17"/>
                  <w:color w:val="0000EE"/>
                  <w:w w:val="86"/>
                </w:rPr>
                <w:t>Risk Factors</w:t>
              </w:r>
            </w:hyperlink>
          </w:p>
        </w:tc>
        <w:tc>
          <w:tcPr>
            <w:tcW w:w="8360" w:type="dxa"/>
            <w:vAlign w:val="bottom"/>
            <w:gridSpan w:val="18"/>
          </w:tcPr>
          <w:p>
            <w:pPr>
              <w:spacing w:after="0"/>
              <w:rPr>
                <w:sz w:val="24"/>
                <w:szCs w:val="24"/>
                <w:color w:val="auto"/>
              </w:rPr>
            </w:pPr>
          </w:p>
        </w:tc>
        <w:tc>
          <w:tcPr>
            <w:tcW w:w="680" w:type="dxa"/>
            <w:vAlign w:val="bottom"/>
          </w:tcPr>
          <w:p>
            <w:pPr>
              <w:ind w:left="20"/>
              <w:spacing w:after="0"/>
              <w:rPr>
                <w:rFonts w:ascii="Arial" w:cs="Arial" w:eastAsia="Arial" w:hAnsi="Arial"/>
                <w:sz w:val="17"/>
                <w:szCs w:val="17"/>
                <w:color w:val="auto"/>
              </w:rPr>
            </w:pPr>
            <w:hyperlink w:anchor="page39">
              <w:r>
                <w:rPr>
                  <w:rFonts w:ascii="Arial" w:cs="Arial" w:eastAsia="Arial" w:hAnsi="Arial"/>
                  <w:sz w:val="17"/>
                  <w:szCs w:val="17"/>
                  <w:color w:val="auto"/>
                </w:rPr>
                <w:t>39</w:t>
              </w:r>
            </w:hyperlink>
          </w:p>
        </w:tc>
      </w:tr>
      <w:tr>
        <w:trPr>
          <w:trHeight w:val="347"/>
        </w:trPr>
        <w:tc>
          <w:tcPr>
            <w:tcW w:w="720" w:type="dxa"/>
            <w:vAlign w:val="bottom"/>
          </w:tcPr>
          <w:p>
            <w:pPr>
              <w:spacing w:after="0"/>
              <w:rPr>
                <w:sz w:val="20"/>
                <w:szCs w:val="20"/>
                <w:color w:val="auto"/>
              </w:rPr>
            </w:pPr>
            <w:r>
              <w:rPr>
                <w:rFonts w:ascii="Arial" w:cs="Arial" w:eastAsia="Arial" w:hAnsi="Arial"/>
                <w:sz w:val="17"/>
                <w:szCs w:val="17"/>
                <w:color w:val="auto"/>
              </w:rPr>
              <w:t>2</w:t>
            </w:r>
          </w:p>
        </w:tc>
        <w:tc>
          <w:tcPr>
            <w:tcW w:w="780" w:type="dxa"/>
            <w:vAlign w:val="bottom"/>
          </w:tcPr>
          <w:p>
            <w:pPr>
              <w:spacing w:after="0"/>
              <w:rPr>
                <w:sz w:val="24"/>
                <w:szCs w:val="24"/>
                <w:color w:val="auto"/>
              </w:rPr>
            </w:pPr>
          </w:p>
        </w:tc>
        <w:tc>
          <w:tcPr>
            <w:tcW w:w="9200" w:type="dxa"/>
            <w:vAlign w:val="bottom"/>
            <w:gridSpan w:val="21"/>
          </w:tcPr>
          <w:p>
            <w:pPr>
              <w:spacing w:after="0"/>
              <w:rPr>
                <w:rFonts w:ascii="Arial" w:cs="Arial" w:eastAsia="Arial" w:hAnsi="Arial"/>
                <w:sz w:val="17"/>
                <w:szCs w:val="17"/>
                <w:color w:val="0000EE"/>
              </w:rPr>
            </w:pPr>
            <w:hyperlink w:anchor="page40">
              <w:r>
                <w:rPr>
                  <w:rFonts w:ascii="Arial" w:cs="Arial" w:eastAsia="Arial" w:hAnsi="Arial"/>
                  <w:sz w:val="17"/>
                  <w:szCs w:val="17"/>
                  <w:color w:val="0000EE"/>
                </w:rPr>
                <w:t>Unregistered Sales of Equity Securities and Use of Proceeds</w:t>
              </w:r>
            </w:hyperlink>
          </w:p>
        </w:tc>
        <w:tc>
          <w:tcPr>
            <w:tcW w:w="680" w:type="dxa"/>
            <w:vAlign w:val="bottom"/>
          </w:tcPr>
          <w:p>
            <w:pPr>
              <w:ind w:left="20"/>
              <w:spacing w:after="0"/>
              <w:rPr>
                <w:rFonts w:ascii="Arial" w:cs="Arial" w:eastAsia="Arial" w:hAnsi="Arial"/>
                <w:sz w:val="17"/>
                <w:szCs w:val="17"/>
                <w:color w:val="auto"/>
              </w:rPr>
            </w:pPr>
            <w:hyperlink w:anchor="page40">
              <w:r>
                <w:rPr>
                  <w:rFonts w:ascii="Arial" w:cs="Arial" w:eastAsia="Arial" w:hAnsi="Arial"/>
                  <w:sz w:val="17"/>
                  <w:szCs w:val="17"/>
                  <w:color w:val="auto"/>
                </w:rPr>
                <w:t>40</w:t>
              </w:r>
            </w:hyperlink>
          </w:p>
        </w:tc>
      </w:tr>
      <w:tr>
        <w:trPr>
          <w:trHeight w:val="347"/>
        </w:trPr>
        <w:tc>
          <w:tcPr>
            <w:tcW w:w="720" w:type="dxa"/>
            <w:vAlign w:val="bottom"/>
          </w:tcPr>
          <w:p>
            <w:pPr>
              <w:spacing w:after="0"/>
              <w:rPr>
                <w:sz w:val="20"/>
                <w:szCs w:val="20"/>
                <w:color w:val="auto"/>
              </w:rPr>
            </w:pPr>
            <w:r>
              <w:rPr>
                <w:rFonts w:ascii="Arial" w:cs="Arial" w:eastAsia="Arial" w:hAnsi="Arial"/>
                <w:sz w:val="17"/>
                <w:szCs w:val="17"/>
                <w:color w:val="auto"/>
              </w:rPr>
              <w:t>3.</w:t>
            </w:r>
          </w:p>
        </w:tc>
        <w:tc>
          <w:tcPr>
            <w:tcW w:w="780" w:type="dxa"/>
            <w:vAlign w:val="bottom"/>
          </w:tcPr>
          <w:p>
            <w:pPr>
              <w:spacing w:after="0"/>
              <w:rPr>
                <w:sz w:val="24"/>
                <w:szCs w:val="24"/>
                <w:color w:val="auto"/>
              </w:rPr>
            </w:pPr>
          </w:p>
        </w:tc>
        <w:tc>
          <w:tcPr>
            <w:tcW w:w="4060" w:type="dxa"/>
            <w:vAlign w:val="bottom"/>
            <w:tcBorders>
              <w:top w:val="single" w:sz="8" w:color="0000EE"/>
            </w:tcBorders>
            <w:gridSpan w:val="14"/>
          </w:tcPr>
          <w:p>
            <w:pPr>
              <w:spacing w:after="0"/>
              <w:rPr>
                <w:rFonts w:ascii="Arial" w:cs="Arial" w:eastAsia="Arial" w:hAnsi="Arial"/>
                <w:sz w:val="17"/>
                <w:szCs w:val="17"/>
                <w:color w:val="0000EE"/>
              </w:rPr>
            </w:pPr>
            <w:hyperlink w:anchor="page40">
              <w:r>
                <w:rPr>
                  <w:rFonts w:ascii="Arial" w:cs="Arial" w:eastAsia="Arial" w:hAnsi="Arial"/>
                  <w:sz w:val="17"/>
                  <w:szCs w:val="17"/>
                  <w:color w:val="0000EE"/>
                </w:rPr>
                <w:t>Defaults Upon Senior Securities</w:t>
              </w:r>
            </w:hyperlink>
          </w:p>
        </w:tc>
        <w:tc>
          <w:tcPr>
            <w:tcW w:w="5140" w:type="dxa"/>
            <w:vAlign w:val="bottom"/>
            <w:gridSpan w:val="7"/>
          </w:tcPr>
          <w:p>
            <w:pPr>
              <w:spacing w:after="0"/>
              <w:rPr>
                <w:sz w:val="24"/>
                <w:szCs w:val="24"/>
                <w:color w:val="auto"/>
              </w:rPr>
            </w:pPr>
          </w:p>
        </w:tc>
        <w:tc>
          <w:tcPr>
            <w:tcW w:w="680" w:type="dxa"/>
            <w:vAlign w:val="bottom"/>
          </w:tcPr>
          <w:p>
            <w:pPr>
              <w:ind w:left="20"/>
              <w:spacing w:after="0"/>
              <w:rPr>
                <w:rFonts w:ascii="Arial" w:cs="Arial" w:eastAsia="Arial" w:hAnsi="Arial"/>
                <w:sz w:val="17"/>
                <w:szCs w:val="17"/>
                <w:color w:val="auto"/>
              </w:rPr>
            </w:pPr>
            <w:hyperlink w:anchor="page40">
              <w:r>
                <w:rPr>
                  <w:rFonts w:ascii="Arial" w:cs="Arial" w:eastAsia="Arial" w:hAnsi="Arial"/>
                  <w:sz w:val="17"/>
                  <w:szCs w:val="17"/>
                  <w:color w:val="auto"/>
                </w:rPr>
                <w:t>40</w:t>
              </w:r>
            </w:hyperlink>
          </w:p>
        </w:tc>
      </w:tr>
      <w:tr>
        <w:trPr>
          <w:trHeight w:val="347"/>
        </w:trPr>
        <w:tc>
          <w:tcPr>
            <w:tcW w:w="720" w:type="dxa"/>
            <w:vAlign w:val="bottom"/>
          </w:tcPr>
          <w:p>
            <w:pPr>
              <w:spacing w:after="0"/>
              <w:rPr>
                <w:sz w:val="20"/>
                <w:szCs w:val="20"/>
                <w:color w:val="auto"/>
              </w:rPr>
            </w:pPr>
            <w:r>
              <w:rPr>
                <w:rFonts w:ascii="Arial" w:cs="Arial" w:eastAsia="Arial" w:hAnsi="Arial"/>
                <w:sz w:val="17"/>
                <w:szCs w:val="17"/>
                <w:color w:val="auto"/>
              </w:rPr>
              <w:t>4.</w:t>
            </w:r>
          </w:p>
        </w:tc>
        <w:tc>
          <w:tcPr>
            <w:tcW w:w="780" w:type="dxa"/>
            <w:vAlign w:val="bottom"/>
          </w:tcPr>
          <w:p>
            <w:pPr>
              <w:spacing w:after="0"/>
              <w:rPr>
                <w:sz w:val="24"/>
                <w:szCs w:val="24"/>
                <w:color w:val="auto"/>
              </w:rPr>
            </w:pPr>
          </w:p>
        </w:tc>
        <w:tc>
          <w:tcPr>
            <w:tcW w:w="2160" w:type="dxa"/>
            <w:vAlign w:val="bottom"/>
            <w:tcBorders>
              <w:top w:val="single" w:sz="8" w:color="0000EE"/>
            </w:tcBorders>
            <w:gridSpan w:val="12"/>
          </w:tcPr>
          <w:p>
            <w:pPr>
              <w:spacing w:after="0"/>
              <w:rPr>
                <w:rFonts w:ascii="Arial" w:cs="Arial" w:eastAsia="Arial" w:hAnsi="Arial"/>
                <w:sz w:val="17"/>
                <w:szCs w:val="17"/>
                <w:color w:val="0000EE"/>
              </w:rPr>
            </w:pPr>
            <w:hyperlink w:anchor="page40">
              <w:r>
                <w:rPr>
                  <w:rFonts w:ascii="Arial" w:cs="Arial" w:eastAsia="Arial" w:hAnsi="Arial"/>
                  <w:sz w:val="17"/>
                  <w:szCs w:val="17"/>
                  <w:color w:val="0000EE"/>
                </w:rPr>
                <w:t>Mine Safety Disclosures</w:t>
              </w:r>
            </w:hyperlink>
          </w:p>
        </w:tc>
        <w:tc>
          <w:tcPr>
            <w:tcW w:w="7040" w:type="dxa"/>
            <w:vAlign w:val="bottom"/>
            <w:gridSpan w:val="9"/>
          </w:tcPr>
          <w:p>
            <w:pPr>
              <w:spacing w:after="0"/>
              <w:rPr>
                <w:sz w:val="24"/>
                <w:szCs w:val="24"/>
                <w:color w:val="auto"/>
              </w:rPr>
            </w:pPr>
          </w:p>
        </w:tc>
        <w:tc>
          <w:tcPr>
            <w:tcW w:w="680" w:type="dxa"/>
            <w:vAlign w:val="bottom"/>
          </w:tcPr>
          <w:p>
            <w:pPr>
              <w:ind w:left="20"/>
              <w:spacing w:after="0"/>
              <w:rPr>
                <w:rFonts w:ascii="Arial" w:cs="Arial" w:eastAsia="Arial" w:hAnsi="Arial"/>
                <w:sz w:val="17"/>
                <w:szCs w:val="17"/>
                <w:color w:val="auto"/>
              </w:rPr>
            </w:pPr>
            <w:hyperlink w:anchor="page40">
              <w:r>
                <w:rPr>
                  <w:rFonts w:ascii="Arial" w:cs="Arial" w:eastAsia="Arial" w:hAnsi="Arial"/>
                  <w:sz w:val="17"/>
                  <w:szCs w:val="17"/>
                  <w:color w:val="auto"/>
                </w:rPr>
                <w:t>40</w:t>
              </w:r>
            </w:hyperlink>
          </w:p>
        </w:tc>
      </w:tr>
      <w:tr>
        <w:trPr>
          <w:trHeight w:val="347"/>
        </w:trPr>
        <w:tc>
          <w:tcPr>
            <w:tcW w:w="720" w:type="dxa"/>
            <w:vAlign w:val="bottom"/>
          </w:tcPr>
          <w:p>
            <w:pPr>
              <w:spacing w:after="0"/>
              <w:rPr>
                <w:sz w:val="20"/>
                <w:szCs w:val="20"/>
                <w:color w:val="auto"/>
              </w:rPr>
            </w:pPr>
            <w:r>
              <w:rPr>
                <w:rFonts w:ascii="Arial" w:cs="Arial" w:eastAsia="Arial" w:hAnsi="Arial"/>
                <w:sz w:val="17"/>
                <w:szCs w:val="17"/>
                <w:color w:val="auto"/>
              </w:rPr>
              <w:t>5.</w:t>
            </w:r>
          </w:p>
        </w:tc>
        <w:tc>
          <w:tcPr>
            <w:tcW w:w="780" w:type="dxa"/>
            <w:vAlign w:val="bottom"/>
          </w:tcPr>
          <w:p>
            <w:pPr>
              <w:spacing w:after="0"/>
              <w:rPr>
                <w:sz w:val="24"/>
                <w:szCs w:val="24"/>
                <w:color w:val="auto"/>
              </w:rPr>
            </w:pPr>
          </w:p>
        </w:tc>
        <w:tc>
          <w:tcPr>
            <w:tcW w:w="1640" w:type="dxa"/>
            <w:vAlign w:val="bottom"/>
            <w:tcBorders>
              <w:top w:val="single" w:sz="8" w:color="0000EE"/>
            </w:tcBorders>
            <w:gridSpan w:val="8"/>
          </w:tcPr>
          <w:p>
            <w:pPr>
              <w:spacing w:after="0"/>
              <w:rPr>
                <w:rFonts w:ascii="Arial" w:cs="Arial" w:eastAsia="Arial" w:hAnsi="Arial"/>
                <w:sz w:val="17"/>
                <w:szCs w:val="17"/>
                <w:color w:val="0000EE"/>
              </w:rPr>
            </w:pPr>
            <w:hyperlink w:anchor="page40">
              <w:r>
                <w:rPr>
                  <w:rFonts w:ascii="Arial" w:cs="Arial" w:eastAsia="Arial" w:hAnsi="Arial"/>
                  <w:sz w:val="17"/>
                  <w:szCs w:val="17"/>
                  <w:color w:val="0000EE"/>
                </w:rPr>
                <w:t>Other Information</w:t>
              </w:r>
            </w:hyperlink>
          </w:p>
        </w:tc>
        <w:tc>
          <w:tcPr>
            <w:tcW w:w="7560" w:type="dxa"/>
            <w:vAlign w:val="bottom"/>
            <w:gridSpan w:val="13"/>
          </w:tcPr>
          <w:p>
            <w:pPr>
              <w:spacing w:after="0"/>
              <w:rPr>
                <w:sz w:val="24"/>
                <w:szCs w:val="24"/>
                <w:color w:val="auto"/>
              </w:rPr>
            </w:pPr>
          </w:p>
        </w:tc>
        <w:tc>
          <w:tcPr>
            <w:tcW w:w="680" w:type="dxa"/>
            <w:vAlign w:val="bottom"/>
          </w:tcPr>
          <w:p>
            <w:pPr>
              <w:ind w:left="20"/>
              <w:spacing w:after="0"/>
              <w:rPr>
                <w:rFonts w:ascii="Arial" w:cs="Arial" w:eastAsia="Arial" w:hAnsi="Arial"/>
                <w:sz w:val="17"/>
                <w:szCs w:val="17"/>
                <w:color w:val="auto"/>
              </w:rPr>
            </w:pPr>
            <w:hyperlink w:anchor="page40">
              <w:r>
                <w:rPr>
                  <w:rFonts w:ascii="Arial" w:cs="Arial" w:eastAsia="Arial" w:hAnsi="Arial"/>
                  <w:sz w:val="17"/>
                  <w:szCs w:val="17"/>
                  <w:color w:val="auto"/>
                </w:rPr>
                <w:t>40</w:t>
              </w:r>
            </w:hyperlink>
          </w:p>
        </w:tc>
      </w:tr>
      <w:tr>
        <w:trPr>
          <w:trHeight w:val="347"/>
        </w:trPr>
        <w:tc>
          <w:tcPr>
            <w:tcW w:w="720" w:type="dxa"/>
            <w:vAlign w:val="bottom"/>
          </w:tcPr>
          <w:p>
            <w:pPr>
              <w:spacing w:after="0"/>
              <w:rPr>
                <w:sz w:val="20"/>
                <w:szCs w:val="20"/>
                <w:color w:val="auto"/>
              </w:rPr>
            </w:pPr>
            <w:r>
              <w:rPr>
                <w:rFonts w:ascii="Arial" w:cs="Arial" w:eastAsia="Arial" w:hAnsi="Arial"/>
                <w:sz w:val="17"/>
                <w:szCs w:val="17"/>
                <w:color w:val="auto"/>
              </w:rPr>
              <w:t>6.</w:t>
            </w:r>
          </w:p>
        </w:tc>
        <w:tc>
          <w:tcPr>
            <w:tcW w:w="780" w:type="dxa"/>
            <w:vAlign w:val="bottom"/>
          </w:tcPr>
          <w:p>
            <w:pPr>
              <w:spacing w:after="0"/>
              <w:rPr>
                <w:sz w:val="24"/>
                <w:szCs w:val="24"/>
                <w:color w:val="auto"/>
              </w:rPr>
            </w:pPr>
          </w:p>
        </w:tc>
        <w:tc>
          <w:tcPr>
            <w:tcW w:w="1220" w:type="dxa"/>
            <w:vAlign w:val="bottom"/>
            <w:tcBorders>
              <w:top w:val="single" w:sz="8" w:color="0000EE"/>
            </w:tcBorders>
            <w:gridSpan w:val="5"/>
          </w:tcPr>
          <w:p>
            <w:pPr>
              <w:spacing w:after="0"/>
              <w:rPr>
                <w:rFonts w:ascii="Arial" w:cs="Arial" w:eastAsia="Arial" w:hAnsi="Arial"/>
                <w:sz w:val="17"/>
                <w:szCs w:val="17"/>
                <w:color w:val="0000EE"/>
              </w:rPr>
            </w:pPr>
            <w:hyperlink w:anchor="page40">
              <w:r>
                <w:rPr>
                  <w:rFonts w:ascii="Arial" w:cs="Arial" w:eastAsia="Arial" w:hAnsi="Arial"/>
                  <w:sz w:val="17"/>
                  <w:szCs w:val="17"/>
                  <w:color w:val="0000EE"/>
                </w:rPr>
                <w:t>Exhibits</w:t>
              </w:r>
            </w:hyperlink>
          </w:p>
        </w:tc>
        <w:tc>
          <w:tcPr>
            <w:tcW w:w="7980" w:type="dxa"/>
            <w:vAlign w:val="bottom"/>
            <w:gridSpan w:val="16"/>
          </w:tcPr>
          <w:p>
            <w:pPr>
              <w:spacing w:after="0"/>
              <w:rPr>
                <w:sz w:val="24"/>
                <w:szCs w:val="24"/>
                <w:color w:val="auto"/>
              </w:rPr>
            </w:pPr>
          </w:p>
        </w:tc>
        <w:tc>
          <w:tcPr>
            <w:tcW w:w="680" w:type="dxa"/>
            <w:vAlign w:val="bottom"/>
          </w:tcPr>
          <w:p>
            <w:pPr>
              <w:ind w:left="20"/>
              <w:spacing w:after="0"/>
              <w:rPr>
                <w:rFonts w:ascii="Arial" w:cs="Arial" w:eastAsia="Arial" w:hAnsi="Arial"/>
                <w:sz w:val="17"/>
                <w:szCs w:val="17"/>
                <w:color w:val="auto"/>
              </w:rPr>
            </w:pPr>
            <w:hyperlink w:anchor="page40">
              <w:r>
                <w:rPr>
                  <w:rFonts w:ascii="Arial" w:cs="Arial" w:eastAsia="Arial" w:hAnsi="Arial"/>
                  <w:sz w:val="17"/>
                  <w:szCs w:val="17"/>
                  <w:color w:val="auto"/>
                </w:rPr>
                <w:t>40</w:t>
              </w:r>
            </w:hyperlink>
          </w:p>
        </w:tc>
      </w:tr>
      <w:tr>
        <w:trPr>
          <w:trHeight w:val="347"/>
        </w:trPr>
        <w:tc>
          <w:tcPr>
            <w:tcW w:w="1500" w:type="dxa"/>
            <w:vAlign w:val="bottom"/>
            <w:gridSpan w:val="2"/>
          </w:tcPr>
          <w:p>
            <w:pPr>
              <w:spacing w:after="0"/>
              <w:rPr>
                <w:rFonts w:ascii="Arial" w:cs="Arial" w:eastAsia="Arial" w:hAnsi="Arial"/>
                <w:sz w:val="17"/>
                <w:szCs w:val="17"/>
                <w:color w:val="0000EE"/>
              </w:rPr>
            </w:pPr>
            <w:hyperlink w:anchor="page42">
              <w:r>
                <w:rPr>
                  <w:rFonts w:ascii="Arial" w:cs="Arial" w:eastAsia="Arial" w:hAnsi="Arial"/>
                  <w:sz w:val="17"/>
                  <w:szCs w:val="17"/>
                  <w:color w:val="0000EE"/>
                </w:rPr>
                <w:t>Signatures</w:t>
              </w:r>
            </w:hyperlink>
          </w:p>
        </w:tc>
        <w:tc>
          <w:tcPr>
            <w:tcW w:w="2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ind w:left="20"/>
              <w:spacing w:after="0"/>
              <w:rPr>
                <w:rFonts w:ascii="Arial" w:cs="Arial" w:eastAsia="Arial" w:hAnsi="Arial"/>
                <w:sz w:val="17"/>
                <w:szCs w:val="17"/>
                <w:color w:val="auto"/>
              </w:rPr>
            </w:pPr>
            <w:hyperlink w:anchor="page42">
              <w:r>
                <w:rPr>
                  <w:rFonts w:ascii="Arial" w:cs="Arial" w:eastAsia="Arial" w:hAnsi="Arial"/>
                  <w:sz w:val="17"/>
                  <w:szCs w:val="17"/>
                  <w:color w:val="auto"/>
                </w:rPr>
                <w:t>42</w:t>
              </w:r>
            </w:hyperlink>
          </w:p>
        </w:tc>
      </w:tr>
      <w:tr>
        <w:trPr>
          <w:trHeight w:val="472"/>
        </w:trPr>
        <w:tc>
          <w:tcPr>
            <w:tcW w:w="720" w:type="dxa"/>
            <w:vAlign w:val="bottom"/>
            <w:tcBorders>
              <w:top w:val="single" w:sz="8" w:color="0000EE"/>
            </w:tcBorders>
          </w:tcPr>
          <w:p>
            <w:pPr>
              <w:spacing w:after="0"/>
              <w:rPr>
                <w:sz w:val="24"/>
                <w:szCs w:val="24"/>
                <w:color w:val="auto"/>
              </w:rPr>
            </w:pPr>
          </w:p>
        </w:tc>
        <w:tc>
          <w:tcPr>
            <w:tcW w:w="780" w:type="dxa"/>
            <w:vAlign w:val="bottom"/>
          </w:tcPr>
          <w:p>
            <w:pPr>
              <w:spacing w:after="0"/>
              <w:rPr>
                <w:sz w:val="24"/>
                <w:szCs w:val="24"/>
                <w:color w:val="auto"/>
              </w:rPr>
            </w:pPr>
          </w:p>
        </w:tc>
        <w:tc>
          <w:tcPr>
            <w:tcW w:w="6040" w:type="dxa"/>
            <w:vAlign w:val="bottom"/>
            <w:gridSpan w:val="16"/>
          </w:tcPr>
          <w:p>
            <w:pPr>
              <w:ind w:left="4140"/>
              <w:spacing w:after="0"/>
              <w:rPr>
                <w:sz w:val="20"/>
                <w:szCs w:val="20"/>
                <w:color w:val="auto"/>
              </w:rPr>
            </w:pPr>
            <w:r>
              <w:rPr>
                <w:rFonts w:ascii="Arial" w:cs="Arial" w:eastAsia="Arial" w:hAnsi="Arial"/>
                <w:sz w:val="17"/>
                <w:szCs w:val="17"/>
                <w:color w:val="auto"/>
              </w:rPr>
              <w:t>2</w:t>
            </w: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ectPr>
          <w:pgSz w:w="11900" w:h="16838" w:orient="portrait"/>
          <w:cols w:equalWidth="0" w:num="1">
            <w:col w:w="11420"/>
          </w:cols>
          <w:pgMar w:left="240" w:top="325" w:right="239" w:bottom="1440" w:gutter="0" w:footer="0" w:header="0"/>
        </w:sectPr>
      </w:pPr>
    </w:p>
    <w:bookmarkStart w:id="2" w:name="page3"/>
    <w:bookmarkEnd w:id="2"/>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1. FINANCIAL INFORMATION</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EXLSERVICE HOLDINGS,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BALANCE SHEETS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4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89"/>
              </w:rPr>
              <w:t>September 30, 2016</w:t>
            </w:r>
          </w:p>
        </w:tc>
        <w:tc>
          <w:tcPr>
            <w:tcW w:w="220" w:type="dxa"/>
            <w:vAlign w:val="bottom"/>
          </w:tcPr>
          <w:p>
            <w:pPr>
              <w:spacing w:after="0"/>
              <w:rPr>
                <w:sz w:val="16"/>
                <w:szCs w:val="16"/>
                <w:color w:val="auto"/>
              </w:rPr>
            </w:pPr>
          </w:p>
        </w:tc>
        <w:tc>
          <w:tcPr>
            <w:tcW w:w="1700" w:type="dxa"/>
            <w:vAlign w:val="bottom"/>
          </w:tcPr>
          <w:p>
            <w:pPr>
              <w:jc w:val="right"/>
              <w:ind w:right="264"/>
              <w:spacing w:after="0"/>
              <w:rPr>
                <w:sz w:val="20"/>
                <w:szCs w:val="20"/>
                <w:color w:val="auto"/>
              </w:rPr>
            </w:pPr>
            <w:r>
              <w:rPr>
                <w:rFonts w:ascii="Arial" w:cs="Arial" w:eastAsia="Arial" w:hAnsi="Arial"/>
                <w:sz w:val="15"/>
                <w:szCs w:val="15"/>
                <w:b w:val="1"/>
                <w:bCs w:val="1"/>
                <w:color w:val="auto"/>
                <w:w w:val="99"/>
              </w:rPr>
              <w:t>December 31, 2015</w:t>
            </w:r>
          </w:p>
        </w:tc>
        <w:tc>
          <w:tcPr>
            <w:tcW w:w="0" w:type="dxa"/>
            <w:vAlign w:val="bottom"/>
          </w:tcPr>
          <w:p>
            <w:pPr>
              <w:spacing w:after="0"/>
              <w:rPr>
                <w:sz w:val="1"/>
                <w:szCs w:val="1"/>
                <w:color w:val="auto"/>
              </w:rPr>
            </w:pPr>
          </w:p>
        </w:tc>
      </w:tr>
      <w:tr>
        <w:trPr>
          <w:trHeight w:val="32"/>
        </w:trPr>
        <w:tc>
          <w:tcPr>
            <w:tcW w:w="7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7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4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93"/>
              </w:rPr>
              <w:t>(Unaudited)</w:t>
            </w:r>
          </w:p>
        </w:tc>
        <w:tc>
          <w:tcPr>
            <w:tcW w:w="2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Assets</w:t>
            </w:r>
          </w:p>
        </w:tc>
        <w:tc>
          <w:tcPr>
            <w:tcW w:w="22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7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7440" w:type="dxa"/>
            <w:vAlign w:val="bottom"/>
          </w:tcPr>
          <w:p>
            <w:pPr>
              <w:ind w:left="20"/>
              <w:spacing w:after="0"/>
              <w:rPr>
                <w:sz w:val="20"/>
                <w:szCs w:val="20"/>
                <w:color w:val="auto"/>
              </w:rPr>
            </w:pPr>
            <w:r>
              <w:rPr>
                <w:rFonts w:ascii="Arial" w:cs="Arial" w:eastAsia="Arial" w:hAnsi="Arial"/>
                <w:sz w:val="15"/>
                <w:szCs w:val="15"/>
                <w:color w:val="auto"/>
              </w:rPr>
              <w:t>Current assets:</w:t>
            </w: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74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5"/>
                <w:szCs w:val="15"/>
                <w:color w:val="auto"/>
              </w:rPr>
              <w:t>Cash and cash equivalents</w:t>
            </w:r>
          </w:p>
        </w:tc>
        <w:tc>
          <w:tcPr>
            <w:tcW w:w="22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72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98,374</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70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205,323</w:t>
            </w:r>
          </w:p>
        </w:tc>
        <w:tc>
          <w:tcPr>
            <w:tcW w:w="0" w:type="dxa"/>
            <w:vAlign w:val="bottom"/>
          </w:tcPr>
          <w:p>
            <w:pPr>
              <w:spacing w:after="0"/>
              <w:rPr>
                <w:sz w:val="1"/>
                <w:szCs w:val="1"/>
                <w:color w:val="auto"/>
              </w:rPr>
            </w:pPr>
          </w:p>
        </w:tc>
      </w:tr>
      <w:tr>
        <w:trPr>
          <w:trHeight w:val="208"/>
        </w:trPr>
        <w:tc>
          <w:tcPr>
            <w:tcW w:w="7440" w:type="dxa"/>
            <w:vAlign w:val="bottom"/>
          </w:tcPr>
          <w:p>
            <w:pPr>
              <w:ind w:left="360"/>
              <w:spacing w:after="0"/>
              <w:rPr>
                <w:sz w:val="20"/>
                <w:szCs w:val="20"/>
                <w:color w:val="auto"/>
              </w:rPr>
            </w:pPr>
            <w:r>
              <w:rPr>
                <w:rFonts w:ascii="Arial" w:cs="Arial" w:eastAsia="Arial" w:hAnsi="Arial"/>
                <w:sz w:val="15"/>
                <w:szCs w:val="15"/>
                <w:color w:val="auto"/>
              </w:rPr>
              <w:t>Short-term investments</w:t>
            </w:r>
          </w:p>
        </w:tc>
        <w:tc>
          <w:tcPr>
            <w:tcW w:w="220" w:type="dxa"/>
            <w:vAlign w:val="bottom"/>
          </w:tcPr>
          <w:p>
            <w:pPr>
              <w:spacing w:after="0"/>
              <w:rPr>
                <w:sz w:val="18"/>
                <w:szCs w:val="18"/>
                <w:color w:val="auto"/>
              </w:rPr>
            </w:pPr>
          </w:p>
        </w:tc>
        <w:tc>
          <w:tcPr>
            <w:tcW w:w="1720" w:type="dxa"/>
            <w:vAlign w:val="bottom"/>
          </w:tcPr>
          <w:p>
            <w:pPr>
              <w:jc w:val="right"/>
              <w:ind w:right="44"/>
              <w:spacing w:after="0"/>
              <w:rPr>
                <w:sz w:val="20"/>
                <w:szCs w:val="20"/>
                <w:color w:val="auto"/>
              </w:rPr>
            </w:pPr>
            <w:r>
              <w:rPr>
                <w:rFonts w:ascii="Arial" w:cs="Arial" w:eastAsia="Arial" w:hAnsi="Arial"/>
                <w:sz w:val="15"/>
                <w:szCs w:val="15"/>
                <w:color w:val="auto"/>
              </w:rPr>
              <w:t>115,637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jc w:val="right"/>
              <w:ind w:right="24"/>
              <w:spacing w:after="0"/>
              <w:rPr>
                <w:sz w:val="20"/>
                <w:szCs w:val="20"/>
                <w:color w:val="auto"/>
              </w:rPr>
            </w:pPr>
            <w:r>
              <w:rPr>
                <w:rFonts w:ascii="Arial" w:cs="Arial" w:eastAsia="Arial" w:hAnsi="Arial"/>
                <w:sz w:val="15"/>
                <w:szCs w:val="15"/>
                <w:color w:val="auto"/>
              </w:rPr>
              <w:t>13,676</w:t>
            </w:r>
          </w:p>
        </w:tc>
        <w:tc>
          <w:tcPr>
            <w:tcW w:w="0" w:type="dxa"/>
            <w:vAlign w:val="bottom"/>
          </w:tcPr>
          <w:p>
            <w:pPr>
              <w:spacing w:after="0"/>
              <w:rPr>
                <w:sz w:val="1"/>
                <w:szCs w:val="1"/>
                <w:color w:val="auto"/>
              </w:rPr>
            </w:pPr>
          </w:p>
        </w:tc>
      </w:tr>
      <w:tr>
        <w:trPr>
          <w:trHeight w:val="32"/>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74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5"/>
                <w:szCs w:val="15"/>
                <w:color w:val="auto"/>
              </w:rPr>
              <w:t>Restricted cash</w:t>
            </w:r>
          </w:p>
        </w:tc>
        <w:tc>
          <w:tcPr>
            <w:tcW w:w="22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2,256</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70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1,872</w:t>
            </w:r>
          </w:p>
        </w:tc>
        <w:tc>
          <w:tcPr>
            <w:tcW w:w="0" w:type="dxa"/>
            <w:vAlign w:val="bottom"/>
          </w:tcPr>
          <w:p>
            <w:pPr>
              <w:spacing w:after="0"/>
              <w:rPr>
                <w:sz w:val="1"/>
                <w:szCs w:val="1"/>
                <w:color w:val="auto"/>
              </w:rPr>
            </w:pPr>
          </w:p>
        </w:tc>
      </w:tr>
      <w:tr>
        <w:trPr>
          <w:trHeight w:val="208"/>
        </w:trPr>
        <w:tc>
          <w:tcPr>
            <w:tcW w:w="7440" w:type="dxa"/>
            <w:vAlign w:val="bottom"/>
          </w:tcPr>
          <w:p>
            <w:pPr>
              <w:ind w:left="360"/>
              <w:spacing w:after="0"/>
              <w:rPr>
                <w:sz w:val="20"/>
                <w:szCs w:val="20"/>
                <w:color w:val="auto"/>
              </w:rPr>
            </w:pPr>
            <w:r>
              <w:rPr>
                <w:rFonts w:ascii="Arial" w:cs="Arial" w:eastAsia="Arial" w:hAnsi="Arial"/>
                <w:sz w:val="15"/>
                <w:szCs w:val="15"/>
                <w:color w:val="auto"/>
              </w:rPr>
              <w:t>Accounts receivable, net</w:t>
            </w:r>
          </w:p>
        </w:tc>
        <w:tc>
          <w:tcPr>
            <w:tcW w:w="220" w:type="dxa"/>
            <w:vAlign w:val="bottom"/>
          </w:tcPr>
          <w:p>
            <w:pPr>
              <w:spacing w:after="0"/>
              <w:rPr>
                <w:sz w:val="18"/>
                <w:szCs w:val="18"/>
                <w:color w:val="auto"/>
              </w:rPr>
            </w:pPr>
          </w:p>
        </w:tc>
        <w:tc>
          <w:tcPr>
            <w:tcW w:w="1720" w:type="dxa"/>
            <w:vAlign w:val="bottom"/>
          </w:tcPr>
          <w:p>
            <w:pPr>
              <w:jc w:val="right"/>
              <w:ind w:right="44"/>
              <w:spacing w:after="0"/>
              <w:rPr>
                <w:sz w:val="20"/>
                <w:szCs w:val="20"/>
                <w:color w:val="auto"/>
              </w:rPr>
            </w:pPr>
            <w:r>
              <w:rPr>
                <w:rFonts w:ascii="Arial" w:cs="Arial" w:eastAsia="Arial" w:hAnsi="Arial"/>
                <w:sz w:val="15"/>
                <w:szCs w:val="15"/>
                <w:color w:val="auto"/>
              </w:rPr>
              <w:t>109,086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jc w:val="right"/>
              <w:ind w:right="24"/>
              <w:spacing w:after="0"/>
              <w:rPr>
                <w:sz w:val="20"/>
                <w:szCs w:val="20"/>
                <w:color w:val="auto"/>
              </w:rPr>
            </w:pPr>
            <w:r>
              <w:rPr>
                <w:rFonts w:ascii="Arial" w:cs="Arial" w:eastAsia="Arial" w:hAnsi="Arial"/>
                <w:sz w:val="15"/>
                <w:szCs w:val="15"/>
                <w:color w:val="auto"/>
              </w:rPr>
              <w:t>92,650</w:t>
            </w:r>
          </w:p>
        </w:tc>
        <w:tc>
          <w:tcPr>
            <w:tcW w:w="0" w:type="dxa"/>
            <w:vAlign w:val="bottom"/>
          </w:tcPr>
          <w:p>
            <w:pPr>
              <w:spacing w:after="0"/>
              <w:rPr>
                <w:sz w:val="1"/>
                <w:szCs w:val="1"/>
                <w:color w:val="auto"/>
              </w:rPr>
            </w:pPr>
          </w:p>
        </w:tc>
      </w:tr>
      <w:tr>
        <w:trPr>
          <w:trHeight w:val="32"/>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74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5"/>
                <w:szCs w:val="15"/>
                <w:color w:val="auto"/>
              </w:rPr>
              <w:t>Prepaid expenses</w:t>
            </w:r>
          </w:p>
        </w:tc>
        <w:tc>
          <w:tcPr>
            <w:tcW w:w="22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6,802</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70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8,027</w:t>
            </w:r>
          </w:p>
        </w:tc>
        <w:tc>
          <w:tcPr>
            <w:tcW w:w="0" w:type="dxa"/>
            <w:vAlign w:val="bottom"/>
          </w:tcPr>
          <w:p>
            <w:pPr>
              <w:spacing w:after="0"/>
              <w:rPr>
                <w:sz w:val="1"/>
                <w:szCs w:val="1"/>
                <w:color w:val="auto"/>
              </w:rPr>
            </w:pPr>
          </w:p>
        </w:tc>
      </w:tr>
      <w:tr>
        <w:trPr>
          <w:trHeight w:val="208"/>
        </w:trPr>
        <w:tc>
          <w:tcPr>
            <w:tcW w:w="7440" w:type="dxa"/>
            <w:vAlign w:val="bottom"/>
          </w:tcPr>
          <w:p>
            <w:pPr>
              <w:ind w:left="360"/>
              <w:spacing w:after="0"/>
              <w:rPr>
                <w:sz w:val="20"/>
                <w:szCs w:val="20"/>
                <w:color w:val="auto"/>
              </w:rPr>
            </w:pPr>
            <w:r>
              <w:rPr>
                <w:rFonts w:ascii="Arial" w:cs="Arial" w:eastAsia="Arial" w:hAnsi="Arial"/>
                <w:sz w:val="15"/>
                <w:szCs w:val="15"/>
                <w:color w:val="auto"/>
              </w:rPr>
              <w:t>Advance income tax, net</w:t>
            </w:r>
          </w:p>
        </w:tc>
        <w:tc>
          <w:tcPr>
            <w:tcW w:w="220" w:type="dxa"/>
            <w:vAlign w:val="bottom"/>
          </w:tcPr>
          <w:p>
            <w:pPr>
              <w:spacing w:after="0"/>
              <w:rPr>
                <w:sz w:val="18"/>
                <w:szCs w:val="18"/>
                <w:color w:val="auto"/>
              </w:rPr>
            </w:pPr>
          </w:p>
        </w:tc>
        <w:tc>
          <w:tcPr>
            <w:tcW w:w="1720" w:type="dxa"/>
            <w:vAlign w:val="bottom"/>
          </w:tcPr>
          <w:p>
            <w:pPr>
              <w:jc w:val="right"/>
              <w:ind w:right="44"/>
              <w:spacing w:after="0"/>
              <w:rPr>
                <w:sz w:val="20"/>
                <w:szCs w:val="20"/>
                <w:color w:val="auto"/>
              </w:rPr>
            </w:pPr>
            <w:r>
              <w:rPr>
                <w:rFonts w:ascii="Arial" w:cs="Arial" w:eastAsia="Arial" w:hAnsi="Arial"/>
                <w:sz w:val="15"/>
                <w:szCs w:val="15"/>
                <w:color w:val="auto"/>
              </w:rPr>
              <w:t>7,110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jc w:val="right"/>
              <w:ind w:right="24"/>
              <w:spacing w:after="0"/>
              <w:rPr>
                <w:sz w:val="20"/>
                <w:szCs w:val="20"/>
                <w:color w:val="auto"/>
              </w:rPr>
            </w:pPr>
            <w:r>
              <w:rPr>
                <w:rFonts w:ascii="Arial" w:cs="Arial" w:eastAsia="Arial" w:hAnsi="Arial"/>
                <w:sz w:val="15"/>
                <w:szCs w:val="15"/>
                <w:color w:val="auto"/>
              </w:rPr>
              <w:t>2,432</w:t>
            </w:r>
          </w:p>
        </w:tc>
        <w:tc>
          <w:tcPr>
            <w:tcW w:w="0" w:type="dxa"/>
            <w:vAlign w:val="bottom"/>
          </w:tcPr>
          <w:p>
            <w:pPr>
              <w:spacing w:after="0"/>
              <w:rPr>
                <w:sz w:val="1"/>
                <w:szCs w:val="1"/>
                <w:color w:val="auto"/>
              </w:rPr>
            </w:pPr>
          </w:p>
        </w:tc>
      </w:tr>
      <w:tr>
        <w:trPr>
          <w:trHeight w:val="32"/>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74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5"/>
                <w:szCs w:val="15"/>
                <w:color w:val="auto"/>
              </w:rPr>
              <w:t>Other current assets</w:t>
            </w:r>
          </w:p>
        </w:tc>
        <w:tc>
          <w:tcPr>
            <w:tcW w:w="22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18,716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15,219</w:t>
            </w:r>
          </w:p>
        </w:tc>
        <w:tc>
          <w:tcPr>
            <w:tcW w:w="0" w:type="dxa"/>
            <w:vAlign w:val="bottom"/>
          </w:tcPr>
          <w:p>
            <w:pPr>
              <w:spacing w:after="0"/>
              <w:rPr>
                <w:sz w:val="1"/>
                <w:szCs w:val="1"/>
                <w:color w:val="auto"/>
              </w:rPr>
            </w:pPr>
          </w:p>
        </w:tc>
      </w:tr>
      <w:tr>
        <w:trPr>
          <w:trHeight w:val="201"/>
        </w:trPr>
        <w:tc>
          <w:tcPr>
            <w:tcW w:w="7440" w:type="dxa"/>
            <w:vAlign w:val="bottom"/>
          </w:tcPr>
          <w:p>
            <w:pPr>
              <w:ind w:left="20"/>
              <w:spacing w:after="0"/>
              <w:rPr>
                <w:sz w:val="20"/>
                <w:szCs w:val="20"/>
                <w:color w:val="auto"/>
              </w:rPr>
            </w:pPr>
            <w:r>
              <w:rPr>
                <w:rFonts w:ascii="Arial" w:cs="Arial" w:eastAsia="Arial" w:hAnsi="Arial"/>
                <w:sz w:val="15"/>
                <w:szCs w:val="15"/>
                <w:color w:val="auto"/>
              </w:rPr>
              <w:t>Total current assets</w:t>
            </w:r>
          </w:p>
        </w:tc>
        <w:tc>
          <w:tcPr>
            <w:tcW w:w="22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tcPr>
          <w:p>
            <w:pPr>
              <w:jc w:val="right"/>
              <w:ind w:right="44"/>
              <w:spacing w:after="0"/>
              <w:rPr>
                <w:sz w:val="20"/>
                <w:szCs w:val="20"/>
                <w:color w:val="auto"/>
              </w:rPr>
            </w:pPr>
            <w:r>
              <w:rPr>
                <w:rFonts w:ascii="Arial" w:cs="Arial" w:eastAsia="Arial" w:hAnsi="Arial"/>
                <w:sz w:val="15"/>
                <w:szCs w:val="15"/>
                <w:color w:val="auto"/>
              </w:rPr>
              <w:t>357,981</w:t>
            </w: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tcPr>
          <w:p>
            <w:pPr>
              <w:jc w:val="right"/>
              <w:ind w:right="24"/>
              <w:spacing w:after="0"/>
              <w:rPr>
                <w:sz w:val="20"/>
                <w:szCs w:val="20"/>
                <w:color w:val="auto"/>
              </w:rPr>
            </w:pPr>
            <w:r>
              <w:rPr>
                <w:rFonts w:ascii="Arial" w:cs="Arial" w:eastAsia="Arial" w:hAnsi="Arial"/>
                <w:sz w:val="15"/>
                <w:szCs w:val="15"/>
                <w:color w:val="auto"/>
              </w:rPr>
              <w:t>339,199</w:t>
            </w:r>
          </w:p>
        </w:tc>
        <w:tc>
          <w:tcPr>
            <w:tcW w:w="0" w:type="dxa"/>
            <w:vAlign w:val="bottom"/>
          </w:tcPr>
          <w:p>
            <w:pPr>
              <w:spacing w:after="0"/>
              <w:rPr>
                <w:sz w:val="1"/>
                <w:szCs w:val="1"/>
                <w:color w:val="auto"/>
              </w:rPr>
            </w:pPr>
          </w:p>
        </w:tc>
      </w:tr>
      <w:tr>
        <w:trPr>
          <w:trHeight w:val="32"/>
        </w:trPr>
        <w:tc>
          <w:tcPr>
            <w:tcW w:w="7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Fixed assets, net</w:t>
            </w:r>
          </w:p>
        </w:tc>
        <w:tc>
          <w:tcPr>
            <w:tcW w:w="220" w:type="dxa"/>
            <w:vAlign w:val="bottom"/>
            <w:tcBorders>
              <w:bottom w:val="single" w:sz="8" w:color="CCEEFF"/>
            </w:tcBorders>
            <w:shd w:val="clear" w:color="auto" w:fill="CCEEFF"/>
          </w:tcPr>
          <w:p>
            <w:pPr>
              <w:spacing w:after="0"/>
              <w:rPr>
                <w:sz w:val="18"/>
                <w:szCs w:val="18"/>
                <w:color w:val="auto"/>
              </w:rPr>
            </w:pPr>
          </w:p>
        </w:tc>
        <w:tc>
          <w:tcPr>
            <w:tcW w:w="172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49,006</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70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47,991</w:t>
            </w:r>
          </w:p>
        </w:tc>
        <w:tc>
          <w:tcPr>
            <w:tcW w:w="0" w:type="dxa"/>
            <w:vAlign w:val="bottom"/>
          </w:tcPr>
          <w:p>
            <w:pPr>
              <w:spacing w:after="0"/>
              <w:rPr>
                <w:sz w:val="1"/>
                <w:szCs w:val="1"/>
                <w:color w:val="auto"/>
              </w:rPr>
            </w:pPr>
          </w:p>
        </w:tc>
      </w:tr>
      <w:tr>
        <w:trPr>
          <w:trHeight w:val="208"/>
        </w:trPr>
        <w:tc>
          <w:tcPr>
            <w:tcW w:w="7440" w:type="dxa"/>
            <w:vAlign w:val="bottom"/>
          </w:tcPr>
          <w:p>
            <w:pPr>
              <w:ind w:left="20"/>
              <w:spacing w:after="0"/>
              <w:rPr>
                <w:sz w:val="20"/>
                <w:szCs w:val="20"/>
                <w:color w:val="auto"/>
              </w:rPr>
            </w:pPr>
            <w:r>
              <w:rPr>
                <w:rFonts w:ascii="Arial" w:cs="Arial" w:eastAsia="Arial" w:hAnsi="Arial"/>
                <w:sz w:val="15"/>
                <w:szCs w:val="15"/>
                <w:color w:val="auto"/>
              </w:rPr>
              <w:t>Restricted cash</w:t>
            </w:r>
          </w:p>
        </w:tc>
        <w:tc>
          <w:tcPr>
            <w:tcW w:w="220" w:type="dxa"/>
            <w:vAlign w:val="bottom"/>
          </w:tcPr>
          <w:p>
            <w:pPr>
              <w:spacing w:after="0"/>
              <w:rPr>
                <w:sz w:val="18"/>
                <w:szCs w:val="18"/>
                <w:color w:val="auto"/>
              </w:rPr>
            </w:pPr>
          </w:p>
        </w:tc>
        <w:tc>
          <w:tcPr>
            <w:tcW w:w="1720" w:type="dxa"/>
            <w:vAlign w:val="bottom"/>
          </w:tcPr>
          <w:p>
            <w:pPr>
              <w:jc w:val="right"/>
              <w:ind w:right="44"/>
              <w:spacing w:after="0"/>
              <w:rPr>
                <w:sz w:val="20"/>
                <w:szCs w:val="20"/>
                <w:color w:val="auto"/>
              </w:rPr>
            </w:pPr>
            <w:r>
              <w:rPr>
                <w:rFonts w:ascii="Arial" w:cs="Arial" w:eastAsia="Arial" w:hAnsi="Arial"/>
                <w:sz w:val="15"/>
                <w:szCs w:val="15"/>
                <w:color w:val="auto"/>
              </w:rPr>
              <w:t>3,380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jc w:val="right"/>
              <w:ind w:right="24"/>
              <w:spacing w:after="0"/>
              <w:rPr>
                <w:sz w:val="20"/>
                <w:szCs w:val="20"/>
                <w:color w:val="auto"/>
              </w:rPr>
            </w:pPr>
            <w:r>
              <w:rPr>
                <w:rFonts w:ascii="Arial" w:cs="Arial" w:eastAsia="Arial" w:hAnsi="Arial"/>
                <w:sz w:val="15"/>
                <w:szCs w:val="15"/>
                <w:color w:val="auto"/>
              </w:rPr>
              <w:t>3,319</w:t>
            </w:r>
          </w:p>
        </w:tc>
        <w:tc>
          <w:tcPr>
            <w:tcW w:w="0" w:type="dxa"/>
            <w:vAlign w:val="bottom"/>
          </w:tcPr>
          <w:p>
            <w:pPr>
              <w:spacing w:after="0"/>
              <w:rPr>
                <w:sz w:val="1"/>
                <w:szCs w:val="1"/>
                <w:color w:val="auto"/>
              </w:rPr>
            </w:pPr>
          </w:p>
        </w:tc>
      </w:tr>
      <w:tr>
        <w:trPr>
          <w:trHeight w:val="32"/>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Deferred tax assets, net</w:t>
            </w:r>
          </w:p>
        </w:tc>
        <w:tc>
          <w:tcPr>
            <w:tcW w:w="22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7,073</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70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13,749</w:t>
            </w:r>
          </w:p>
        </w:tc>
        <w:tc>
          <w:tcPr>
            <w:tcW w:w="0" w:type="dxa"/>
            <w:vAlign w:val="bottom"/>
          </w:tcPr>
          <w:p>
            <w:pPr>
              <w:spacing w:after="0"/>
              <w:rPr>
                <w:sz w:val="1"/>
                <w:szCs w:val="1"/>
                <w:color w:val="auto"/>
              </w:rPr>
            </w:pPr>
          </w:p>
        </w:tc>
      </w:tr>
      <w:tr>
        <w:trPr>
          <w:trHeight w:val="208"/>
        </w:trPr>
        <w:tc>
          <w:tcPr>
            <w:tcW w:w="7440" w:type="dxa"/>
            <w:vAlign w:val="bottom"/>
          </w:tcPr>
          <w:p>
            <w:pPr>
              <w:ind w:left="20"/>
              <w:spacing w:after="0"/>
              <w:rPr>
                <w:sz w:val="20"/>
                <w:szCs w:val="20"/>
                <w:color w:val="auto"/>
              </w:rPr>
            </w:pPr>
            <w:r>
              <w:rPr>
                <w:rFonts w:ascii="Arial" w:cs="Arial" w:eastAsia="Arial" w:hAnsi="Arial"/>
                <w:sz w:val="15"/>
                <w:szCs w:val="15"/>
                <w:color w:val="auto"/>
              </w:rPr>
              <w:t>Intangible assets, net</w:t>
            </w:r>
          </w:p>
        </w:tc>
        <w:tc>
          <w:tcPr>
            <w:tcW w:w="220" w:type="dxa"/>
            <w:vAlign w:val="bottom"/>
          </w:tcPr>
          <w:p>
            <w:pPr>
              <w:spacing w:after="0"/>
              <w:rPr>
                <w:sz w:val="18"/>
                <w:szCs w:val="18"/>
                <w:color w:val="auto"/>
              </w:rPr>
            </w:pPr>
          </w:p>
        </w:tc>
        <w:tc>
          <w:tcPr>
            <w:tcW w:w="1720" w:type="dxa"/>
            <w:vAlign w:val="bottom"/>
          </w:tcPr>
          <w:p>
            <w:pPr>
              <w:jc w:val="right"/>
              <w:ind w:right="44"/>
              <w:spacing w:after="0"/>
              <w:rPr>
                <w:sz w:val="20"/>
                <w:szCs w:val="20"/>
                <w:color w:val="auto"/>
              </w:rPr>
            </w:pPr>
            <w:r>
              <w:rPr>
                <w:rFonts w:ascii="Arial" w:cs="Arial" w:eastAsia="Arial" w:hAnsi="Arial"/>
                <w:sz w:val="15"/>
                <w:szCs w:val="15"/>
                <w:color w:val="auto"/>
              </w:rPr>
              <w:t>50,326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jc w:val="right"/>
              <w:ind w:right="24"/>
              <w:spacing w:after="0"/>
              <w:rPr>
                <w:sz w:val="20"/>
                <w:szCs w:val="20"/>
                <w:color w:val="auto"/>
              </w:rPr>
            </w:pPr>
            <w:r>
              <w:rPr>
                <w:rFonts w:ascii="Arial" w:cs="Arial" w:eastAsia="Arial" w:hAnsi="Arial"/>
                <w:sz w:val="15"/>
                <w:szCs w:val="15"/>
                <w:color w:val="auto"/>
              </w:rPr>
              <w:t>52,733</w:t>
            </w:r>
          </w:p>
        </w:tc>
        <w:tc>
          <w:tcPr>
            <w:tcW w:w="0" w:type="dxa"/>
            <w:vAlign w:val="bottom"/>
          </w:tcPr>
          <w:p>
            <w:pPr>
              <w:spacing w:after="0"/>
              <w:rPr>
                <w:sz w:val="1"/>
                <w:szCs w:val="1"/>
                <w:color w:val="auto"/>
              </w:rPr>
            </w:pPr>
          </w:p>
        </w:tc>
      </w:tr>
      <w:tr>
        <w:trPr>
          <w:trHeight w:val="32"/>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Goodwill</w:t>
            </w:r>
          </w:p>
        </w:tc>
        <w:tc>
          <w:tcPr>
            <w:tcW w:w="22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177,093</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70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171,535</w:t>
            </w:r>
          </w:p>
        </w:tc>
        <w:tc>
          <w:tcPr>
            <w:tcW w:w="0" w:type="dxa"/>
            <w:vAlign w:val="bottom"/>
          </w:tcPr>
          <w:p>
            <w:pPr>
              <w:spacing w:after="0"/>
              <w:rPr>
                <w:sz w:val="1"/>
                <w:szCs w:val="1"/>
                <w:color w:val="auto"/>
              </w:rPr>
            </w:pPr>
          </w:p>
        </w:tc>
      </w:tr>
      <w:tr>
        <w:trPr>
          <w:trHeight w:val="208"/>
        </w:trPr>
        <w:tc>
          <w:tcPr>
            <w:tcW w:w="7440" w:type="dxa"/>
            <w:vAlign w:val="bottom"/>
          </w:tcPr>
          <w:p>
            <w:pPr>
              <w:ind w:left="20"/>
              <w:spacing w:after="0"/>
              <w:rPr>
                <w:sz w:val="20"/>
                <w:szCs w:val="20"/>
                <w:color w:val="auto"/>
              </w:rPr>
            </w:pPr>
            <w:r>
              <w:rPr>
                <w:rFonts w:ascii="Arial" w:cs="Arial" w:eastAsia="Arial" w:hAnsi="Arial"/>
                <w:sz w:val="15"/>
                <w:szCs w:val="15"/>
                <w:color w:val="auto"/>
              </w:rPr>
              <w:t>Other assets</w:t>
            </w:r>
          </w:p>
        </w:tc>
        <w:tc>
          <w:tcPr>
            <w:tcW w:w="220" w:type="dxa"/>
            <w:vAlign w:val="bottom"/>
          </w:tcPr>
          <w:p>
            <w:pPr>
              <w:spacing w:after="0"/>
              <w:rPr>
                <w:sz w:val="18"/>
                <w:szCs w:val="18"/>
                <w:color w:val="auto"/>
              </w:rPr>
            </w:pPr>
          </w:p>
        </w:tc>
        <w:tc>
          <w:tcPr>
            <w:tcW w:w="1720" w:type="dxa"/>
            <w:vAlign w:val="bottom"/>
          </w:tcPr>
          <w:p>
            <w:pPr>
              <w:jc w:val="right"/>
              <w:ind w:right="44"/>
              <w:spacing w:after="0"/>
              <w:rPr>
                <w:sz w:val="20"/>
                <w:szCs w:val="20"/>
                <w:color w:val="auto"/>
              </w:rPr>
            </w:pPr>
            <w:r>
              <w:rPr>
                <w:rFonts w:ascii="Arial" w:cs="Arial" w:eastAsia="Arial" w:hAnsi="Arial"/>
                <w:sz w:val="15"/>
                <w:szCs w:val="15"/>
                <w:color w:val="auto"/>
              </w:rPr>
              <w:t>24,163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jc w:val="right"/>
              <w:ind w:right="24"/>
              <w:spacing w:after="0"/>
              <w:rPr>
                <w:sz w:val="20"/>
                <w:szCs w:val="20"/>
                <w:color w:val="auto"/>
              </w:rPr>
            </w:pPr>
            <w:r>
              <w:rPr>
                <w:rFonts w:ascii="Arial" w:cs="Arial" w:eastAsia="Arial" w:hAnsi="Arial"/>
                <w:sz w:val="15"/>
                <w:szCs w:val="15"/>
                <w:color w:val="auto"/>
              </w:rPr>
              <w:t>22,257</w:t>
            </w:r>
          </w:p>
        </w:tc>
        <w:tc>
          <w:tcPr>
            <w:tcW w:w="0" w:type="dxa"/>
            <w:vAlign w:val="bottom"/>
          </w:tcPr>
          <w:p>
            <w:pPr>
              <w:spacing w:after="0"/>
              <w:rPr>
                <w:sz w:val="1"/>
                <w:szCs w:val="1"/>
                <w:color w:val="auto"/>
              </w:rPr>
            </w:pPr>
          </w:p>
        </w:tc>
      </w:tr>
      <w:tr>
        <w:trPr>
          <w:trHeight w:val="32"/>
        </w:trPr>
        <w:tc>
          <w:tcPr>
            <w:tcW w:w="7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 assets</w:t>
            </w:r>
          </w:p>
        </w:tc>
        <w:tc>
          <w:tcPr>
            <w:tcW w:w="22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72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669,022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70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650,783</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5"/>
                <w:szCs w:val="15"/>
                <w:b w:val="1"/>
                <w:bCs w:val="1"/>
                <w:color w:val="auto"/>
              </w:rPr>
              <w:t>Liabilities and Equity</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74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7"/>
        </w:trPr>
        <w:tc>
          <w:tcPr>
            <w:tcW w:w="74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0"/>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Current liabilities:</w:t>
            </w:r>
          </w:p>
        </w:tc>
        <w:tc>
          <w:tcPr>
            <w:tcW w:w="22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7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7440" w:type="dxa"/>
            <w:vAlign w:val="bottom"/>
          </w:tcPr>
          <w:p>
            <w:pPr>
              <w:ind w:left="360"/>
              <w:spacing w:after="0"/>
              <w:rPr>
                <w:sz w:val="20"/>
                <w:szCs w:val="20"/>
                <w:color w:val="auto"/>
              </w:rPr>
            </w:pPr>
            <w:r>
              <w:rPr>
                <w:rFonts w:ascii="Arial" w:cs="Arial" w:eastAsia="Arial" w:hAnsi="Arial"/>
                <w:sz w:val="15"/>
                <w:szCs w:val="15"/>
                <w:color w:val="auto"/>
              </w:rPr>
              <w:t>Accounts payable</w:t>
            </w:r>
          </w:p>
        </w:tc>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1720" w:type="dxa"/>
            <w:vAlign w:val="bottom"/>
          </w:tcPr>
          <w:p>
            <w:pPr>
              <w:jc w:val="right"/>
              <w:ind w:right="44"/>
              <w:spacing w:after="0"/>
              <w:rPr>
                <w:sz w:val="20"/>
                <w:szCs w:val="20"/>
                <w:color w:val="auto"/>
              </w:rPr>
            </w:pPr>
            <w:r>
              <w:rPr>
                <w:rFonts w:ascii="Arial" w:cs="Arial" w:eastAsia="Arial" w:hAnsi="Arial"/>
                <w:sz w:val="15"/>
                <w:szCs w:val="15"/>
                <w:color w:val="auto"/>
              </w:rPr>
              <w:t>3,395</w:t>
            </w:r>
          </w:p>
        </w:tc>
        <w:tc>
          <w:tcPr>
            <w:tcW w:w="120" w:type="dxa"/>
            <w:vAlign w:val="bottom"/>
          </w:tcPr>
          <w:p>
            <w:pPr>
              <w:spacing w:after="0"/>
              <w:rPr>
                <w:sz w:val="18"/>
                <w:szCs w:val="18"/>
                <w:color w:val="auto"/>
              </w:rPr>
            </w:pPr>
          </w:p>
        </w:tc>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1700" w:type="dxa"/>
            <w:vAlign w:val="bottom"/>
          </w:tcPr>
          <w:p>
            <w:pPr>
              <w:jc w:val="right"/>
              <w:ind w:right="24"/>
              <w:spacing w:after="0"/>
              <w:rPr>
                <w:sz w:val="20"/>
                <w:szCs w:val="20"/>
                <w:color w:val="auto"/>
              </w:rPr>
            </w:pPr>
            <w:r>
              <w:rPr>
                <w:rFonts w:ascii="Arial" w:cs="Arial" w:eastAsia="Arial" w:hAnsi="Arial"/>
                <w:sz w:val="15"/>
                <w:szCs w:val="15"/>
                <w:color w:val="auto"/>
              </w:rPr>
              <w:t>6,401</w:t>
            </w:r>
          </w:p>
        </w:tc>
        <w:tc>
          <w:tcPr>
            <w:tcW w:w="0" w:type="dxa"/>
            <w:vAlign w:val="bottom"/>
          </w:tcPr>
          <w:p>
            <w:pPr>
              <w:spacing w:after="0"/>
              <w:rPr>
                <w:sz w:val="1"/>
                <w:szCs w:val="1"/>
                <w:color w:val="auto"/>
              </w:rPr>
            </w:pPr>
          </w:p>
        </w:tc>
      </w:tr>
      <w:tr>
        <w:trPr>
          <w:trHeight w:val="32"/>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74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5"/>
                <w:szCs w:val="15"/>
                <w:color w:val="auto"/>
              </w:rPr>
              <w:t>Short-term borrowings</w:t>
            </w:r>
          </w:p>
        </w:tc>
        <w:tc>
          <w:tcPr>
            <w:tcW w:w="22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5,000</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70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10,000</w:t>
            </w:r>
          </w:p>
        </w:tc>
        <w:tc>
          <w:tcPr>
            <w:tcW w:w="0" w:type="dxa"/>
            <w:vAlign w:val="bottom"/>
          </w:tcPr>
          <w:p>
            <w:pPr>
              <w:spacing w:after="0"/>
              <w:rPr>
                <w:sz w:val="1"/>
                <w:szCs w:val="1"/>
                <w:color w:val="auto"/>
              </w:rPr>
            </w:pPr>
          </w:p>
        </w:tc>
      </w:tr>
      <w:tr>
        <w:trPr>
          <w:trHeight w:val="208"/>
        </w:trPr>
        <w:tc>
          <w:tcPr>
            <w:tcW w:w="7440" w:type="dxa"/>
            <w:vAlign w:val="bottom"/>
          </w:tcPr>
          <w:p>
            <w:pPr>
              <w:ind w:left="360"/>
              <w:spacing w:after="0"/>
              <w:rPr>
                <w:sz w:val="20"/>
                <w:szCs w:val="20"/>
                <w:color w:val="auto"/>
              </w:rPr>
            </w:pPr>
            <w:r>
              <w:rPr>
                <w:rFonts w:ascii="Arial" w:cs="Arial" w:eastAsia="Arial" w:hAnsi="Arial"/>
                <w:sz w:val="15"/>
                <w:szCs w:val="15"/>
                <w:color w:val="auto"/>
              </w:rPr>
              <w:t>Deferred revenue</w:t>
            </w:r>
          </w:p>
        </w:tc>
        <w:tc>
          <w:tcPr>
            <w:tcW w:w="220" w:type="dxa"/>
            <w:vAlign w:val="bottom"/>
          </w:tcPr>
          <w:p>
            <w:pPr>
              <w:spacing w:after="0"/>
              <w:rPr>
                <w:sz w:val="18"/>
                <w:szCs w:val="18"/>
                <w:color w:val="auto"/>
              </w:rPr>
            </w:pPr>
          </w:p>
        </w:tc>
        <w:tc>
          <w:tcPr>
            <w:tcW w:w="1720" w:type="dxa"/>
            <w:vAlign w:val="bottom"/>
          </w:tcPr>
          <w:p>
            <w:pPr>
              <w:jc w:val="right"/>
              <w:ind w:right="44"/>
              <w:spacing w:after="0"/>
              <w:rPr>
                <w:sz w:val="20"/>
                <w:szCs w:val="20"/>
                <w:color w:val="auto"/>
              </w:rPr>
            </w:pPr>
            <w:r>
              <w:rPr>
                <w:rFonts w:ascii="Arial" w:cs="Arial" w:eastAsia="Arial" w:hAnsi="Arial"/>
                <w:sz w:val="15"/>
                <w:szCs w:val="15"/>
                <w:color w:val="auto"/>
              </w:rPr>
              <w:t>9,730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jc w:val="right"/>
              <w:ind w:right="24"/>
              <w:spacing w:after="0"/>
              <w:rPr>
                <w:sz w:val="20"/>
                <w:szCs w:val="20"/>
                <w:color w:val="auto"/>
              </w:rPr>
            </w:pPr>
            <w:r>
              <w:rPr>
                <w:rFonts w:ascii="Arial" w:cs="Arial" w:eastAsia="Arial" w:hAnsi="Arial"/>
                <w:sz w:val="15"/>
                <w:szCs w:val="15"/>
                <w:color w:val="auto"/>
              </w:rPr>
              <w:t>11,518</w:t>
            </w:r>
          </w:p>
        </w:tc>
        <w:tc>
          <w:tcPr>
            <w:tcW w:w="0" w:type="dxa"/>
            <w:vAlign w:val="bottom"/>
          </w:tcPr>
          <w:p>
            <w:pPr>
              <w:spacing w:after="0"/>
              <w:rPr>
                <w:sz w:val="1"/>
                <w:szCs w:val="1"/>
                <w:color w:val="auto"/>
              </w:rPr>
            </w:pPr>
          </w:p>
        </w:tc>
      </w:tr>
      <w:tr>
        <w:trPr>
          <w:trHeight w:val="32"/>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74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5"/>
                <w:szCs w:val="15"/>
                <w:color w:val="auto"/>
              </w:rPr>
              <w:t>Accrued employee cost</w:t>
            </w:r>
          </w:p>
        </w:tc>
        <w:tc>
          <w:tcPr>
            <w:tcW w:w="22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40,660</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70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44,526</w:t>
            </w:r>
          </w:p>
        </w:tc>
        <w:tc>
          <w:tcPr>
            <w:tcW w:w="0" w:type="dxa"/>
            <w:vAlign w:val="bottom"/>
          </w:tcPr>
          <w:p>
            <w:pPr>
              <w:spacing w:after="0"/>
              <w:rPr>
                <w:sz w:val="1"/>
                <w:szCs w:val="1"/>
                <w:color w:val="auto"/>
              </w:rPr>
            </w:pPr>
          </w:p>
        </w:tc>
      </w:tr>
      <w:tr>
        <w:trPr>
          <w:trHeight w:val="208"/>
        </w:trPr>
        <w:tc>
          <w:tcPr>
            <w:tcW w:w="7440" w:type="dxa"/>
            <w:vAlign w:val="bottom"/>
          </w:tcPr>
          <w:p>
            <w:pPr>
              <w:ind w:left="360"/>
              <w:spacing w:after="0"/>
              <w:rPr>
                <w:sz w:val="20"/>
                <w:szCs w:val="20"/>
                <w:color w:val="auto"/>
              </w:rPr>
            </w:pPr>
            <w:r>
              <w:rPr>
                <w:rFonts w:ascii="Arial" w:cs="Arial" w:eastAsia="Arial" w:hAnsi="Arial"/>
                <w:sz w:val="15"/>
                <w:szCs w:val="15"/>
                <w:color w:val="auto"/>
              </w:rPr>
              <w:t>Accrued expenses and other current liabilities</w:t>
            </w:r>
          </w:p>
        </w:tc>
        <w:tc>
          <w:tcPr>
            <w:tcW w:w="220" w:type="dxa"/>
            <w:vAlign w:val="bottom"/>
          </w:tcPr>
          <w:p>
            <w:pPr>
              <w:spacing w:after="0"/>
              <w:rPr>
                <w:sz w:val="18"/>
                <w:szCs w:val="18"/>
                <w:color w:val="auto"/>
              </w:rPr>
            </w:pPr>
          </w:p>
        </w:tc>
        <w:tc>
          <w:tcPr>
            <w:tcW w:w="1720" w:type="dxa"/>
            <w:vAlign w:val="bottom"/>
          </w:tcPr>
          <w:p>
            <w:pPr>
              <w:jc w:val="right"/>
              <w:ind w:right="44"/>
              <w:spacing w:after="0"/>
              <w:rPr>
                <w:sz w:val="20"/>
                <w:szCs w:val="20"/>
                <w:color w:val="auto"/>
              </w:rPr>
            </w:pPr>
            <w:r>
              <w:rPr>
                <w:rFonts w:ascii="Arial" w:cs="Arial" w:eastAsia="Arial" w:hAnsi="Arial"/>
                <w:sz w:val="15"/>
                <w:szCs w:val="15"/>
                <w:color w:val="auto"/>
              </w:rPr>
              <w:t>38,362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jc w:val="right"/>
              <w:ind w:right="24"/>
              <w:spacing w:after="0"/>
              <w:rPr>
                <w:sz w:val="20"/>
                <w:szCs w:val="20"/>
                <w:color w:val="auto"/>
              </w:rPr>
            </w:pPr>
            <w:r>
              <w:rPr>
                <w:rFonts w:ascii="Arial" w:cs="Arial" w:eastAsia="Arial" w:hAnsi="Arial"/>
                <w:sz w:val="15"/>
                <w:szCs w:val="15"/>
                <w:color w:val="auto"/>
              </w:rPr>
              <w:t>34,250</w:t>
            </w:r>
          </w:p>
        </w:tc>
        <w:tc>
          <w:tcPr>
            <w:tcW w:w="0" w:type="dxa"/>
            <w:vAlign w:val="bottom"/>
          </w:tcPr>
          <w:p>
            <w:pPr>
              <w:spacing w:after="0"/>
              <w:rPr>
                <w:sz w:val="1"/>
                <w:szCs w:val="1"/>
                <w:color w:val="auto"/>
              </w:rPr>
            </w:pPr>
          </w:p>
        </w:tc>
      </w:tr>
      <w:tr>
        <w:trPr>
          <w:trHeight w:val="32"/>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74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5"/>
                <w:szCs w:val="15"/>
                <w:color w:val="auto"/>
              </w:rPr>
              <w:t>Current portion of capital lease obligations</w:t>
            </w:r>
          </w:p>
        </w:tc>
        <w:tc>
          <w:tcPr>
            <w:tcW w:w="22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237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384</w:t>
            </w:r>
          </w:p>
        </w:tc>
        <w:tc>
          <w:tcPr>
            <w:tcW w:w="0" w:type="dxa"/>
            <w:vAlign w:val="bottom"/>
          </w:tcPr>
          <w:p>
            <w:pPr>
              <w:spacing w:after="0"/>
              <w:rPr>
                <w:sz w:val="1"/>
                <w:szCs w:val="1"/>
                <w:color w:val="auto"/>
              </w:rPr>
            </w:pPr>
          </w:p>
        </w:tc>
      </w:tr>
      <w:tr>
        <w:trPr>
          <w:trHeight w:val="201"/>
        </w:trPr>
        <w:tc>
          <w:tcPr>
            <w:tcW w:w="7440" w:type="dxa"/>
            <w:vAlign w:val="bottom"/>
          </w:tcPr>
          <w:p>
            <w:pPr>
              <w:ind w:left="20"/>
              <w:spacing w:after="0"/>
              <w:rPr>
                <w:sz w:val="20"/>
                <w:szCs w:val="20"/>
                <w:color w:val="auto"/>
              </w:rPr>
            </w:pPr>
            <w:r>
              <w:rPr>
                <w:rFonts w:ascii="Arial" w:cs="Arial" w:eastAsia="Arial" w:hAnsi="Arial"/>
                <w:sz w:val="15"/>
                <w:szCs w:val="15"/>
                <w:color w:val="auto"/>
              </w:rPr>
              <w:t>Total current liabilities</w:t>
            </w:r>
          </w:p>
        </w:tc>
        <w:tc>
          <w:tcPr>
            <w:tcW w:w="22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tcPr>
          <w:p>
            <w:pPr>
              <w:jc w:val="right"/>
              <w:ind w:right="44"/>
              <w:spacing w:after="0"/>
              <w:rPr>
                <w:sz w:val="20"/>
                <w:szCs w:val="20"/>
                <w:color w:val="auto"/>
              </w:rPr>
            </w:pPr>
            <w:r>
              <w:rPr>
                <w:rFonts w:ascii="Arial" w:cs="Arial" w:eastAsia="Arial" w:hAnsi="Arial"/>
                <w:sz w:val="15"/>
                <w:szCs w:val="15"/>
                <w:color w:val="auto"/>
              </w:rPr>
              <w:t>97,384</w:t>
            </w: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tcPr>
          <w:p>
            <w:pPr>
              <w:jc w:val="right"/>
              <w:ind w:right="24"/>
              <w:spacing w:after="0"/>
              <w:rPr>
                <w:sz w:val="20"/>
                <w:szCs w:val="20"/>
                <w:color w:val="auto"/>
              </w:rPr>
            </w:pPr>
            <w:r>
              <w:rPr>
                <w:rFonts w:ascii="Arial" w:cs="Arial" w:eastAsia="Arial" w:hAnsi="Arial"/>
                <w:sz w:val="15"/>
                <w:szCs w:val="15"/>
                <w:color w:val="auto"/>
              </w:rPr>
              <w:t>107,079</w:t>
            </w:r>
          </w:p>
        </w:tc>
        <w:tc>
          <w:tcPr>
            <w:tcW w:w="0" w:type="dxa"/>
            <w:vAlign w:val="bottom"/>
          </w:tcPr>
          <w:p>
            <w:pPr>
              <w:spacing w:after="0"/>
              <w:rPr>
                <w:sz w:val="1"/>
                <w:szCs w:val="1"/>
                <w:color w:val="auto"/>
              </w:rPr>
            </w:pPr>
          </w:p>
        </w:tc>
      </w:tr>
      <w:tr>
        <w:trPr>
          <w:trHeight w:val="32"/>
        </w:trPr>
        <w:tc>
          <w:tcPr>
            <w:tcW w:w="7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Long term borrowings</w:t>
            </w:r>
          </w:p>
        </w:tc>
        <w:tc>
          <w:tcPr>
            <w:tcW w:w="220" w:type="dxa"/>
            <w:vAlign w:val="bottom"/>
            <w:tcBorders>
              <w:bottom w:val="single" w:sz="8" w:color="CCEEFF"/>
            </w:tcBorders>
            <w:shd w:val="clear" w:color="auto" w:fill="CCEEFF"/>
          </w:tcPr>
          <w:p>
            <w:pPr>
              <w:spacing w:after="0"/>
              <w:rPr>
                <w:sz w:val="18"/>
                <w:szCs w:val="18"/>
                <w:color w:val="auto"/>
              </w:rPr>
            </w:pPr>
          </w:p>
        </w:tc>
        <w:tc>
          <w:tcPr>
            <w:tcW w:w="172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40,000</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70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60,000</w:t>
            </w:r>
          </w:p>
        </w:tc>
        <w:tc>
          <w:tcPr>
            <w:tcW w:w="0" w:type="dxa"/>
            <w:vAlign w:val="bottom"/>
          </w:tcPr>
          <w:p>
            <w:pPr>
              <w:spacing w:after="0"/>
              <w:rPr>
                <w:sz w:val="1"/>
                <w:szCs w:val="1"/>
                <w:color w:val="auto"/>
              </w:rPr>
            </w:pPr>
          </w:p>
        </w:tc>
      </w:tr>
      <w:tr>
        <w:trPr>
          <w:trHeight w:val="208"/>
        </w:trPr>
        <w:tc>
          <w:tcPr>
            <w:tcW w:w="7440" w:type="dxa"/>
            <w:vAlign w:val="bottom"/>
          </w:tcPr>
          <w:p>
            <w:pPr>
              <w:ind w:left="20"/>
              <w:spacing w:after="0"/>
              <w:rPr>
                <w:sz w:val="20"/>
                <w:szCs w:val="20"/>
                <w:color w:val="auto"/>
              </w:rPr>
            </w:pPr>
            <w:r>
              <w:rPr>
                <w:rFonts w:ascii="Arial" w:cs="Arial" w:eastAsia="Arial" w:hAnsi="Arial"/>
                <w:sz w:val="15"/>
                <w:szCs w:val="15"/>
                <w:color w:val="auto"/>
              </w:rPr>
              <w:t>Capital lease obligations, less current portion</w:t>
            </w:r>
          </w:p>
        </w:tc>
        <w:tc>
          <w:tcPr>
            <w:tcW w:w="220" w:type="dxa"/>
            <w:vAlign w:val="bottom"/>
          </w:tcPr>
          <w:p>
            <w:pPr>
              <w:spacing w:after="0"/>
              <w:rPr>
                <w:sz w:val="18"/>
                <w:szCs w:val="18"/>
                <w:color w:val="auto"/>
              </w:rPr>
            </w:pPr>
          </w:p>
        </w:tc>
        <w:tc>
          <w:tcPr>
            <w:tcW w:w="1720" w:type="dxa"/>
            <w:vAlign w:val="bottom"/>
          </w:tcPr>
          <w:p>
            <w:pPr>
              <w:jc w:val="right"/>
              <w:ind w:right="44"/>
              <w:spacing w:after="0"/>
              <w:rPr>
                <w:sz w:val="20"/>
                <w:szCs w:val="20"/>
                <w:color w:val="auto"/>
              </w:rPr>
            </w:pPr>
            <w:r>
              <w:rPr>
                <w:rFonts w:ascii="Arial" w:cs="Arial" w:eastAsia="Arial" w:hAnsi="Arial"/>
                <w:sz w:val="15"/>
                <w:szCs w:val="15"/>
                <w:color w:val="auto"/>
              </w:rPr>
              <w:t>214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jc w:val="right"/>
              <w:ind w:right="24"/>
              <w:spacing w:after="0"/>
              <w:rPr>
                <w:sz w:val="20"/>
                <w:szCs w:val="20"/>
                <w:color w:val="auto"/>
              </w:rPr>
            </w:pPr>
            <w:r>
              <w:rPr>
                <w:rFonts w:ascii="Arial" w:cs="Arial" w:eastAsia="Arial" w:hAnsi="Arial"/>
                <w:sz w:val="15"/>
                <w:szCs w:val="15"/>
                <w:color w:val="auto"/>
              </w:rPr>
              <w:t>278</w:t>
            </w:r>
          </w:p>
        </w:tc>
        <w:tc>
          <w:tcPr>
            <w:tcW w:w="0" w:type="dxa"/>
            <w:vAlign w:val="bottom"/>
          </w:tcPr>
          <w:p>
            <w:pPr>
              <w:spacing w:after="0"/>
              <w:rPr>
                <w:sz w:val="1"/>
                <w:szCs w:val="1"/>
                <w:color w:val="auto"/>
              </w:rPr>
            </w:pPr>
          </w:p>
        </w:tc>
      </w:tr>
      <w:tr>
        <w:trPr>
          <w:trHeight w:val="32"/>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Non-current liabilities</w:t>
            </w:r>
          </w:p>
        </w:tc>
        <w:tc>
          <w:tcPr>
            <w:tcW w:w="22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13,205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17,655</w:t>
            </w:r>
          </w:p>
        </w:tc>
        <w:tc>
          <w:tcPr>
            <w:tcW w:w="0" w:type="dxa"/>
            <w:vAlign w:val="bottom"/>
          </w:tcPr>
          <w:p>
            <w:pPr>
              <w:spacing w:after="0"/>
              <w:rPr>
                <w:sz w:val="1"/>
                <w:szCs w:val="1"/>
                <w:color w:val="auto"/>
              </w:rPr>
            </w:pPr>
          </w:p>
        </w:tc>
      </w:tr>
      <w:tr>
        <w:trPr>
          <w:trHeight w:val="201"/>
        </w:trPr>
        <w:tc>
          <w:tcPr>
            <w:tcW w:w="7440" w:type="dxa"/>
            <w:vAlign w:val="bottom"/>
          </w:tcPr>
          <w:p>
            <w:pPr>
              <w:ind w:left="20"/>
              <w:spacing w:after="0"/>
              <w:rPr>
                <w:sz w:val="20"/>
                <w:szCs w:val="20"/>
                <w:color w:val="auto"/>
              </w:rPr>
            </w:pPr>
            <w:r>
              <w:rPr>
                <w:rFonts w:ascii="Arial" w:cs="Arial" w:eastAsia="Arial" w:hAnsi="Arial"/>
                <w:sz w:val="15"/>
                <w:szCs w:val="15"/>
                <w:color w:val="auto"/>
              </w:rPr>
              <w:t>Total liabilities</w:t>
            </w:r>
          </w:p>
        </w:tc>
        <w:tc>
          <w:tcPr>
            <w:tcW w:w="22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tcPr>
          <w:p>
            <w:pPr>
              <w:jc w:val="right"/>
              <w:ind w:right="44"/>
              <w:spacing w:after="0"/>
              <w:rPr>
                <w:sz w:val="20"/>
                <w:szCs w:val="20"/>
                <w:color w:val="auto"/>
              </w:rPr>
            </w:pPr>
            <w:r>
              <w:rPr>
                <w:rFonts w:ascii="Arial" w:cs="Arial" w:eastAsia="Arial" w:hAnsi="Arial"/>
                <w:sz w:val="15"/>
                <w:szCs w:val="15"/>
                <w:color w:val="auto"/>
              </w:rPr>
              <w:t>150,803</w:t>
            </w: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tcPr>
          <w:p>
            <w:pPr>
              <w:jc w:val="right"/>
              <w:ind w:right="24"/>
              <w:spacing w:after="0"/>
              <w:rPr>
                <w:sz w:val="20"/>
                <w:szCs w:val="20"/>
                <w:color w:val="auto"/>
              </w:rPr>
            </w:pPr>
            <w:r>
              <w:rPr>
                <w:rFonts w:ascii="Arial" w:cs="Arial" w:eastAsia="Arial" w:hAnsi="Arial"/>
                <w:sz w:val="15"/>
                <w:szCs w:val="15"/>
                <w:color w:val="auto"/>
              </w:rPr>
              <w:t>185,012</w:t>
            </w:r>
          </w:p>
        </w:tc>
        <w:tc>
          <w:tcPr>
            <w:tcW w:w="0" w:type="dxa"/>
            <w:vAlign w:val="bottom"/>
          </w:tcPr>
          <w:p>
            <w:pPr>
              <w:spacing w:after="0"/>
              <w:rPr>
                <w:sz w:val="1"/>
                <w:szCs w:val="1"/>
                <w:color w:val="auto"/>
              </w:rPr>
            </w:pPr>
          </w:p>
        </w:tc>
      </w:tr>
      <w:tr>
        <w:trPr>
          <w:trHeight w:val="32"/>
        </w:trPr>
        <w:tc>
          <w:tcPr>
            <w:tcW w:w="7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Commitments and contingencies (See Note 16)</w:t>
            </w:r>
          </w:p>
        </w:tc>
        <w:tc>
          <w:tcPr>
            <w:tcW w:w="220" w:type="dxa"/>
            <w:vAlign w:val="bottom"/>
            <w:tcBorders>
              <w:bottom w:val="single" w:sz="8" w:color="CCEEFF"/>
            </w:tcBorders>
            <w:shd w:val="clear" w:color="auto" w:fill="CCEEFF"/>
          </w:tcPr>
          <w:p>
            <w:pPr>
              <w:spacing w:after="0"/>
              <w:rPr>
                <w:sz w:val="18"/>
                <w:szCs w:val="18"/>
                <w:color w:val="auto"/>
              </w:rPr>
            </w:pPr>
          </w:p>
        </w:tc>
        <w:tc>
          <w:tcPr>
            <w:tcW w:w="17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7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440" w:type="dxa"/>
            <w:vAlign w:val="bottom"/>
          </w:tcPr>
          <w:p>
            <w:pPr>
              <w:ind w:left="20"/>
              <w:spacing w:after="0"/>
              <w:rPr>
                <w:sz w:val="20"/>
                <w:szCs w:val="20"/>
                <w:color w:val="auto"/>
              </w:rPr>
            </w:pPr>
            <w:r>
              <w:rPr>
                <w:rFonts w:ascii="Arial" w:cs="Arial" w:eastAsia="Arial" w:hAnsi="Arial"/>
                <w:sz w:val="15"/>
                <w:szCs w:val="15"/>
                <w:color w:val="auto"/>
              </w:rPr>
              <w:t>Preferred stock, $0.001 par value; 15,000,000 shares authorized, none issued</w:t>
            </w:r>
          </w:p>
        </w:tc>
        <w:tc>
          <w:tcPr>
            <w:tcW w:w="220" w:type="dxa"/>
            <w:vAlign w:val="bottom"/>
          </w:tcPr>
          <w:p>
            <w:pPr>
              <w:spacing w:after="0"/>
              <w:rPr>
                <w:sz w:val="18"/>
                <w:szCs w:val="18"/>
                <w:color w:val="auto"/>
              </w:rPr>
            </w:pPr>
          </w:p>
        </w:tc>
        <w:tc>
          <w:tcPr>
            <w:tcW w:w="18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170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32"/>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74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5"/>
                <w:szCs w:val="15"/>
                <w:color w:val="auto"/>
              </w:rPr>
              <w:t>Stockholders’ equity:</w:t>
            </w:r>
          </w:p>
        </w:tc>
        <w:tc>
          <w:tcPr>
            <w:tcW w:w="22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7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7440" w:type="dxa"/>
            <w:vAlign w:val="bottom"/>
          </w:tcPr>
          <w:p>
            <w:pPr>
              <w:ind w:left="360"/>
              <w:spacing w:after="0"/>
              <w:rPr>
                <w:sz w:val="20"/>
                <w:szCs w:val="20"/>
                <w:color w:val="auto"/>
              </w:rPr>
            </w:pPr>
            <w:r>
              <w:rPr>
                <w:rFonts w:ascii="Arial" w:cs="Arial" w:eastAsia="Arial" w:hAnsi="Arial"/>
                <w:sz w:val="15"/>
                <w:szCs w:val="15"/>
                <w:color w:val="auto"/>
                <w:w w:val="91"/>
              </w:rPr>
              <w:t>Common stock, $0.001 par value; 100,000,000 shares authorized, 35,532,329 shares issued and 33,523,371 shares</w:t>
            </w:r>
          </w:p>
        </w:tc>
        <w:tc>
          <w:tcPr>
            <w:tcW w:w="2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7440" w:type="dxa"/>
            <w:vAlign w:val="bottom"/>
          </w:tcPr>
          <w:p>
            <w:pPr>
              <w:ind w:left="360"/>
              <w:spacing w:after="0"/>
              <w:rPr>
                <w:sz w:val="20"/>
                <w:szCs w:val="20"/>
                <w:color w:val="auto"/>
              </w:rPr>
            </w:pPr>
            <w:r>
              <w:rPr>
                <w:rFonts w:ascii="Arial" w:cs="Arial" w:eastAsia="Arial" w:hAnsi="Arial"/>
                <w:sz w:val="15"/>
                <w:szCs w:val="15"/>
                <w:color w:val="auto"/>
                <w:w w:val="95"/>
              </w:rPr>
              <w:t>outstanding as of September 30, 2016 and 34,781,201 shares issued and 33,091,223 shares outstanding as of</w:t>
            </w:r>
          </w:p>
        </w:tc>
        <w:tc>
          <w:tcPr>
            <w:tcW w:w="2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440" w:type="dxa"/>
            <w:vAlign w:val="bottom"/>
          </w:tcPr>
          <w:p>
            <w:pPr>
              <w:ind w:left="360"/>
              <w:spacing w:after="0"/>
              <w:rPr>
                <w:sz w:val="20"/>
                <w:szCs w:val="20"/>
                <w:color w:val="auto"/>
              </w:rPr>
            </w:pPr>
            <w:r>
              <w:rPr>
                <w:rFonts w:ascii="Arial" w:cs="Arial" w:eastAsia="Arial" w:hAnsi="Arial"/>
                <w:sz w:val="15"/>
                <w:szCs w:val="15"/>
                <w:color w:val="auto"/>
              </w:rPr>
              <w:t>December 31, 2015</w:t>
            </w:r>
          </w:p>
        </w:tc>
        <w:tc>
          <w:tcPr>
            <w:tcW w:w="220" w:type="dxa"/>
            <w:vAlign w:val="bottom"/>
          </w:tcPr>
          <w:p>
            <w:pPr>
              <w:spacing w:after="0"/>
              <w:rPr>
                <w:sz w:val="16"/>
                <w:szCs w:val="16"/>
                <w:color w:val="auto"/>
              </w:rPr>
            </w:pPr>
          </w:p>
        </w:tc>
        <w:tc>
          <w:tcPr>
            <w:tcW w:w="1720" w:type="dxa"/>
            <w:vAlign w:val="bottom"/>
          </w:tcPr>
          <w:p>
            <w:pPr>
              <w:jc w:val="right"/>
              <w:ind w:right="44"/>
              <w:spacing w:after="0"/>
              <w:rPr>
                <w:sz w:val="20"/>
                <w:szCs w:val="20"/>
                <w:color w:val="auto"/>
              </w:rPr>
            </w:pPr>
            <w:r>
              <w:rPr>
                <w:rFonts w:ascii="Arial" w:cs="Arial" w:eastAsia="Arial" w:hAnsi="Arial"/>
                <w:sz w:val="15"/>
                <w:szCs w:val="15"/>
                <w:color w:val="auto"/>
              </w:rPr>
              <w:t>36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tcPr>
          <w:p>
            <w:pPr>
              <w:jc w:val="right"/>
              <w:ind w:right="24"/>
              <w:spacing w:after="0"/>
              <w:rPr>
                <w:sz w:val="20"/>
                <w:szCs w:val="20"/>
                <w:color w:val="auto"/>
              </w:rPr>
            </w:pPr>
            <w:r>
              <w:rPr>
                <w:rFonts w:ascii="Arial" w:cs="Arial" w:eastAsia="Arial" w:hAnsi="Arial"/>
                <w:sz w:val="15"/>
                <w:szCs w:val="15"/>
                <w:color w:val="auto"/>
              </w:rPr>
              <w:t>35</w:t>
            </w:r>
          </w:p>
        </w:tc>
        <w:tc>
          <w:tcPr>
            <w:tcW w:w="0" w:type="dxa"/>
            <w:vAlign w:val="bottom"/>
          </w:tcPr>
          <w:p>
            <w:pPr>
              <w:spacing w:after="0"/>
              <w:rPr>
                <w:sz w:val="1"/>
                <w:szCs w:val="1"/>
                <w:color w:val="auto"/>
              </w:rPr>
            </w:pPr>
          </w:p>
        </w:tc>
      </w:tr>
      <w:tr>
        <w:trPr>
          <w:trHeight w:val="32"/>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74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5"/>
                <w:szCs w:val="15"/>
                <w:color w:val="auto"/>
              </w:rPr>
              <w:t>Additional paid-in-capital</w:t>
            </w:r>
          </w:p>
        </w:tc>
        <w:tc>
          <w:tcPr>
            <w:tcW w:w="22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275,020</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70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254,052</w:t>
            </w:r>
          </w:p>
        </w:tc>
        <w:tc>
          <w:tcPr>
            <w:tcW w:w="0" w:type="dxa"/>
            <w:vAlign w:val="bottom"/>
          </w:tcPr>
          <w:p>
            <w:pPr>
              <w:spacing w:after="0"/>
              <w:rPr>
                <w:sz w:val="1"/>
                <w:szCs w:val="1"/>
                <w:color w:val="auto"/>
              </w:rPr>
            </w:pPr>
          </w:p>
        </w:tc>
      </w:tr>
      <w:tr>
        <w:trPr>
          <w:trHeight w:val="208"/>
        </w:trPr>
        <w:tc>
          <w:tcPr>
            <w:tcW w:w="7440" w:type="dxa"/>
            <w:vAlign w:val="bottom"/>
          </w:tcPr>
          <w:p>
            <w:pPr>
              <w:ind w:left="360"/>
              <w:spacing w:after="0"/>
              <w:rPr>
                <w:sz w:val="20"/>
                <w:szCs w:val="20"/>
                <w:color w:val="auto"/>
              </w:rPr>
            </w:pPr>
            <w:r>
              <w:rPr>
                <w:rFonts w:ascii="Arial" w:cs="Arial" w:eastAsia="Arial" w:hAnsi="Arial"/>
                <w:sz w:val="15"/>
                <w:szCs w:val="15"/>
                <w:color w:val="auto"/>
              </w:rPr>
              <w:t>Retained earnings</w:t>
            </w:r>
          </w:p>
        </w:tc>
        <w:tc>
          <w:tcPr>
            <w:tcW w:w="220" w:type="dxa"/>
            <w:vAlign w:val="bottom"/>
          </w:tcPr>
          <w:p>
            <w:pPr>
              <w:spacing w:after="0"/>
              <w:rPr>
                <w:sz w:val="18"/>
                <w:szCs w:val="18"/>
                <w:color w:val="auto"/>
              </w:rPr>
            </w:pPr>
          </w:p>
        </w:tc>
        <w:tc>
          <w:tcPr>
            <w:tcW w:w="1720" w:type="dxa"/>
            <w:vAlign w:val="bottom"/>
          </w:tcPr>
          <w:p>
            <w:pPr>
              <w:jc w:val="right"/>
              <w:ind w:right="44"/>
              <w:spacing w:after="0"/>
              <w:rPr>
                <w:sz w:val="20"/>
                <w:szCs w:val="20"/>
                <w:color w:val="auto"/>
              </w:rPr>
            </w:pPr>
            <w:r>
              <w:rPr>
                <w:rFonts w:ascii="Arial" w:cs="Arial" w:eastAsia="Arial" w:hAnsi="Arial"/>
                <w:sz w:val="15"/>
                <w:szCs w:val="15"/>
                <w:color w:val="auto"/>
              </w:rPr>
              <w:t>367,234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jc w:val="right"/>
              <w:ind w:right="24"/>
              <w:spacing w:after="0"/>
              <w:rPr>
                <w:sz w:val="20"/>
                <w:szCs w:val="20"/>
                <w:color w:val="auto"/>
              </w:rPr>
            </w:pPr>
            <w:r>
              <w:rPr>
                <w:rFonts w:ascii="Arial" w:cs="Arial" w:eastAsia="Arial" w:hAnsi="Arial"/>
                <w:sz w:val="15"/>
                <w:szCs w:val="15"/>
                <w:color w:val="auto"/>
              </w:rPr>
              <w:t>320,989</w:t>
            </w:r>
          </w:p>
        </w:tc>
        <w:tc>
          <w:tcPr>
            <w:tcW w:w="0" w:type="dxa"/>
            <w:vAlign w:val="bottom"/>
          </w:tcPr>
          <w:p>
            <w:pPr>
              <w:spacing w:after="0"/>
              <w:rPr>
                <w:sz w:val="1"/>
                <w:szCs w:val="1"/>
                <w:color w:val="auto"/>
              </w:rPr>
            </w:pPr>
          </w:p>
        </w:tc>
      </w:tr>
      <w:tr>
        <w:trPr>
          <w:trHeight w:val="32"/>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74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5"/>
                <w:szCs w:val="15"/>
                <w:color w:val="auto"/>
              </w:rPr>
              <w:t>Accumulated other comprehensive loss</w:t>
            </w:r>
          </w:p>
        </w:tc>
        <w:tc>
          <w:tcPr>
            <w:tcW w:w="22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(66,924)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(67,325)</w:t>
            </w:r>
          </w:p>
        </w:tc>
        <w:tc>
          <w:tcPr>
            <w:tcW w:w="0" w:type="dxa"/>
            <w:vAlign w:val="bottom"/>
          </w:tcPr>
          <w:p>
            <w:pPr>
              <w:spacing w:after="0"/>
              <w:rPr>
                <w:sz w:val="1"/>
                <w:szCs w:val="1"/>
                <w:color w:val="auto"/>
              </w:rPr>
            </w:pPr>
          </w:p>
        </w:tc>
      </w:tr>
      <w:tr>
        <w:trPr>
          <w:trHeight w:val="201"/>
        </w:trPr>
        <w:tc>
          <w:tcPr>
            <w:tcW w:w="7440" w:type="dxa"/>
            <w:vAlign w:val="bottom"/>
          </w:tcPr>
          <w:p>
            <w:pPr>
              <w:ind w:left="20"/>
              <w:spacing w:after="0"/>
              <w:rPr>
                <w:sz w:val="20"/>
                <w:szCs w:val="20"/>
                <w:color w:val="auto"/>
              </w:rPr>
            </w:pPr>
            <w:r>
              <w:rPr>
                <w:rFonts w:ascii="Arial" w:cs="Arial" w:eastAsia="Arial" w:hAnsi="Arial"/>
                <w:sz w:val="15"/>
                <w:szCs w:val="15"/>
                <w:color w:val="auto"/>
              </w:rPr>
              <w:t>Total including shares held in treasury</w:t>
            </w:r>
          </w:p>
        </w:tc>
        <w:tc>
          <w:tcPr>
            <w:tcW w:w="22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tcPr>
          <w:p>
            <w:pPr>
              <w:jc w:val="right"/>
              <w:ind w:right="44"/>
              <w:spacing w:after="0"/>
              <w:rPr>
                <w:sz w:val="20"/>
                <w:szCs w:val="20"/>
                <w:color w:val="auto"/>
              </w:rPr>
            </w:pPr>
            <w:r>
              <w:rPr>
                <w:rFonts w:ascii="Arial" w:cs="Arial" w:eastAsia="Arial" w:hAnsi="Arial"/>
                <w:sz w:val="15"/>
                <w:szCs w:val="15"/>
                <w:color w:val="auto"/>
              </w:rPr>
              <w:t>575,366</w:t>
            </w: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tcPr>
          <w:p>
            <w:pPr>
              <w:jc w:val="right"/>
              <w:ind w:right="24"/>
              <w:spacing w:after="0"/>
              <w:rPr>
                <w:sz w:val="20"/>
                <w:szCs w:val="20"/>
                <w:color w:val="auto"/>
              </w:rPr>
            </w:pPr>
            <w:r>
              <w:rPr>
                <w:rFonts w:ascii="Arial" w:cs="Arial" w:eastAsia="Arial" w:hAnsi="Arial"/>
                <w:sz w:val="15"/>
                <w:szCs w:val="15"/>
                <w:color w:val="auto"/>
              </w:rPr>
              <w:t>507,751</w:t>
            </w:r>
          </w:p>
        </w:tc>
        <w:tc>
          <w:tcPr>
            <w:tcW w:w="0" w:type="dxa"/>
            <w:vAlign w:val="bottom"/>
          </w:tcPr>
          <w:p>
            <w:pPr>
              <w:spacing w:after="0"/>
              <w:rPr>
                <w:sz w:val="1"/>
                <w:szCs w:val="1"/>
                <w:color w:val="auto"/>
              </w:rPr>
            </w:pPr>
          </w:p>
        </w:tc>
      </w:tr>
      <w:tr>
        <w:trPr>
          <w:trHeight w:val="32"/>
        </w:trPr>
        <w:tc>
          <w:tcPr>
            <w:tcW w:w="7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w w:val="90"/>
              </w:rPr>
              <w:t>Less: 2,008,958 shares as of September 30, 2016 and 1,689,978 shares as of December 31, 2015, held in treasury, at cost</w:t>
            </w:r>
          </w:p>
        </w:tc>
        <w:tc>
          <w:tcPr>
            <w:tcW w:w="22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(57,328)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(42,159)</w:t>
            </w:r>
          </w:p>
        </w:tc>
        <w:tc>
          <w:tcPr>
            <w:tcW w:w="0" w:type="dxa"/>
            <w:vAlign w:val="bottom"/>
          </w:tcPr>
          <w:p>
            <w:pPr>
              <w:spacing w:after="0"/>
              <w:rPr>
                <w:sz w:val="1"/>
                <w:szCs w:val="1"/>
                <w:color w:val="auto"/>
              </w:rPr>
            </w:pPr>
          </w:p>
        </w:tc>
      </w:tr>
      <w:tr>
        <w:trPr>
          <w:trHeight w:val="201"/>
        </w:trPr>
        <w:tc>
          <w:tcPr>
            <w:tcW w:w="7440" w:type="dxa"/>
            <w:vAlign w:val="bottom"/>
          </w:tcPr>
          <w:p>
            <w:pPr>
              <w:ind w:left="20"/>
              <w:spacing w:after="0"/>
              <w:rPr>
                <w:sz w:val="20"/>
                <w:szCs w:val="20"/>
                <w:color w:val="auto"/>
              </w:rPr>
            </w:pPr>
            <w:r>
              <w:rPr>
                <w:rFonts w:ascii="Arial" w:cs="Arial" w:eastAsia="Arial" w:hAnsi="Arial"/>
                <w:sz w:val="15"/>
                <w:szCs w:val="15"/>
                <w:color w:val="auto"/>
              </w:rPr>
              <w:t>ExlService Holdings, Inc. stockholders’ equity</w:t>
            </w:r>
          </w:p>
        </w:tc>
        <w:tc>
          <w:tcPr>
            <w:tcW w:w="220" w:type="dxa"/>
            <w:vAlign w:val="bottom"/>
            <w:tcBorders>
              <w:top w:val="single" w:sz="8" w:color="auto"/>
            </w:tcBorders>
          </w:tcPr>
          <w:p>
            <w:pPr>
              <w:jc w:val="right"/>
              <w:ind w:right="44"/>
              <w:spacing w:after="0"/>
              <w:rPr>
                <w:sz w:val="20"/>
                <w:szCs w:val="20"/>
                <w:color w:val="auto"/>
              </w:rPr>
            </w:pPr>
            <w:r>
              <w:rPr>
                <w:rFonts w:ascii="Arial" w:cs="Arial" w:eastAsia="Arial" w:hAnsi="Arial"/>
                <w:sz w:val="15"/>
                <w:szCs w:val="15"/>
                <w:color w:val="auto"/>
                <w:w w:val="95"/>
              </w:rPr>
              <w:t>$</w:t>
            </w:r>
          </w:p>
        </w:tc>
        <w:tc>
          <w:tcPr>
            <w:tcW w:w="1720" w:type="dxa"/>
            <w:vAlign w:val="bottom"/>
            <w:tcBorders>
              <w:top w:val="single" w:sz="8" w:color="auto"/>
            </w:tcBorders>
          </w:tcPr>
          <w:p>
            <w:pPr>
              <w:jc w:val="right"/>
              <w:ind w:right="44"/>
              <w:spacing w:after="0"/>
              <w:rPr>
                <w:sz w:val="20"/>
                <w:szCs w:val="20"/>
                <w:color w:val="auto"/>
              </w:rPr>
            </w:pPr>
            <w:r>
              <w:rPr>
                <w:rFonts w:ascii="Arial" w:cs="Arial" w:eastAsia="Arial" w:hAnsi="Arial"/>
                <w:sz w:val="15"/>
                <w:szCs w:val="15"/>
                <w:color w:val="auto"/>
              </w:rPr>
              <w:t>518,038</w:t>
            </w:r>
          </w:p>
        </w:tc>
        <w:tc>
          <w:tcPr>
            <w:tcW w:w="120" w:type="dxa"/>
            <w:vAlign w:val="bottom"/>
          </w:tcPr>
          <w:p>
            <w:pPr>
              <w:spacing w:after="0"/>
              <w:rPr>
                <w:sz w:val="17"/>
                <w:szCs w:val="17"/>
                <w:color w:val="auto"/>
              </w:rPr>
            </w:pPr>
          </w:p>
        </w:tc>
        <w:tc>
          <w:tcPr>
            <w:tcW w:w="220" w:type="dxa"/>
            <w:vAlign w:val="bottom"/>
            <w:tcBorders>
              <w:top w:val="single" w:sz="8" w:color="auto"/>
            </w:tcBorders>
          </w:tcPr>
          <w:p>
            <w:pPr>
              <w:jc w:val="right"/>
              <w:ind w:right="44"/>
              <w:spacing w:after="0"/>
              <w:rPr>
                <w:sz w:val="20"/>
                <w:szCs w:val="20"/>
                <w:color w:val="auto"/>
              </w:rPr>
            </w:pPr>
            <w:r>
              <w:rPr>
                <w:rFonts w:ascii="Arial" w:cs="Arial" w:eastAsia="Arial" w:hAnsi="Arial"/>
                <w:sz w:val="15"/>
                <w:szCs w:val="15"/>
                <w:color w:val="auto"/>
                <w:w w:val="95"/>
              </w:rPr>
              <w:t>$</w:t>
            </w:r>
          </w:p>
        </w:tc>
        <w:tc>
          <w:tcPr>
            <w:tcW w:w="1700" w:type="dxa"/>
            <w:vAlign w:val="bottom"/>
            <w:tcBorders>
              <w:top w:val="single" w:sz="8" w:color="auto"/>
            </w:tcBorders>
          </w:tcPr>
          <w:p>
            <w:pPr>
              <w:jc w:val="right"/>
              <w:ind w:right="24"/>
              <w:spacing w:after="0"/>
              <w:rPr>
                <w:sz w:val="20"/>
                <w:szCs w:val="20"/>
                <w:color w:val="auto"/>
              </w:rPr>
            </w:pPr>
            <w:r>
              <w:rPr>
                <w:rFonts w:ascii="Arial" w:cs="Arial" w:eastAsia="Arial" w:hAnsi="Arial"/>
                <w:sz w:val="15"/>
                <w:szCs w:val="15"/>
                <w:color w:val="auto"/>
              </w:rPr>
              <w:t>465,592</w:t>
            </w:r>
          </w:p>
        </w:tc>
        <w:tc>
          <w:tcPr>
            <w:tcW w:w="0" w:type="dxa"/>
            <w:vAlign w:val="bottom"/>
          </w:tcPr>
          <w:p>
            <w:pPr>
              <w:spacing w:after="0"/>
              <w:rPr>
                <w:sz w:val="1"/>
                <w:szCs w:val="1"/>
                <w:color w:val="auto"/>
              </w:rPr>
            </w:pPr>
          </w:p>
        </w:tc>
      </w:tr>
      <w:tr>
        <w:trPr>
          <w:trHeight w:val="32"/>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Non-controlling interest</w:t>
            </w:r>
          </w:p>
        </w:tc>
        <w:tc>
          <w:tcPr>
            <w:tcW w:w="22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181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179</w:t>
            </w:r>
          </w:p>
        </w:tc>
        <w:tc>
          <w:tcPr>
            <w:tcW w:w="0" w:type="dxa"/>
            <w:vAlign w:val="bottom"/>
          </w:tcPr>
          <w:p>
            <w:pPr>
              <w:spacing w:after="0"/>
              <w:rPr>
                <w:sz w:val="1"/>
                <w:szCs w:val="1"/>
                <w:color w:val="auto"/>
              </w:rPr>
            </w:pPr>
          </w:p>
        </w:tc>
      </w:tr>
      <w:tr>
        <w:trPr>
          <w:trHeight w:val="201"/>
        </w:trPr>
        <w:tc>
          <w:tcPr>
            <w:tcW w:w="7440" w:type="dxa"/>
            <w:vAlign w:val="bottom"/>
          </w:tcPr>
          <w:p>
            <w:pPr>
              <w:ind w:left="20"/>
              <w:spacing w:after="0"/>
              <w:rPr>
                <w:sz w:val="20"/>
                <w:szCs w:val="20"/>
                <w:color w:val="auto"/>
              </w:rPr>
            </w:pPr>
            <w:r>
              <w:rPr>
                <w:rFonts w:ascii="Arial" w:cs="Arial" w:eastAsia="Arial" w:hAnsi="Arial"/>
                <w:sz w:val="15"/>
                <w:szCs w:val="15"/>
                <w:color w:val="auto"/>
              </w:rPr>
              <w:t>Total equity</w:t>
            </w:r>
          </w:p>
        </w:tc>
        <w:tc>
          <w:tcPr>
            <w:tcW w:w="220" w:type="dxa"/>
            <w:vAlign w:val="bottom"/>
            <w:tcBorders>
              <w:top w:val="single" w:sz="8" w:color="auto"/>
            </w:tcBorders>
          </w:tcPr>
          <w:p>
            <w:pPr>
              <w:jc w:val="right"/>
              <w:ind w:right="44"/>
              <w:spacing w:after="0"/>
              <w:rPr>
                <w:sz w:val="20"/>
                <w:szCs w:val="20"/>
                <w:color w:val="auto"/>
              </w:rPr>
            </w:pPr>
            <w:r>
              <w:rPr>
                <w:rFonts w:ascii="Arial" w:cs="Arial" w:eastAsia="Arial" w:hAnsi="Arial"/>
                <w:sz w:val="15"/>
                <w:szCs w:val="15"/>
                <w:color w:val="auto"/>
                <w:w w:val="95"/>
              </w:rPr>
              <w:t>$</w:t>
            </w:r>
          </w:p>
        </w:tc>
        <w:tc>
          <w:tcPr>
            <w:tcW w:w="1720" w:type="dxa"/>
            <w:vAlign w:val="bottom"/>
            <w:tcBorders>
              <w:top w:val="single" w:sz="8" w:color="auto"/>
            </w:tcBorders>
          </w:tcPr>
          <w:p>
            <w:pPr>
              <w:jc w:val="right"/>
              <w:ind w:right="44"/>
              <w:spacing w:after="0"/>
              <w:rPr>
                <w:sz w:val="20"/>
                <w:szCs w:val="20"/>
                <w:color w:val="auto"/>
              </w:rPr>
            </w:pPr>
            <w:r>
              <w:rPr>
                <w:rFonts w:ascii="Arial" w:cs="Arial" w:eastAsia="Arial" w:hAnsi="Arial"/>
                <w:sz w:val="15"/>
                <w:szCs w:val="15"/>
                <w:color w:val="auto"/>
              </w:rPr>
              <w:t>518,219</w:t>
            </w:r>
          </w:p>
        </w:tc>
        <w:tc>
          <w:tcPr>
            <w:tcW w:w="120" w:type="dxa"/>
            <w:vAlign w:val="bottom"/>
          </w:tcPr>
          <w:p>
            <w:pPr>
              <w:spacing w:after="0"/>
              <w:rPr>
                <w:sz w:val="17"/>
                <w:szCs w:val="17"/>
                <w:color w:val="auto"/>
              </w:rPr>
            </w:pPr>
          </w:p>
        </w:tc>
        <w:tc>
          <w:tcPr>
            <w:tcW w:w="220" w:type="dxa"/>
            <w:vAlign w:val="bottom"/>
            <w:tcBorders>
              <w:top w:val="single" w:sz="8" w:color="auto"/>
            </w:tcBorders>
          </w:tcPr>
          <w:p>
            <w:pPr>
              <w:jc w:val="right"/>
              <w:ind w:right="44"/>
              <w:spacing w:after="0"/>
              <w:rPr>
                <w:sz w:val="20"/>
                <w:szCs w:val="20"/>
                <w:color w:val="auto"/>
              </w:rPr>
            </w:pPr>
            <w:r>
              <w:rPr>
                <w:rFonts w:ascii="Arial" w:cs="Arial" w:eastAsia="Arial" w:hAnsi="Arial"/>
                <w:sz w:val="15"/>
                <w:szCs w:val="15"/>
                <w:color w:val="auto"/>
                <w:w w:val="95"/>
              </w:rPr>
              <w:t>$</w:t>
            </w:r>
          </w:p>
        </w:tc>
        <w:tc>
          <w:tcPr>
            <w:tcW w:w="1700" w:type="dxa"/>
            <w:vAlign w:val="bottom"/>
            <w:tcBorders>
              <w:top w:val="single" w:sz="8" w:color="auto"/>
            </w:tcBorders>
          </w:tcPr>
          <w:p>
            <w:pPr>
              <w:jc w:val="right"/>
              <w:ind w:right="24"/>
              <w:spacing w:after="0"/>
              <w:rPr>
                <w:sz w:val="20"/>
                <w:szCs w:val="20"/>
                <w:color w:val="auto"/>
              </w:rPr>
            </w:pPr>
            <w:r>
              <w:rPr>
                <w:rFonts w:ascii="Arial" w:cs="Arial" w:eastAsia="Arial" w:hAnsi="Arial"/>
                <w:sz w:val="15"/>
                <w:szCs w:val="15"/>
                <w:color w:val="auto"/>
              </w:rPr>
              <w:t>465,771</w:t>
            </w:r>
          </w:p>
        </w:tc>
        <w:tc>
          <w:tcPr>
            <w:tcW w:w="0" w:type="dxa"/>
            <w:vAlign w:val="bottom"/>
          </w:tcPr>
          <w:p>
            <w:pPr>
              <w:spacing w:after="0"/>
              <w:rPr>
                <w:sz w:val="1"/>
                <w:szCs w:val="1"/>
                <w:color w:val="auto"/>
              </w:rPr>
            </w:pPr>
          </w:p>
        </w:tc>
      </w:tr>
      <w:tr>
        <w:trPr>
          <w:trHeight w:val="32"/>
        </w:trPr>
        <w:tc>
          <w:tcPr>
            <w:tcW w:w="7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 liabilities and equity</w:t>
            </w:r>
          </w:p>
        </w:tc>
        <w:tc>
          <w:tcPr>
            <w:tcW w:w="2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7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669,022</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7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650,783</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center"/>
        <w:spacing w:after="0"/>
        <w:rPr>
          <w:sz w:val="20"/>
          <w:szCs w:val="20"/>
          <w:color w:val="auto"/>
        </w:rPr>
      </w:pPr>
      <w:r>
        <w:rPr>
          <w:rFonts w:ascii="Arial" w:cs="Arial" w:eastAsia="Arial" w:hAnsi="Arial"/>
          <w:sz w:val="17"/>
          <w:szCs w:val="17"/>
          <w:i w:val="1"/>
          <w:iCs w:val="1"/>
          <w:color w:val="auto"/>
        </w:rPr>
        <w:t>See accompanying notes.</w:t>
      </w:r>
    </w:p>
    <w:p>
      <w:pPr>
        <w:sectPr>
          <w:pgSz w:w="11900" w:h="16838" w:orient="portrait"/>
          <w:cols w:equalWidth="0" w:num="1">
            <w:col w:w="11420"/>
          </w:cols>
          <w:pgMar w:left="240" w:top="325" w:right="239" w:bottom="1440" w:gutter="0" w:footer="0" w:header="0"/>
        </w:sect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40" w:top="325" w:right="239" w:bottom="1440" w:gutter="0" w:footer="0" w:header="0"/>
          <w:type w:val="continuous"/>
        </w:sectPr>
      </w:pPr>
    </w:p>
    <w:bookmarkStart w:id="3" w:name="page4"/>
    <w:bookmarkEnd w:id="3"/>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234" w:lineRule="exact"/>
        <w:rPr>
          <w:sz w:val="20"/>
          <w:szCs w:val="20"/>
          <w:color w:val="auto"/>
        </w:rPr>
      </w:pPr>
    </w:p>
    <w:p>
      <w:pPr>
        <w:ind w:left="4480"/>
        <w:spacing w:after="0"/>
        <w:rPr>
          <w:sz w:val="20"/>
          <w:szCs w:val="20"/>
          <w:color w:val="auto"/>
        </w:rPr>
      </w:pPr>
      <w:r>
        <w:rPr>
          <w:rFonts w:ascii="Arial" w:cs="Arial" w:eastAsia="Arial" w:hAnsi="Arial"/>
          <w:sz w:val="17"/>
          <w:szCs w:val="17"/>
          <w:b w:val="1"/>
          <w:bCs w:val="1"/>
          <w:color w:val="auto"/>
        </w:rPr>
        <w:t>EXLSERVICE HOLDINGS, INC.</w:t>
      </w:r>
    </w:p>
    <w:p>
      <w:pPr>
        <w:spacing w:after="0" w:line="108" w:lineRule="exact"/>
        <w:rPr>
          <w:sz w:val="20"/>
          <w:szCs w:val="20"/>
          <w:color w:val="auto"/>
        </w:rPr>
      </w:pPr>
    </w:p>
    <w:p>
      <w:pPr>
        <w:ind w:left="3400"/>
        <w:spacing w:after="0"/>
        <w:rPr>
          <w:sz w:val="20"/>
          <w:szCs w:val="20"/>
          <w:color w:val="auto"/>
        </w:rPr>
      </w:pPr>
      <w:r>
        <w:rPr>
          <w:rFonts w:ascii="Arial" w:cs="Arial" w:eastAsia="Arial" w:hAnsi="Arial"/>
          <w:sz w:val="17"/>
          <w:szCs w:val="17"/>
          <w:b w:val="1"/>
          <w:bCs w:val="1"/>
          <w:color w:val="auto"/>
        </w:rPr>
        <w:t>UNAUDITED CONSOLIDATED STATEMENTS OF INCOME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380" w:type="dxa"/>
            <w:vAlign w:val="bottom"/>
            <w:gridSpan w:val="5"/>
          </w:tcPr>
          <w:p>
            <w:pPr>
              <w:ind w:left="200"/>
              <w:spacing w:after="0"/>
              <w:rPr>
                <w:sz w:val="20"/>
                <w:szCs w:val="20"/>
                <w:color w:val="auto"/>
              </w:rPr>
            </w:pPr>
            <w:r>
              <w:rPr>
                <w:rFonts w:ascii="Arial" w:cs="Arial" w:eastAsia="Arial" w:hAnsi="Arial"/>
                <w:sz w:val="17"/>
                <w:szCs w:val="17"/>
                <w:b w:val="1"/>
                <w:bCs w:val="1"/>
                <w:color w:val="auto"/>
              </w:rPr>
              <w:t>Three months ended September 30,</w:t>
            </w:r>
          </w:p>
        </w:tc>
        <w:tc>
          <w:tcPr>
            <w:tcW w:w="300" w:type="dxa"/>
            <w:vAlign w:val="bottom"/>
          </w:tcPr>
          <w:p>
            <w:pPr>
              <w:spacing w:after="0"/>
              <w:rPr>
                <w:sz w:val="18"/>
                <w:szCs w:val="18"/>
                <w:color w:val="auto"/>
              </w:rPr>
            </w:pPr>
          </w:p>
        </w:tc>
        <w:tc>
          <w:tcPr>
            <w:tcW w:w="3160" w:type="dxa"/>
            <w:vAlign w:val="bottom"/>
            <w:gridSpan w:val="4"/>
          </w:tcPr>
          <w:p>
            <w:pPr>
              <w:jc w:val="right"/>
              <w:ind w:right="396"/>
              <w:spacing w:after="0"/>
              <w:rPr>
                <w:sz w:val="20"/>
                <w:szCs w:val="20"/>
                <w:color w:val="auto"/>
              </w:rPr>
            </w:pPr>
            <w:r>
              <w:rPr>
                <w:rFonts w:ascii="Arial" w:cs="Arial" w:eastAsia="Arial" w:hAnsi="Arial"/>
                <w:sz w:val="17"/>
                <w:szCs w:val="17"/>
                <w:b w:val="1"/>
                <w:bCs w:val="1"/>
                <w:color w:val="auto"/>
                <w:w w:val="95"/>
              </w:rPr>
              <w:t>Nine months ended September 30,</w:t>
            </w:r>
          </w:p>
        </w:tc>
      </w:tr>
      <w:tr>
        <w:trPr>
          <w:trHeight w:val="26"/>
        </w:trPr>
        <w:tc>
          <w:tcPr>
            <w:tcW w:w="42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0"/>
        </w:trPr>
        <w:tc>
          <w:tcPr>
            <w:tcW w:w="4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80" w:type="dxa"/>
            <w:vAlign w:val="bottom"/>
          </w:tcPr>
          <w:p>
            <w:pPr>
              <w:jc w:val="right"/>
              <w:ind w:right="636"/>
              <w:spacing w:after="0"/>
              <w:rPr>
                <w:sz w:val="20"/>
                <w:szCs w:val="20"/>
                <w:color w:val="auto"/>
              </w:rPr>
            </w:pPr>
            <w:r>
              <w:rPr>
                <w:rFonts w:ascii="Arial" w:cs="Arial" w:eastAsia="Arial" w:hAnsi="Arial"/>
                <w:sz w:val="17"/>
                <w:szCs w:val="17"/>
                <w:b w:val="1"/>
                <w:bCs w:val="1"/>
                <w:color w:val="auto"/>
              </w:rPr>
              <w:t>2016</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556"/>
              <w:spacing w:after="0"/>
              <w:rPr>
                <w:sz w:val="20"/>
                <w:szCs w:val="20"/>
                <w:color w:val="auto"/>
              </w:rPr>
            </w:pPr>
            <w:r>
              <w:rPr>
                <w:rFonts w:ascii="Arial" w:cs="Arial" w:eastAsia="Arial" w:hAnsi="Arial"/>
                <w:sz w:val="17"/>
                <w:szCs w:val="17"/>
                <w:b w:val="1"/>
                <w:bCs w:val="1"/>
                <w:color w:val="auto"/>
              </w:rPr>
              <w:t>2015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ind w:right="536"/>
              <w:spacing w:after="0"/>
              <w:rPr>
                <w:sz w:val="20"/>
                <w:szCs w:val="20"/>
                <w:color w:val="auto"/>
              </w:rPr>
            </w:pPr>
            <w:r>
              <w:rPr>
                <w:rFonts w:ascii="Arial" w:cs="Arial" w:eastAsia="Arial" w:hAnsi="Arial"/>
                <w:sz w:val="17"/>
                <w:szCs w:val="17"/>
                <w:b w:val="1"/>
                <w:bCs w:val="1"/>
                <w:color w:val="auto"/>
              </w:rPr>
              <w:t>2016</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ind w:right="596"/>
              <w:spacing w:after="0"/>
              <w:rPr>
                <w:sz w:val="20"/>
                <w:szCs w:val="20"/>
                <w:color w:val="auto"/>
              </w:rPr>
            </w:pPr>
            <w:r>
              <w:rPr>
                <w:rFonts w:ascii="Arial" w:cs="Arial" w:eastAsia="Arial" w:hAnsi="Arial"/>
                <w:sz w:val="17"/>
                <w:szCs w:val="17"/>
                <w:b w:val="1"/>
                <w:bCs w:val="1"/>
                <w:color w:val="auto"/>
              </w:rPr>
              <w:t>2015</w:t>
            </w:r>
          </w:p>
        </w:tc>
      </w:tr>
      <w:tr>
        <w:trPr>
          <w:trHeight w:val="26"/>
        </w:trPr>
        <w:tc>
          <w:tcPr>
            <w:tcW w:w="42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5"/>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Revenues, net</w:t>
            </w:r>
          </w:p>
        </w:tc>
        <w:tc>
          <w:tcPr>
            <w:tcW w:w="3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171,200</w:t>
            </w:r>
          </w:p>
        </w:tc>
        <w:tc>
          <w:tcPr>
            <w:tcW w:w="1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163,503</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508,714</w:t>
            </w:r>
          </w:p>
        </w:tc>
        <w:tc>
          <w:tcPr>
            <w:tcW w:w="1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462,634</w:t>
            </w:r>
          </w:p>
        </w:tc>
      </w:tr>
      <w:tr>
        <w:trPr>
          <w:trHeight w:val="227"/>
        </w:trPr>
        <w:tc>
          <w:tcPr>
            <w:tcW w:w="4260" w:type="dxa"/>
            <w:vAlign w:val="bottom"/>
          </w:tcPr>
          <w:p>
            <w:pPr>
              <w:ind w:left="20"/>
              <w:spacing w:after="0"/>
              <w:rPr>
                <w:sz w:val="20"/>
                <w:szCs w:val="20"/>
                <w:color w:val="auto"/>
              </w:rPr>
            </w:pPr>
            <w:r>
              <w:rPr>
                <w:rFonts w:ascii="Arial" w:cs="Arial" w:eastAsia="Arial" w:hAnsi="Arial"/>
                <w:sz w:val="17"/>
                <w:szCs w:val="17"/>
                <w:color w:val="auto"/>
                <w:w w:val="91"/>
              </w:rPr>
              <w:t>Cost of revenues (exclusive of depreciation and amortization)</w:t>
            </w:r>
          </w:p>
        </w:tc>
        <w:tc>
          <w:tcPr>
            <w:tcW w:w="320" w:type="dxa"/>
            <w:vAlign w:val="bottom"/>
          </w:tcPr>
          <w:p>
            <w:pPr>
              <w:spacing w:after="0"/>
              <w:rPr>
                <w:sz w:val="19"/>
                <w:szCs w:val="19"/>
                <w:color w:val="auto"/>
              </w:rPr>
            </w:pPr>
          </w:p>
        </w:tc>
        <w:tc>
          <w:tcPr>
            <w:tcW w:w="1480" w:type="dxa"/>
            <w:vAlign w:val="bottom"/>
          </w:tcPr>
          <w:p>
            <w:pPr>
              <w:jc w:val="right"/>
              <w:ind w:right="16"/>
              <w:spacing w:after="0"/>
              <w:rPr>
                <w:sz w:val="20"/>
                <w:szCs w:val="20"/>
                <w:color w:val="auto"/>
              </w:rPr>
            </w:pPr>
            <w:r>
              <w:rPr>
                <w:rFonts w:ascii="Arial" w:cs="Arial" w:eastAsia="Arial" w:hAnsi="Arial"/>
                <w:sz w:val="17"/>
                <w:szCs w:val="17"/>
                <w:color w:val="auto"/>
              </w:rPr>
              <w:t>111,767</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36"/>
              <w:spacing w:after="0"/>
              <w:rPr>
                <w:sz w:val="20"/>
                <w:szCs w:val="20"/>
                <w:color w:val="auto"/>
              </w:rPr>
            </w:pPr>
            <w:r>
              <w:rPr>
                <w:rFonts w:ascii="Arial" w:cs="Arial" w:eastAsia="Arial" w:hAnsi="Arial"/>
                <w:sz w:val="17"/>
                <w:szCs w:val="17"/>
                <w:color w:val="auto"/>
              </w:rPr>
              <w:t>103,198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ind w:right="16"/>
              <w:spacing w:after="0"/>
              <w:rPr>
                <w:sz w:val="20"/>
                <w:szCs w:val="20"/>
                <w:color w:val="auto"/>
              </w:rPr>
            </w:pPr>
            <w:r>
              <w:rPr>
                <w:rFonts w:ascii="Arial" w:cs="Arial" w:eastAsia="Arial" w:hAnsi="Arial"/>
                <w:sz w:val="17"/>
                <w:szCs w:val="17"/>
                <w:color w:val="auto"/>
              </w:rPr>
              <w:t>332,172</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ind w:right="16"/>
              <w:spacing w:after="0"/>
              <w:rPr>
                <w:sz w:val="20"/>
                <w:szCs w:val="20"/>
                <w:color w:val="auto"/>
              </w:rPr>
            </w:pPr>
            <w:r>
              <w:rPr>
                <w:rFonts w:ascii="Arial" w:cs="Arial" w:eastAsia="Arial" w:hAnsi="Arial"/>
                <w:sz w:val="17"/>
                <w:szCs w:val="17"/>
                <w:color w:val="auto"/>
              </w:rPr>
              <w:t>296,801</w:t>
            </w:r>
          </w:p>
        </w:tc>
      </w:tr>
      <w:tr>
        <w:trPr>
          <w:trHeight w:val="26"/>
        </w:trPr>
        <w:tc>
          <w:tcPr>
            <w:tcW w:w="42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5"/>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3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59,433</w:t>
            </w:r>
          </w:p>
        </w:tc>
        <w:tc>
          <w:tcPr>
            <w:tcW w:w="1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60,305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176,542</w:t>
            </w:r>
          </w:p>
        </w:tc>
        <w:tc>
          <w:tcPr>
            <w:tcW w:w="1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165,833</w:t>
            </w:r>
          </w:p>
        </w:tc>
      </w:tr>
      <w:tr>
        <w:trPr>
          <w:trHeight w:val="220"/>
        </w:trPr>
        <w:tc>
          <w:tcPr>
            <w:tcW w:w="4260" w:type="dxa"/>
            <w:vAlign w:val="bottom"/>
          </w:tcPr>
          <w:p>
            <w:pPr>
              <w:ind w:left="20"/>
              <w:spacing w:after="0"/>
              <w:rPr>
                <w:sz w:val="20"/>
                <w:szCs w:val="20"/>
                <w:color w:val="auto"/>
              </w:rPr>
            </w:pPr>
            <w:r>
              <w:rPr>
                <w:rFonts w:ascii="Arial" w:cs="Arial" w:eastAsia="Arial" w:hAnsi="Arial"/>
                <w:sz w:val="17"/>
                <w:szCs w:val="17"/>
                <w:color w:val="auto"/>
              </w:rPr>
              <w:t>Operating expenses:</w:t>
            </w:r>
          </w:p>
        </w:tc>
        <w:tc>
          <w:tcPr>
            <w:tcW w:w="32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r>
      <w:tr>
        <w:trPr>
          <w:trHeight w:val="26"/>
        </w:trPr>
        <w:tc>
          <w:tcPr>
            <w:tcW w:w="4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3"/>
        </w:trPr>
        <w:tc>
          <w:tcPr>
            <w:tcW w:w="42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General and administrative expenses</w:t>
            </w:r>
          </w:p>
        </w:tc>
        <w:tc>
          <w:tcPr>
            <w:tcW w:w="3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21,854</w:t>
            </w:r>
          </w:p>
        </w:tc>
        <w:tc>
          <w:tcPr>
            <w:tcW w:w="1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18,817</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63,620</w:t>
            </w:r>
          </w:p>
        </w:tc>
        <w:tc>
          <w:tcPr>
            <w:tcW w:w="1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57,428</w:t>
            </w:r>
          </w:p>
        </w:tc>
      </w:tr>
      <w:tr>
        <w:trPr>
          <w:trHeight w:val="227"/>
        </w:trPr>
        <w:tc>
          <w:tcPr>
            <w:tcW w:w="4260" w:type="dxa"/>
            <w:vAlign w:val="bottom"/>
          </w:tcPr>
          <w:p>
            <w:pPr>
              <w:ind w:left="260"/>
              <w:spacing w:after="0"/>
              <w:rPr>
                <w:sz w:val="20"/>
                <w:szCs w:val="20"/>
                <w:color w:val="auto"/>
              </w:rPr>
            </w:pPr>
            <w:r>
              <w:rPr>
                <w:rFonts w:ascii="Arial" w:cs="Arial" w:eastAsia="Arial" w:hAnsi="Arial"/>
                <w:sz w:val="17"/>
                <w:szCs w:val="17"/>
                <w:color w:val="auto"/>
              </w:rPr>
              <w:t>Selling and marketing expenses</w:t>
            </w:r>
          </w:p>
        </w:tc>
        <w:tc>
          <w:tcPr>
            <w:tcW w:w="320" w:type="dxa"/>
            <w:vAlign w:val="bottom"/>
          </w:tcPr>
          <w:p>
            <w:pPr>
              <w:spacing w:after="0"/>
              <w:rPr>
                <w:sz w:val="19"/>
                <w:szCs w:val="19"/>
                <w:color w:val="auto"/>
              </w:rPr>
            </w:pPr>
          </w:p>
        </w:tc>
        <w:tc>
          <w:tcPr>
            <w:tcW w:w="1480" w:type="dxa"/>
            <w:vAlign w:val="bottom"/>
          </w:tcPr>
          <w:p>
            <w:pPr>
              <w:jc w:val="right"/>
              <w:ind w:right="16"/>
              <w:spacing w:after="0"/>
              <w:rPr>
                <w:sz w:val="20"/>
                <w:szCs w:val="20"/>
                <w:color w:val="auto"/>
              </w:rPr>
            </w:pPr>
            <w:r>
              <w:rPr>
                <w:rFonts w:ascii="Arial" w:cs="Arial" w:eastAsia="Arial" w:hAnsi="Arial"/>
                <w:sz w:val="17"/>
                <w:szCs w:val="17"/>
                <w:color w:val="auto"/>
              </w:rPr>
              <w:t>11,623</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36"/>
              <w:spacing w:after="0"/>
              <w:rPr>
                <w:sz w:val="20"/>
                <w:szCs w:val="20"/>
                <w:color w:val="auto"/>
              </w:rPr>
            </w:pPr>
            <w:r>
              <w:rPr>
                <w:rFonts w:ascii="Arial" w:cs="Arial" w:eastAsia="Arial" w:hAnsi="Arial"/>
                <w:sz w:val="17"/>
                <w:szCs w:val="17"/>
                <w:color w:val="auto"/>
              </w:rPr>
              <w:t>12,682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ind w:right="16"/>
              <w:spacing w:after="0"/>
              <w:rPr>
                <w:sz w:val="20"/>
                <w:szCs w:val="20"/>
                <w:color w:val="auto"/>
              </w:rPr>
            </w:pPr>
            <w:r>
              <w:rPr>
                <w:rFonts w:ascii="Arial" w:cs="Arial" w:eastAsia="Arial" w:hAnsi="Arial"/>
                <w:sz w:val="17"/>
                <w:szCs w:val="17"/>
                <w:color w:val="auto"/>
              </w:rPr>
              <w:t>37,875</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ind w:right="16"/>
              <w:spacing w:after="0"/>
              <w:rPr>
                <w:sz w:val="20"/>
                <w:szCs w:val="20"/>
                <w:color w:val="auto"/>
              </w:rPr>
            </w:pPr>
            <w:r>
              <w:rPr>
                <w:rFonts w:ascii="Arial" w:cs="Arial" w:eastAsia="Arial" w:hAnsi="Arial"/>
                <w:sz w:val="17"/>
                <w:szCs w:val="17"/>
                <w:color w:val="auto"/>
              </w:rPr>
              <w:t>35,769</w:t>
            </w:r>
          </w:p>
        </w:tc>
      </w:tr>
      <w:tr>
        <w:trPr>
          <w:trHeight w:val="26"/>
        </w:trPr>
        <w:tc>
          <w:tcPr>
            <w:tcW w:w="4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3"/>
        </w:trPr>
        <w:tc>
          <w:tcPr>
            <w:tcW w:w="42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8,597</w:t>
            </w:r>
          </w:p>
        </w:tc>
        <w:tc>
          <w:tcPr>
            <w:tcW w:w="1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8,057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25,000</w:t>
            </w:r>
          </w:p>
        </w:tc>
        <w:tc>
          <w:tcPr>
            <w:tcW w:w="1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23,171</w:t>
            </w:r>
          </w:p>
        </w:tc>
      </w:tr>
      <w:tr>
        <w:trPr>
          <w:trHeight w:val="220"/>
        </w:trPr>
        <w:tc>
          <w:tcPr>
            <w:tcW w:w="4260" w:type="dxa"/>
            <w:vAlign w:val="bottom"/>
          </w:tcPr>
          <w:p>
            <w:pPr>
              <w:ind w:left="20"/>
              <w:spacing w:after="0"/>
              <w:rPr>
                <w:sz w:val="20"/>
                <w:szCs w:val="20"/>
                <w:color w:val="auto"/>
              </w:rPr>
            </w:pPr>
            <w:r>
              <w:rPr>
                <w:rFonts w:ascii="Arial" w:cs="Arial" w:eastAsia="Arial" w:hAnsi="Arial"/>
                <w:sz w:val="17"/>
                <w:szCs w:val="17"/>
                <w:color w:val="auto"/>
              </w:rPr>
              <w:t>Total operating expenses</w:t>
            </w:r>
          </w:p>
        </w:tc>
        <w:tc>
          <w:tcPr>
            <w:tcW w:w="32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42,074</w:t>
            </w:r>
          </w:p>
        </w:tc>
        <w:tc>
          <w:tcPr>
            <w:tcW w:w="1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color w:val="auto"/>
              </w:rPr>
              <w:t>39,556</w:t>
            </w: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126,495</w:t>
            </w:r>
          </w:p>
        </w:tc>
        <w:tc>
          <w:tcPr>
            <w:tcW w:w="18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116,368</w:t>
            </w:r>
          </w:p>
        </w:tc>
      </w:tr>
      <w:tr>
        <w:trPr>
          <w:trHeight w:val="26"/>
        </w:trPr>
        <w:tc>
          <w:tcPr>
            <w:tcW w:w="42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5"/>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Income from operations</w:t>
            </w:r>
          </w:p>
        </w:tc>
        <w:tc>
          <w:tcPr>
            <w:tcW w:w="32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17,359</w:t>
            </w:r>
          </w:p>
        </w:tc>
        <w:tc>
          <w:tcPr>
            <w:tcW w:w="1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20,749</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50,047</w:t>
            </w:r>
          </w:p>
        </w:tc>
        <w:tc>
          <w:tcPr>
            <w:tcW w:w="1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49,465</w:t>
            </w:r>
          </w:p>
        </w:tc>
      </w:tr>
      <w:tr>
        <w:trPr>
          <w:trHeight w:val="227"/>
        </w:trPr>
        <w:tc>
          <w:tcPr>
            <w:tcW w:w="4260" w:type="dxa"/>
            <w:vAlign w:val="bottom"/>
          </w:tcPr>
          <w:p>
            <w:pPr>
              <w:ind w:left="20"/>
              <w:spacing w:after="0"/>
              <w:rPr>
                <w:sz w:val="20"/>
                <w:szCs w:val="20"/>
                <w:color w:val="auto"/>
              </w:rPr>
            </w:pPr>
            <w:r>
              <w:rPr>
                <w:rFonts w:ascii="Arial" w:cs="Arial" w:eastAsia="Arial" w:hAnsi="Arial"/>
                <w:sz w:val="17"/>
                <w:szCs w:val="17"/>
                <w:color w:val="auto"/>
              </w:rPr>
              <w:t>Foreign exchange gain</w:t>
            </w:r>
          </w:p>
        </w:tc>
        <w:tc>
          <w:tcPr>
            <w:tcW w:w="320" w:type="dxa"/>
            <w:vAlign w:val="bottom"/>
          </w:tcPr>
          <w:p>
            <w:pPr>
              <w:spacing w:after="0"/>
              <w:rPr>
                <w:sz w:val="19"/>
                <w:szCs w:val="19"/>
                <w:color w:val="auto"/>
              </w:rPr>
            </w:pPr>
          </w:p>
        </w:tc>
        <w:tc>
          <w:tcPr>
            <w:tcW w:w="1480" w:type="dxa"/>
            <w:vAlign w:val="bottom"/>
          </w:tcPr>
          <w:p>
            <w:pPr>
              <w:jc w:val="right"/>
              <w:ind w:right="16"/>
              <w:spacing w:after="0"/>
              <w:rPr>
                <w:sz w:val="20"/>
                <w:szCs w:val="20"/>
                <w:color w:val="auto"/>
              </w:rPr>
            </w:pPr>
            <w:r>
              <w:rPr>
                <w:rFonts w:ascii="Arial" w:cs="Arial" w:eastAsia="Arial" w:hAnsi="Arial"/>
                <w:sz w:val="17"/>
                <w:szCs w:val="17"/>
                <w:color w:val="auto"/>
              </w:rPr>
              <w:t>1,741</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36"/>
              <w:spacing w:after="0"/>
              <w:rPr>
                <w:sz w:val="20"/>
                <w:szCs w:val="20"/>
                <w:color w:val="auto"/>
              </w:rPr>
            </w:pPr>
            <w:r>
              <w:rPr>
                <w:rFonts w:ascii="Arial" w:cs="Arial" w:eastAsia="Arial" w:hAnsi="Arial"/>
                <w:sz w:val="17"/>
                <w:szCs w:val="17"/>
                <w:color w:val="auto"/>
              </w:rPr>
              <w:t>191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ind w:right="16"/>
              <w:spacing w:after="0"/>
              <w:rPr>
                <w:sz w:val="20"/>
                <w:szCs w:val="20"/>
                <w:color w:val="auto"/>
              </w:rPr>
            </w:pPr>
            <w:r>
              <w:rPr>
                <w:rFonts w:ascii="Arial" w:cs="Arial" w:eastAsia="Arial" w:hAnsi="Arial"/>
                <w:sz w:val="17"/>
                <w:szCs w:val="17"/>
                <w:color w:val="auto"/>
              </w:rPr>
              <w:t>3,573</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ind w:right="16"/>
              <w:spacing w:after="0"/>
              <w:rPr>
                <w:sz w:val="20"/>
                <w:szCs w:val="20"/>
                <w:color w:val="auto"/>
              </w:rPr>
            </w:pPr>
            <w:r>
              <w:rPr>
                <w:rFonts w:ascii="Arial" w:cs="Arial" w:eastAsia="Arial" w:hAnsi="Arial"/>
                <w:sz w:val="17"/>
                <w:szCs w:val="17"/>
                <w:color w:val="auto"/>
              </w:rPr>
              <w:t>2,347</w:t>
            </w:r>
          </w:p>
        </w:tc>
      </w:tr>
      <w:tr>
        <w:trPr>
          <w:trHeight w:val="26"/>
        </w:trPr>
        <w:tc>
          <w:tcPr>
            <w:tcW w:w="4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3"/>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income, net</w:t>
            </w:r>
          </w:p>
        </w:tc>
        <w:tc>
          <w:tcPr>
            <w:tcW w:w="3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2,596</w:t>
            </w:r>
          </w:p>
        </w:tc>
        <w:tc>
          <w:tcPr>
            <w:tcW w:w="1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1,787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11,174</w:t>
            </w:r>
          </w:p>
        </w:tc>
        <w:tc>
          <w:tcPr>
            <w:tcW w:w="1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4,300</w:t>
            </w:r>
          </w:p>
        </w:tc>
      </w:tr>
      <w:tr>
        <w:trPr>
          <w:trHeight w:val="220"/>
        </w:trPr>
        <w:tc>
          <w:tcPr>
            <w:tcW w:w="4260" w:type="dxa"/>
            <w:vAlign w:val="bottom"/>
          </w:tcPr>
          <w:p>
            <w:pPr>
              <w:ind w:left="20"/>
              <w:spacing w:after="0"/>
              <w:rPr>
                <w:sz w:val="20"/>
                <w:szCs w:val="20"/>
                <w:color w:val="auto"/>
              </w:rPr>
            </w:pPr>
            <w:r>
              <w:rPr>
                <w:rFonts w:ascii="Arial" w:cs="Arial" w:eastAsia="Arial" w:hAnsi="Arial"/>
                <w:sz w:val="17"/>
                <w:szCs w:val="17"/>
                <w:color w:val="auto"/>
              </w:rPr>
              <w:t>Income before income taxes</w:t>
            </w:r>
          </w:p>
        </w:tc>
        <w:tc>
          <w:tcPr>
            <w:tcW w:w="32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21,696</w:t>
            </w:r>
          </w:p>
        </w:tc>
        <w:tc>
          <w:tcPr>
            <w:tcW w:w="1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color w:val="auto"/>
              </w:rPr>
              <w:t>22,727</w:t>
            </w: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64,794</w:t>
            </w:r>
          </w:p>
        </w:tc>
        <w:tc>
          <w:tcPr>
            <w:tcW w:w="18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56,112</w:t>
            </w:r>
          </w:p>
        </w:tc>
      </w:tr>
      <w:tr>
        <w:trPr>
          <w:trHeight w:val="26"/>
        </w:trPr>
        <w:tc>
          <w:tcPr>
            <w:tcW w:w="4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3"/>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Income tax expense</w:t>
            </w:r>
          </w:p>
        </w:tc>
        <w:tc>
          <w:tcPr>
            <w:tcW w:w="3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5,646</w:t>
            </w:r>
          </w:p>
        </w:tc>
        <w:tc>
          <w:tcPr>
            <w:tcW w:w="1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7,565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18,549</w:t>
            </w:r>
          </w:p>
        </w:tc>
        <w:tc>
          <w:tcPr>
            <w:tcW w:w="1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19,309</w:t>
            </w:r>
          </w:p>
        </w:tc>
      </w:tr>
      <w:tr>
        <w:trPr>
          <w:trHeight w:val="279"/>
        </w:trPr>
        <w:tc>
          <w:tcPr>
            <w:tcW w:w="42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Net income</w:t>
            </w:r>
          </w:p>
        </w:tc>
        <w:tc>
          <w:tcPr>
            <w:tcW w:w="32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7"/>
                <w:szCs w:val="17"/>
                <w:color w:val="auto"/>
              </w:rPr>
              <w:t>$</w:t>
            </w:r>
          </w:p>
        </w:tc>
        <w:tc>
          <w:tcPr>
            <w:tcW w:w="14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7"/>
                <w:szCs w:val="17"/>
                <w:color w:val="auto"/>
              </w:rPr>
              <w:t>16,050</w:t>
            </w:r>
          </w:p>
        </w:tc>
        <w:tc>
          <w:tcPr>
            <w:tcW w:w="18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6"/>
              <w:spacing w:after="0"/>
              <w:rPr>
                <w:sz w:val="20"/>
                <w:szCs w:val="20"/>
                <w:color w:val="auto"/>
              </w:rPr>
            </w:pPr>
            <w:r>
              <w:rPr>
                <w:rFonts w:ascii="Arial" w:cs="Arial" w:eastAsia="Arial" w:hAnsi="Arial"/>
                <w:sz w:val="17"/>
                <w:szCs w:val="17"/>
                <w:color w:val="auto"/>
              </w:rPr>
              <w:t>$</w:t>
            </w:r>
          </w:p>
        </w:tc>
        <w:tc>
          <w:tcPr>
            <w:tcW w:w="12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7"/>
                <w:szCs w:val="17"/>
                <w:color w:val="auto"/>
              </w:rPr>
              <w:t>15,162</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7"/>
                <w:szCs w:val="17"/>
                <w:color w:val="auto"/>
                <w:w w:val="84"/>
              </w:rPr>
              <w:t>$</w:t>
            </w:r>
          </w:p>
        </w:tc>
        <w:tc>
          <w:tcPr>
            <w:tcW w:w="12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7"/>
                <w:szCs w:val="17"/>
                <w:color w:val="auto"/>
              </w:rPr>
              <w:t>46,245</w:t>
            </w:r>
          </w:p>
        </w:tc>
        <w:tc>
          <w:tcPr>
            <w:tcW w:w="18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6"/>
              <w:spacing w:after="0"/>
              <w:rPr>
                <w:sz w:val="20"/>
                <w:szCs w:val="20"/>
                <w:color w:val="auto"/>
              </w:rPr>
            </w:pPr>
            <w:r>
              <w:rPr>
                <w:rFonts w:ascii="Arial" w:cs="Arial" w:eastAsia="Arial" w:hAnsi="Arial"/>
                <w:sz w:val="17"/>
                <w:szCs w:val="17"/>
                <w:color w:val="auto"/>
              </w:rPr>
              <w:t>$</w:t>
            </w:r>
          </w:p>
        </w:tc>
        <w:tc>
          <w:tcPr>
            <w:tcW w:w="13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7"/>
                <w:szCs w:val="17"/>
                <w:color w:val="auto"/>
              </w:rPr>
              <w:t>36,803</w:t>
            </w:r>
          </w:p>
        </w:tc>
      </w:tr>
      <w:tr>
        <w:trPr>
          <w:trHeight w:val="217"/>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Earnings per share:</w:t>
            </w:r>
          </w:p>
        </w:tc>
        <w:tc>
          <w:tcPr>
            <w:tcW w:w="32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r>
      <w:tr>
        <w:trPr>
          <w:trHeight w:val="227"/>
        </w:trPr>
        <w:tc>
          <w:tcPr>
            <w:tcW w:w="4260" w:type="dxa"/>
            <w:vAlign w:val="bottom"/>
          </w:tcPr>
          <w:p>
            <w:pPr>
              <w:ind w:left="260"/>
              <w:spacing w:after="0"/>
              <w:rPr>
                <w:sz w:val="20"/>
                <w:szCs w:val="20"/>
                <w:color w:val="auto"/>
              </w:rPr>
            </w:pPr>
            <w:r>
              <w:rPr>
                <w:rFonts w:ascii="Arial" w:cs="Arial" w:eastAsia="Arial" w:hAnsi="Arial"/>
                <w:sz w:val="17"/>
                <w:szCs w:val="17"/>
                <w:color w:val="auto"/>
              </w:rPr>
              <w:t>Basic</w:t>
            </w:r>
          </w:p>
        </w:tc>
        <w:tc>
          <w:tcPr>
            <w:tcW w:w="320" w:type="dxa"/>
            <w:vAlign w:val="bottom"/>
          </w:tcPr>
          <w:p>
            <w:pPr>
              <w:jc w:val="right"/>
              <w:ind w:right="116"/>
              <w:spacing w:after="0"/>
              <w:rPr>
                <w:sz w:val="20"/>
                <w:szCs w:val="20"/>
                <w:color w:val="auto"/>
              </w:rPr>
            </w:pPr>
            <w:r>
              <w:rPr>
                <w:rFonts w:ascii="Arial" w:cs="Arial" w:eastAsia="Arial" w:hAnsi="Arial"/>
                <w:sz w:val="17"/>
                <w:szCs w:val="17"/>
                <w:color w:val="auto"/>
              </w:rPr>
              <w:t>$</w:t>
            </w:r>
          </w:p>
        </w:tc>
        <w:tc>
          <w:tcPr>
            <w:tcW w:w="1480" w:type="dxa"/>
            <w:vAlign w:val="bottom"/>
          </w:tcPr>
          <w:p>
            <w:pPr>
              <w:jc w:val="right"/>
              <w:ind w:right="16"/>
              <w:spacing w:after="0"/>
              <w:rPr>
                <w:sz w:val="20"/>
                <w:szCs w:val="20"/>
                <w:color w:val="auto"/>
              </w:rPr>
            </w:pPr>
            <w:r>
              <w:rPr>
                <w:rFonts w:ascii="Arial" w:cs="Arial" w:eastAsia="Arial" w:hAnsi="Arial"/>
                <w:sz w:val="17"/>
                <w:szCs w:val="17"/>
                <w:color w:val="auto"/>
              </w:rPr>
              <w:t>0.48</w:t>
            </w:r>
          </w:p>
        </w:tc>
        <w:tc>
          <w:tcPr>
            <w:tcW w:w="180" w:type="dxa"/>
            <w:vAlign w:val="bottom"/>
          </w:tcPr>
          <w:p>
            <w:pPr>
              <w:spacing w:after="0"/>
              <w:rPr>
                <w:sz w:val="19"/>
                <w:szCs w:val="19"/>
                <w:color w:val="auto"/>
              </w:rPr>
            </w:pPr>
          </w:p>
        </w:tc>
        <w:tc>
          <w:tcPr>
            <w:tcW w:w="380" w:type="dxa"/>
            <w:vAlign w:val="bottom"/>
          </w:tcPr>
          <w:p>
            <w:pPr>
              <w:jc w:val="right"/>
              <w:ind w:right="176"/>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36"/>
              <w:spacing w:after="0"/>
              <w:rPr>
                <w:sz w:val="20"/>
                <w:szCs w:val="20"/>
                <w:color w:val="auto"/>
              </w:rPr>
            </w:pPr>
            <w:r>
              <w:rPr>
                <w:rFonts w:ascii="Arial" w:cs="Arial" w:eastAsia="Arial" w:hAnsi="Arial"/>
                <w:sz w:val="17"/>
                <w:szCs w:val="17"/>
                <w:color w:val="auto"/>
              </w:rPr>
              <w:t>0.46</w:t>
            </w:r>
          </w:p>
        </w:tc>
        <w:tc>
          <w:tcPr>
            <w:tcW w:w="120" w:type="dxa"/>
            <w:vAlign w:val="bottom"/>
          </w:tcPr>
          <w:p>
            <w:pPr>
              <w:spacing w:after="0"/>
              <w:rPr>
                <w:sz w:val="19"/>
                <w:szCs w:val="19"/>
                <w:color w:val="auto"/>
              </w:rPr>
            </w:pPr>
          </w:p>
        </w:tc>
        <w:tc>
          <w:tcPr>
            <w:tcW w:w="300" w:type="dxa"/>
            <w:vAlign w:val="bottom"/>
          </w:tcPr>
          <w:p>
            <w:pPr>
              <w:jc w:val="right"/>
              <w:ind w:right="116"/>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ind w:right="16"/>
              <w:spacing w:after="0"/>
              <w:rPr>
                <w:sz w:val="20"/>
                <w:szCs w:val="20"/>
                <w:color w:val="auto"/>
              </w:rPr>
            </w:pPr>
            <w:r>
              <w:rPr>
                <w:rFonts w:ascii="Arial" w:cs="Arial" w:eastAsia="Arial" w:hAnsi="Arial"/>
                <w:sz w:val="17"/>
                <w:szCs w:val="17"/>
                <w:color w:val="auto"/>
              </w:rPr>
              <w:t>1.38</w:t>
            </w:r>
          </w:p>
        </w:tc>
        <w:tc>
          <w:tcPr>
            <w:tcW w:w="180" w:type="dxa"/>
            <w:vAlign w:val="bottom"/>
          </w:tcPr>
          <w:p>
            <w:pPr>
              <w:spacing w:after="0"/>
              <w:rPr>
                <w:sz w:val="19"/>
                <w:szCs w:val="19"/>
                <w:color w:val="auto"/>
              </w:rPr>
            </w:pPr>
          </w:p>
        </w:tc>
        <w:tc>
          <w:tcPr>
            <w:tcW w:w="400" w:type="dxa"/>
            <w:vAlign w:val="bottom"/>
          </w:tcPr>
          <w:p>
            <w:pPr>
              <w:jc w:val="right"/>
              <w:ind w:right="196"/>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16"/>
              <w:spacing w:after="0"/>
              <w:rPr>
                <w:sz w:val="20"/>
                <w:szCs w:val="20"/>
                <w:color w:val="auto"/>
              </w:rPr>
            </w:pPr>
            <w:r>
              <w:rPr>
                <w:rFonts w:ascii="Arial" w:cs="Arial" w:eastAsia="Arial" w:hAnsi="Arial"/>
                <w:sz w:val="17"/>
                <w:szCs w:val="17"/>
                <w:color w:val="auto"/>
              </w:rPr>
              <w:t>1.10</w:t>
            </w:r>
          </w:p>
        </w:tc>
      </w:tr>
      <w:tr>
        <w:trPr>
          <w:trHeight w:val="26"/>
        </w:trPr>
        <w:tc>
          <w:tcPr>
            <w:tcW w:w="4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3"/>
        </w:trPr>
        <w:tc>
          <w:tcPr>
            <w:tcW w:w="42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Diluted</w:t>
            </w:r>
          </w:p>
        </w:tc>
        <w:tc>
          <w:tcPr>
            <w:tcW w:w="3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0.46</w:t>
            </w:r>
          </w:p>
        </w:tc>
        <w:tc>
          <w:tcPr>
            <w:tcW w:w="1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0.44</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1.34</w:t>
            </w:r>
          </w:p>
        </w:tc>
        <w:tc>
          <w:tcPr>
            <w:tcW w:w="1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1.08</w:t>
            </w:r>
          </w:p>
        </w:tc>
      </w:tr>
      <w:tr>
        <w:trPr>
          <w:trHeight w:val="215"/>
        </w:trPr>
        <w:tc>
          <w:tcPr>
            <w:tcW w:w="4260" w:type="dxa"/>
            <w:vAlign w:val="bottom"/>
          </w:tcPr>
          <w:p>
            <w:pPr>
              <w:ind w:left="20"/>
              <w:spacing w:after="0"/>
              <w:rPr>
                <w:sz w:val="20"/>
                <w:szCs w:val="20"/>
                <w:color w:val="auto"/>
              </w:rPr>
            </w:pPr>
            <w:r>
              <w:rPr>
                <w:rFonts w:ascii="Arial" w:cs="Arial" w:eastAsia="Arial" w:hAnsi="Arial"/>
                <w:sz w:val="17"/>
                <w:szCs w:val="17"/>
                <w:color w:val="auto"/>
              </w:rPr>
              <w:t>Weighted-average number of shares used in computing</w:t>
            </w:r>
          </w:p>
        </w:tc>
        <w:tc>
          <w:tcPr>
            <w:tcW w:w="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4"/>
        </w:trPr>
        <w:tc>
          <w:tcPr>
            <w:tcW w:w="4260" w:type="dxa"/>
            <w:vAlign w:val="bottom"/>
          </w:tcPr>
          <w:p>
            <w:pPr>
              <w:ind w:left="20"/>
              <w:spacing w:after="0"/>
              <w:rPr>
                <w:sz w:val="20"/>
                <w:szCs w:val="20"/>
                <w:color w:val="auto"/>
              </w:rPr>
            </w:pPr>
            <w:r>
              <w:rPr>
                <w:rFonts w:ascii="Arial" w:cs="Arial" w:eastAsia="Arial" w:hAnsi="Arial"/>
                <w:sz w:val="17"/>
                <w:szCs w:val="17"/>
                <w:color w:val="auto"/>
              </w:rPr>
              <w:t>earnings per share:</w:t>
            </w:r>
          </w:p>
        </w:tc>
        <w:tc>
          <w:tcPr>
            <w:tcW w:w="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6"/>
        </w:trPr>
        <w:tc>
          <w:tcPr>
            <w:tcW w:w="4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3"/>
        </w:trPr>
        <w:tc>
          <w:tcPr>
            <w:tcW w:w="42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Basic</w:t>
            </w:r>
          </w:p>
        </w:tc>
        <w:tc>
          <w:tcPr>
            <w:tcW w:w="3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33,624,401</w:t>
            </w:r>
          </w:p>
        </w:tc>
        <w:tc>
          <w:tcPr>
            <w:tcW w:w="1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33,307,312</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33,542,258</w:t>
            </w:r>
          </w:p>
        </w:tc>
        <w:tc>
          <w:tcPr>
            <w:tcW w:w="1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33,320,477</w:t>
            </w:r>
          </w:p>
        </w:tc>
      </w:tr>
      <w:tr>
        <w:trPr>
          <w:trHeight w:val="227"/>
        </w:trPr>
        <w:tc>
          <w:tcPr>
            <w:tcW w:w="4260" w:type="dxa"/>
            <w:vAlign w:val="bottom"/>
          </w:tcPr>
          <w:p>
            <w:pPr>
              <w:ind w:left="260"/>
              <w:spacing w:after="0"/>
              <w:rPr>
                <w:sz w:val="20"/>
                <w:szCs w:val="20"/>
                <w:color w:val="auto"/>
              </w:rPr>
            </w:pPr>
            <w:r>
              <w:rPr>
                <w:rFonts w:ascii="Arial" w:cs="Arial" w:eastAsia="Arial" w:hAnsi="Arial"/>
                <w:sz w:val="17"/>
                <w:szCs w:val="17"/>
                <w:color w:val="auto"/>
              </w:rPr>
              <w:t>Diluted</w:t>
            </w:r>
          </w:p>
        </w:tc>
        <w:tc>
          <w:tcPr>
            <w:tcW w:w="320" w:type="dxa"/>
            <w:vAlign w:val="bottom"/>
          </w:tcPr>
          <w:p>
            <w:pPr>
              <w:spacing w:after="0"/>
              <w:rPr>
                <w:sz w:val="19"/>
                <w:szCs w:val="19"/>
                <w:color w:val="auto"/>
              </w:rPr>
            </w:pPr>
          </w:p>
        </w:tc>
        <w:tc>
          <w:tcPr>
            <w:tcW w:w="1480" w:type="dxa"/>
            <w:vAlign w:val="bottom"/>
          </w:tcPr>
          <w:p>
            <w:pPr>
              <w:jc w:val="right"/>
              <w:ind w:right="16"/>
              <w:spacing w:after="0"/>
              <w:rPr>
                <w:sz w:val="20"/>
                <w:szCs w:val="20"/>
                <w:color w:val="auto"/>
              </w:rPr>
            </w:pPr>
            <w:r>
              <w:rPr>
                <w:rFonts w:ascii="Arial" w:cs="Arial" w:eastAsia="Arial" w:hAnsi="Arial"/>
                <w:sz w:val="17"/>
                <w:szCs w:val="17"/>
                <w:color w:val="auto"/>
              </w:rPr>
              <w:t>34,675,485</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36"/>
              <w:spacing w:after="0"/>
              <w:rPr>
                <w:sz w:val="20"/>
                <w:szCs w:val="20"/>
                <w:color w:val="auto"/>
              </w:rPr>
            </w:pPr>
            <w:r>
              <w:rPr>
                <w:rFonts w:ascii="Arial" w:cs="Arial" w:eastAsia="Arial" w:hAnsi="Arial"/>
                <w:sz w:val="17"/>
                <w:szCs w:val="17"/>
                <w:color w:val="auto"/>
              </w:rPr>
              <w:t>34,180,635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ind w:right="16"/>
              <w:spacing w:after="0"/>
              <w:rPr>
                <w:sz w:val="20"/>
                <w:szCs w:val="20"/>
                <w:color w:val="auto"/>
              </w:rPr>
            </w:pPr>
            <w:r>
              <w:rPr>
                <w:rFonts w:ascii="Arial" w:cs="Arial" w:eastAsia="Arial" w:hAnsi="Arial"/>
                <w:sz w:val="17"/>
                <w:szCs w:val="17"/>
                <w:color w:val="auto"/>
              </w:rPr>
              <w:t>34,512,815</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ind w:right="16"/>
              <w:spacing w:after="0"/>
              <w:rPr>
                <w:sz w:val="20"/>
                <w:szCs w:val="20"/>
                <w:color w:val="auto"/>
              </w:rPr>
            </w:pPr>
            <w:r>
              <w:rPr>
                <w:rFonts w:ascii="Arial" w:cs="Arial" w:eastAsia="Arial" w:hAnsi="Arial"/>
                <w:sz w:val="17"/>
                <w:szCs w:val="17"/>
                <w:color w:val="auto"/>
              </w:rPr>
              <w:t>34,147,120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See accompanying notes.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325"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95"/>
        </w:trPr>
        <w:tc>
          <w:tcPr>
            <w:tcW w:w="6060" w:type="dxa"/>
            <w:vAlign w:val="bottom"/>
            <w:gridSpan w:val="2"/>
          </w:tcPr>
          <w:p>
            <w:pPr>
              <w:spacing w:after="0"/>
              <w:rPr>
                <w:rFonts w:ascii="Arial" w:cs="Arial" w:eastAsia="Arial" w:hAnsi="Arial"/>
                <w:sz w:val="17"/>
                <w:szCs w:val="17"/>
                <w:b w:val="1"/>
                <w:bCs w:val="1"/>
                <w:color w:val="0000EE"/>
              </w:rPr>
            </w:pPr>
            <w:hyperlink w:anchor="page2">
              <w:r>
                <w:rPr>
                  <w:rFonts w:ascii="Arial" w:cs="Arial" w:eastAsia="Arial" w:hAnsi="Arial"/>
                  <w:sz w:val="17"/>
                  <w:szCs w:val="17"/>
                  <w:b w:val="1"/>
                  <w:bCs w:val="1"/>
                  <w:color w:val="0000EE"/>
                </w:rPr>
                <w:t>Table of Contents</w:t>
              </w:r>
            </w:hyperlink>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447"/>
        </w:trPr>
        <w:tc>
          <w:tcPr>
            <w:tcW w:w="1260" w:type="dxa"/>
            <w:vAlign w:val="bottom"/>
            <w:tcBorders>
              <w:top w:val="single" w:sz="8" w:color="0000EE"/>
            </w:tcBorders>
          </w:tcPr>
          <w:p>
            <w:pPr>
              <w:spacing w:after="0"/>
              <w:rPr>
                <w:sz w:val="24"/>
                <w:szCs w:val="24"/>
                <w:color w:val="auto"/>
              </w:rPr>
            </w:pPr>
          </w:p>
        </w:tc>
        <w:tc>
          <w:tcPr>
            <w:tcW w:w="6180" w:type="dxa"/>
            <w:vAlign w:val="bottom"/>
            <w:gridSpan w:val="4"/>
          </w:tcPr>
          <w:p>
            <w:pPr>
              <w:jc w:val="center"/>
              <w:ind w:left="2656"/>
              <w:spacing w:after="0"/>
              <w:rPr>
                <w:sz w:val="20"/>
                <w:szCs w:val="20"/>
                <w:color w:val="auto"/>
              </w:rPr>
            </w:pPr>
            <w:r>
              <w:rPr>
                <w:rFonts w:ascii="Arial" w:cs="Arial" w:eastAsia="Arial" w:hAnsi="Arial"/>
                <w:sz w:val="17"/>
                <w:szCs w:val="17"/>
                <w:b w:val="1"/>
                <w:bCs w:val="1"/>
                <w:color w:val="auto"/>
              </w:rPr>
              <w:t>EXLSERVICE HOLDINGS, INC.</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87"/>
        </w:trPr>
        <w:tc>
          <w:tcPr>
            <w:tcW w:w="1260" w:type="dxa"/>
            <w:vAlign w:val="bottom"/>
          </w:tcPr>
          <w:p>
            <w:pPr>
              <w:spacing w:after="0"/>
              <w:rPr>
                <w:sz w:val="24"/>
                <w:szCs w:val="24"/>
                <w:color w:val="auto"/>
              </w:rPr>
            </w:pPr>
          </w:p>
        </w:tc>
        <w:tc>
          <w:tcPr>
            <w:tcW w:w="7560" w:type="dxa"/>
            <w:vAlign w:val="bottom"/>
            <w:gridSpan w:val="7"/>
          </w:tcPr>
          <w:p>
            <w:pPr>
              <w:jc w:val="center"/>
              <w:ind w:left="1276"/>
              <w:spacing w:after="0"/>
              <w:rPr>
                <w:sz w:val="20"/>
                <w:szCs w:val="20"/>
                <w:color w:val="auto"/>
              </w:rPr>
            </w:pPr>
            <w:r>
              <w:rPr>
                <w:rFonts w:ascii="Arial" w:cs="Arial" w:eastAsia="Arial" w:hAnsi="Arial"/>
                <w:sz w:val="17"/>
                <w:szCs w:val="17"/>
                <w:b w:val="1"/>
                <w:bCs w:val="1"/>
                <w:color w:val="auto"/>
              </w:rPr>
              <w:t>UNAUDITED CONSOLIDATED STATEMENTS OF COMPREHENSIVE INCOME</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18"/>
        </w:trPr>
        <w:tc>
          <w:tcPr>
            <w:tcW w:w="1260" w:type="dxa"/>
            <w:vAlign w:val="bottom"/>
          </w:tcPr>
          <w:p>
            <w:pPr>
              <w:spacing w:after="0"/>
              <w:rPr>
                <w:sz w:val="18"/>
                <w:szCs w:val="18"/>
                <w:color w:val="auto"/>
              </w:rPr>
            </w:pPr>
          </w:p>
        </w:tc>
        <w:tc>
          <w:tcPr>
            <w:tcW w:w="5120" w:type="dxa"/>
            <w:vAlign w:val="bottom"/>
            <w:gridSpan w:val="2"/>
          </w:tcPr>
          <w:p>
            <w:pPr>
              <w:jc w:val="center"/>
              <w:ind w:left="3716"/>
              <w:spacing w:after="0"/>
              <w:rPr>
                <w:sz w:val="20"/>
                <w:szCs w:val="20"/>
                <w:color w:val="auto"/>
              </w:rPr>
            </w:pPr>
            <w:r>
              <w:rPr>
                <w:rFonts w:ascii="Arial" w:cs="Arial" w:eastAsia="Arial" w:hAnsi="Arial"/>
                <w:sz w:val="17"/>
                <w:szCs w:val="17"/>
                <w:b w:val="1"/>
                <w:bCs w:val="1"/>
                <w:color w:val="auto"/>
                <w:w w:val="88"/>
              </w:rPr>
              <w:t>(In thousands)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354"/>
        </w:trPr>
        <w:tc>
          <w:tcPr>
            <w:tcW w:w="126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2760" w:type="dxa"/>
            <w:vAlign w:val="bottom"/>
            <w:gridSpan w:val="6"/>
          </w:tcPr>
          <w:p>
            <w:pPr>
              <w:ind w:left="60"/>
              <w:spacing w:after="0"/>
              <w:rPr>
                <w:sz w:val="20"/>
                <w:szCs w:val="20"/>
                <w:color w:val="auto"/>
              </w:rPr>
            </w:pPr>
            <w:r>
              <w:rPr>
                <w:rFonts w:ascii="Arial" w:cs="Arial" w:eastAsia="Arial" w:hAnsi="Arial"/>
                <w:sz w:val="17"/>
                <w:szCs w:val="17"/>
                <w:b w:val="1"/>
                <w:bCs w:val="1"/>
                <w:color w:val="auto"/>
                <w:w w:val="92"/>
              </w:rPr>
              <w:t>Three months ended September 30,</w:t>
            </w:r>
          </w:p>
        </w:tc>
        <w:tc>
          <w:tcPr>
            <w:tcW w:w="2600" w:type="dxa"/>
            <w:vAlign w:val="bottom"/>
            <w:gridSpan w:val="5"/>
          </w:tcPr>
          <w:p>
            <w:pPr>
              <w:jc w:val="right"/>
              <w:spacing w:after="0"/>
              <w:rPr>
                <w:sz w:val="20"/>
                <w:szCs w:val="20"/>
                <w:color w:val="auto"/>
              </w:rPr>
            </w:pPr>
            <w:r>
              <w:rPr>
                <w:rFonts w:ascii="Arial" w:cs="Arial" w:eastAsia="Arial" w:hAnsi="Arial"/>
                <w:sz w:val="17"/>
                <w:szCs w:val="17"/>
                <w:b w:val="1"/>
                <w:bCs w:val="1"/>
                <w:color w:val="auto"/>
                <w:w w:val="90"/>
              </w:rPr>
              <w:t>Nine months ended September 30,</w:t>
            </w:r>
          </w:p>
        </w:tc>
      </w:tr>
      <w:tr>
        <w:trPr>
          <w:trHeight w:val="26"/>
        </w:trPr>
        <w:tc>
          <w:tcPr>
            <w:tcW w:w="1260" w:type="dxa"/>
            <w:vAlign w:val="bottom"/>
          </w:tcPr>
          <w:p>
            <w:pPr>
              <w:spacing w:after="0"/>
              <w:rPr>
                <w:sz w:val="2"/>
                <w:szCs w:val="2"/>
                <w:color w:val="auto"/>
              </w:rPr>
            </w:pPr>
          </w:p>
        </w:tc>
        <w:tc>
          <w:tcPr>
            <w:tcW w:w="48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20"/>
        </w:trPr>
        <w:tc>
          <w:tcPr>
            <w:tcW w:w="126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ind w:right="396"/>
              <w:spacing w:after="0"/>
              <w:rPr>
                <w:sz w:val="20"/>
                <w:szCs w:val="20"/>
                <w:color w:val="auto"/>
              </w:rPr>
            </w:pPr>
            <w:r>
              <w:rPr>
                <w:rFonts w:ascii="Arial" w:cs="Arial" w:eastAsia="Arial" w:hAnsi="Arial"/>
                <w:sz w:val="17"/>
                <w:szCs w:val="17"/>
                <w:b w:val="1"/>
                <w:bCs w:val="1"/>
                <w:color w:val="auto"/>
              </w:rPr>
              <w:t>2016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376"/>
              <w:spacing w:after="0"/>
              <w:rPr>
                <w:sz w:val="20"/>
                <w:szCs w:val="20"/>
                <w:color w:val="auto"/>
              </w:rPr>
            </w:pPr>
            <w:r>
              <w:rPr>
                <w:rFonts w:ascii="Arial" w:cs="Arial" w:eastAsia="Arial" w:hAnsi="Arial"/>
                <w:sz w:val="17"/>
                <w:szCs w:val="17"/>
                <w:b w:val="1"/>
                <w:bCs w:val="1"/>
                <w:color w:val="auto"/>
              </w:rPr>
              <w:t>2015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376"/>
              <w:spacing w:after="0"/>
              <w:rPr>
                <w:sz w:val="20"/>
                <w:szCs w:val="20"/>
                <w:color w:val="auto"/>
              </w:rPr>
            </w:pPr>
            <w:r>
              <w:rPr>
                <w:rFonts w:ascii="Arial" w:cs="Arial" w:eastAsia="Arial" w:hAnsi="Arial"/>
                <w:sz w:val="17"/>
                <w:szCs w:val="17"/>
                <w:b w:val="1"/>
                <w:bCs w:val="1"/>
                <w:color w:val="auto"/>
              </w:rPr>
              <w:t>2016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376"/>
              <w:spacing w:after="0"/>
              <w:rPr>
                <w:sz w:val="20"/>
                <w:szCs w:val="20"/>
                <w:color w:val="auto"/>
              </w:rPr>
            </w:pPr>
            <w:r>
              <w:rPr>
                <w:rFonts w:ascii="Arial" w:cs="Arial" w:eastAsia="Arial" w:hAnsi="Arial"/>
                <w:sz w:val="17"/>
                <w:szCs w:val="17"/>
                <w:b w:val="1"/>
                <w:bCs w:val="1"/>
                <w:color w:val="auto"/>
              </w:rPr>
              <w:t>2015</w:t>
            </w:r>
          </w:p>
        </w:tc>
      </w:tr>
      <w:tr>
        <w:trPr>
          <w:trHeight w:val="26"/>
        </w:trPr>
        <w:tc>
          <w:tcPr>
            <w:tcW w:w="1260" w:type="dxa"/>
            <w:vAlign w:val="bottom"/>
            <w:tcBorders>
              <w:bottom w:val="single" w:sz="8" w:color="CCEEFF"/>
            </w:tcBorders>
          </w:tcPr>
          <w:p>
            <w:pPr>
              <w:spacing w:after="0"/>
              <w:rPr>
                <w:sz w:val="2"/>
                <w:szCs w:val="2"/>
                <w:color w:val="auto"/>
              </w:rPr>
            </w:pPr>
          </w:p>
        </w:tc>
        <w:tc>
          <w:tcPr>
            <w:tcW w:w="48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25"/>
        </w:trPr>
        <w:tc>
          <w:tcPr>
            <w:tcW w:w="6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3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16,050</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15,162</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46,245</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36,803</w:t>
            </w:r>
          </w:p>
        </w:tc>
      </w:tr>
      <w:tr>
        <w:trPr>
          <w:trHeight w:val="227"/>
        </w:trPr>
        <w:tc>
          <w:tcPr>
            <w:tcW w:w="6060" w:type="dxa"/>
            <w:vAlign w:val="bottom"/>
            <w:gridSpan w:val="2"/>
          </w:tcPr>
          <w:p>
            <w:pPr>
              <w:ind w:left="160"/>
              <w:spacing w:after="0"/>
              <w:rPr>
                <w:sz w:val="20"/>
                <w:szCs w:val="20"/>
                <w:color w:val="auto"/>
              </w:rPr>
            </w:pPr>
            <w:r>
              <w:rPr>
                <w:rFonts w:ascii="Arial" w:cs="Arial" w:eastAsia="Arial" w:hAnsi="Arial"/>
                <w:sz w:val="17"/>
                <w:szCs w:val="17"/>
                <w:color w:val="auto"/>
              </w:rPr>
              <w:t>Other comprehensive income/(loss):</w:t>
            </w: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6"/>
        </w:trPr>
        <w:tc>
          <w:tcPr>
            <w:tcW w:w="1260" w:type="dxa"/>
            <w:vAlign w:val="bottom"/>
          </w:tcPr>
          <w:p>
            <w:pPr>
              <w:spacing w:after="0"/>
              <w:rPr>
                <w:sz w:val="2"/>
                <w:szCs w:val="2"/>
                <w:color w:val="auto"/>
              </w:rPr>
            </w:pPr>
          </w:p>
        </w:tc>
        <w:tc>
          <w:tcPr>
            <w:tcW w:w="4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15"/>
        </w:trPr>
        <w:tc>
          <w:tcPr>
            <w:tcW w:w="606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w w:val="94"/>
              </w:rPr>
              <w:t>Unrealized gain/(loss) on effective cash flow hedges, net of taxes $1,067, ($822),</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20"/>
        </w:trPr>
        <w:tc>
          <w:tcPr>
            <w:tcW w:w="60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7"/>
                <w:szCs w:val="17"/>
                <w:color w:val="auto"/>
              </w:rPr>
              <w:t>$1,094 and ($727), respectively</w:t>
            </w:r>
          </w:p>
        </w:tc>
        <w:tc>
          <w:tcPr>
            <w:tcW w:w="3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2,540</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(2,704)</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3,066</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(2,014)</w:t>
            </w:r>
          </w:p>
        </w:tc>
      </w:tr>
      <w:tr>
        <w:trPr>
          <w:trHeight w:val="227"/>
        </w:trPr>
        <w:tc>
          <w:tcPr>
            <w:tcW w:w="6060" w:type="dxa"/>
            <w:vAlign w:val="bottom"/>
            <w:gridSpan w:val="2"/>
          </w:tcPr>
          <w:p>
            <w:pPr>
              <w:ind w:left="260"/>
              <w:spacing w:after="0"/>
              <w:rPr>
                <w:sz w:val="20"/>
                <w:szCs w:val="20"/>
                <w:color w:val="auto"/>
              </w:rPr>
            </w:pPr>
            <w:r>
              <w:rPr>
                <w:rFonts w:ascii="Arial" w:cs="Arial" w:eastAsia="Arial" w:hAnsi="Arial"/>
                <w:sz w:val="17"/>
                <w:szCs w:val="17"/>
                <w:color w:val="auto"/>
              </w:rPr>
              <w:t>Foreign currency translation adjustment</w:t>
            </w:r>
          </w:p>
        </w:tc>
        <w:tc>
          <w:tcPr>
            <w:tcW w:w="320" w:type="dxa"/>
            <w:vAlign w:val="bottom"/>
          </w:tcPr>
          <w:p>
            <w:pPr>
              <w:spacing w:after="0"/>
              <w:rPr>
                <w:sz w:val="19"/>
                <w:szCs w:val="19"/>
                <w:color w:val="auto"/>
              </w:rPr>
            </w:pPr>
          </w:p>
        </w:tc>
        <w:tc>
          <w:tcPr>
            <w:tcW w:w="960" w:type="dxa"/>
            <w:vAlign w:val="bottom"/>
          </w:tcPr>
          <w:p>
            <w:pPr>
              <w:jc w:val="right"/>
              <w:ind w:right="36"/>
              <w:spacing w:after="0"/>
              <w:rPr>
                <w:sz w:val="20"/>
                <w:szCs w:val="20"/>
                <w:color w:val="auto"/>
              </w:rPr>
            </w:pPr>
            <w:r>
              <w:rPr>
                <w:rFonts w:ascii="Arial" w:cs="Arial" w:eastAsia="Arial" w:hAnsi="Arial"/>
                <w:sz w:val="17"/>
                <w:szCs w:val="17"/>
                <w:color w:val="auto"/>
              </w:rPr>
              <w:t>1,716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(7,092)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(2,652)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(9,926)</w:t>
            </w:r>
          </w:p>
        </w:tc>
      </w:tr>
      <w:tr>
        <w:trPr>
          <w:trHeight w:val="26"/>
        </w:trPr>
        <w:tc>
          <w:tcPr>
            <w:tcW w:w="1260" w:type="dxa"/>
            <w:vAlign w:val="bottom"/>
          </w:tcPr>
          <w:p>
            <w:pPr>
              <w:spacing w:after="0"/>
              <w:rPr>
                <w:sz w:val="2"/>
                <w:szCs w:val="2"/>
                <w:color w:val="auto"/>
              </w:rPr>
            </w:pPr>
          </w:p>
        </w:tc>
        <w:tc>
          <w:tcPr>
            <w:tcW w:w="4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3"/>
        </w:trPr>
        <w:tc>
          <w:tcPr>
            <w:tcW w:w="60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7"/>
                <w:szCs w:val="17"/>
                <w:color w:val="auto"/>
              </w:rPr>
              <w:t>Retirement benefits, net of taxes $4, $71, $24 and $81, respectively</w:t>
            </w:r>
          </w:p>
        </w:tc>
        <w:tc>
          <w:tcPr>
            <w:tcW w:w="3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104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172</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409</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501</w:t>
            </w:r>
          </w:p>
        </w:tc>
      </w:tr>
      <w:tr>
        <w:trPr>
          <w:trHeight w:val="227"/>
        </w:trPr>
        <w:tc>
          <w:tcPr>
            <w:tcW w:w="6060" w:type="dxa"/>
            <w:vAlign w:val="bottom"/>
            <w:gridSpan w:val="2"/>
          </w:tcPr>
          <w:p>
            <w:pPr>
              <w:ind w:left="160"/>
              <w:spacing w:after="0"/>
              <w:rPr>
                <w:sz w:val="20"/>
                <w:szCs w:val="20"/>
                <w:color w:val="auto"/>
              </w:rPr>
            </w:pPr>
            <w:r>
              <w:rPr>
                <w:rFonts w:ascii="Arial" w:cs="Arial" w:eastAsia="Arial" w:hAnsi="Arial"/>
                <w:sz w:val="17"/>
                <w:szCs w:val="17"/>
                <w:color w:val="auto"/>
              </w:rPr>
              <w:t>Reclassification adjustments:</w:t>
            </w: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6"/>
        </w:trPr>
        <w:tc>
          <w:tcPr>
            <w:tcW w:w="1260" w:type="dxa"/>
            <w:vAlign w:val="bottom"/>
          </w:tcPr>
          <w:p>
            <w:pPr>
              <w:spacing w:after="0"/>
              <w:rPr>
                <w:sz w:val="2"/>
                <w:szCs w:val="2"/>
                <w:color w:val="auto"/>
              </w:rPr>
            </w:pPr>
          </w:p>
        </w:tc>
        <w:tc>
          <w:tcPr>
            <w:tcW w:w="4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14"/>
        </w:trPr>
        <w:tc>
          <w:tcPr>
            <w:tcW w:w="606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w w:val="89"/>
              </w:rPr>
              <w:t>Realized (gain)/loss on cash flow hedges, net of taxes ($205), $175, ($386) and $393,</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41"/>
        </w:trPr>
        <w:tc>
          <w:tcPr>
            <w:tcW w:w="6060" w:type="dxa"/>
            <w:vAlign w:val="bottom"/>
            <w:gridSpan w:val="2"/>
            <w:shd w:val="clear" w:color="auto" w:fill="CCEEFF"/>
          </w:tcPr>
          <w:p>
            <w:pPr>
              <w:ind w:left="260"/>
              <w:spacing w:after="0" w:line="242" w:lineRule="exact"/>
              <w:rPr>
                <w:sz w:val="20"/>
                <w:szCs w:val="20"/>
                <w:color w:val="auto"/>
              </w:rPr>
            </w:pPr>
            <w:r>
              <w:rPr>
                <w:rFonts w:ascii="Arial" w:cs="Arial" w:eastAsia="Arial" w:hAnsi="Arial"/>
                <w:sz w:val="17"/>
                <w:szCs w:val="17"/>
                <w:color w:val="auto"/>
              </w:rPr>
              <w:t>respectively</w:t>
            </w:r>
            <w:r>
              <w:rPr>
                <w:rFonts w:ascii="Arial" w:cs="Arial" w:eastAsia="Arial" w:hAnsi="Arial"/>
                <w:sz w:val="23"/>
                <w:szCs w:val="23"/>
                <w:color w:val="auto"/>
                <w:vertAlign w:val="superscript"/>
              </w:rPr>
              <w:t>(1)</w:t>
            </w:r>
          </w:p>
        </w:tc>
        <w:tc>
          <w:tcPr>
            <w:tcW w:w="3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(261)</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255</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(486)</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570</w:t>
            </w:r>
          </w:p>
        </w:tc>
      </w:tr>
      <w:tr>
        <w:trPr>
          <w:trHeight w:val="253"/>
        </w:trPr>
        <w:tc>
          <w:tcPr>
            <w:tcW w:w="6060" w:type="dxa"/>
            <w:vAlign w:val="bottom"/>
            <w:tcBorders>
              <w:bottom w:val="single" w:sz="8" w:color="CCEEFF"/>
            </w:tcBorders>
            <w:gridSpan w:val="2"/>
          </w:tcPr>
          <w:p>
            <w:pPr>
              <w:ind w:left="260"/>
              <w:spacing w:after="0" w:line="253" w:lineRule="exact"/>
              <w:rPr>
                <w:sz w:val="20"/>
                <w:szCs w:val="20"/>
                <w:color w:val="auto"/>
              </w:rPr>
            </w:pPr>
            <w:r>
              <w:rPr>
                <w:rFonts w:ascii="Arial" w:cs="Arial" w:eastAsia="Arial" w:hAnsi="Arial"/>
                <w:sz w:val="17"/>
                <w:szCs w:val="17"/>
                <w:color w:val="auto"/>
              </w:rPr>
              <w:t>Retirement benefits, net of taxes $1, $15, $3 and $31, respectively</w:t>
            </w:r>
            <w:r>
              <w:rPr>
                <w:rFonts w:ascii="Arial" w:cs="Arial" w:eastAsia="Arial" w:hAnsi="Arial"/>
                <w:sz w:val="23"/>
                <w:szCs w:val="23"/>
                <w:color w:val="auto"/>
                <w:vertAlign w:val="superscript"/>
              </w:rPr>
              <w:t>(2)</w:t>
            </w:r>
          </w:p>
        </w:tc>
        <w:tc>
          <w:tcPr>
            <w:tcW w:w="3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22</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36</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64</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128</w:t>
            </w:r>
          </w:p>
        </w:tc>
      </w:tr>
      <w:tr>
        <w:trPr>
          <w:trHeight w:val="245"/>
        </w:trPr>
        <w:tc>
          <w:tcPr>
            <w:tcW w:w="60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7"/>
                <w:szCs w:val="17"/>
                <w:color w:val="auto"/>
              </w:rPr>
              <w:t>Total other comprehensive income/(loss)</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4,121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(9,333)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401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(10,741)</w:t>
            </w:r>
          </w:p>
        </w:tc>
      </w:tr>
      <w:tr>
        <w:trPr>
          <w:trHeight w:val="239"/>
        </w:trPr>
        <w:tc>
          <w:tcPr>
            <w:tcW w:w="6060" w:type="dxa"/>
            <w:vAlign w:val="bottom"/>
            <w:gridSpan w:val="2"/>
          </w:tcPr>
          <w:p>
            <w:pPr>
              <w:ind w:left="20"/>
              <w:spacing w:after="0"/>
              <w:rPr>
                <w:sz w:val="20"/>
                <w:szCs w:val="20"/>
                <w:color w:val="auto"/>
              </w:rPr>
            </w:pPr>
            <w:r>
              <w:rPr>
                <w:rFonts w:ascii="Arial" w:cs="Arial" w:eastAsia="Arial" w:hAnsi="Arial"/>
                <w:sz w:val="17"/>
                <w:szCs w:val="17"/>
                <w:color w:val="auto"/>
              </w:rPr>
              <w:t>Total comprehensive income</w:t>
            </w:r>
          </w:p>
        </w:tc>
        <w:tc>
          <w:tcPr>
            <w:tcW w:w="32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7"/>
                <w:szCs w:val="17"/>
                <w:color w:val="auto"/>
              </w:rPr>
              <w:t>$</w:t>
            </w:r>
          </w:p>
        </w:tc>
        <w:tc>
          <w:tcPr>
            <w:tcW w:w="9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7"/>
                <w:szCs w:val="17"/>
                <w:color w:val="auto"/>
              </w:rPr>
              <w:t>20,171</w:t>
            </w:r>
          </w:p>
        </w:tc>
        <w:tc>
          <w:tcPr>
            <w:tcW w:w="10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7"/>
                <w:szCs w:val="17"/>
                <w:color w:val="auto"/>
              </w:rPr>
              <w:t>5,829</w:t>
            </w:r>
          </w:p>
        </w:tc>
        <w:tc>
          <w:tcPr>
            <w:tcW w:w="12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7"/>
                <w:szCs w:val="17"/>
                <w:color w:val="auto"/>
              </w:rPr>
              <w:t>46,646</w:t>
            </w:r>
          </w:p>
        </w:tc>
        <w:tc>
          <w:tcPr>
            <w:tcW w:w="12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7"/>
                <w:szCs w:val="17"/>
                <w:color w:val="auto"/>
              </w:rPr>
              <w:t>26,062</w:t>
            </w:r>
          </w:p>
        </w:tc>
      </w:tr>
      <w:tr>
        <w:trPr>
          <w:trHeight w:val="20"/>
        </w:trPr>
        <w:tc>
          <w:tcPr>
            <w:tcW w:w="126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280670</wp:posOffset>
            </wp:positionV>
            <wp:extent cx="5137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371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500" w:right="640" w:hanging="499"/>
        <w:spacing w:after="0" w:line="254" w:lineRule="auto"/>
        <w:tabs>
          <w:tab w:leader="none" w:pos="500" w:val="left"/>
        </w:tabs>
        <w:numPr>
          <w:ilvl w:val="0"/>
          <w:numId w:val="3"/>
        </w:numPr>
        <w:rPr>
          <w:rFonts w:ascii="Arial" w:cs="Arial" w:eastAsia="Arial" w:hAnsi="Arial"/>
          <w:sz w:val="15"/>
          <w:szCs w:val="15"/>
          <w:i w:val="1"/>
          <w:iCs w:val="1"/>
          <w:color w:val="auto"/>
        </w:rPr>
      </w:pPr>
      <w:r>
        <w:rPr>
          <w:rFonts w:ascii="Arial" w:cs="Arial" w:eastAsia="Arial" w:hAnsi="Arial"/>
          <w:sz w:val="15"/>
          <w:szCs w:val="15"/>
          <w:i w:val="1"/>
          <w:iCs w:val="1"/>
          <w:color w:val="auto"/>
        </w:rPr>
        <w:t>These are reclassified to net income and are included in the foreign exchange gain/(loss) in the unaudited consolidated statements of income. See Note 7 to the unaudited consolidated financial statements.</w:t>
      </w:r>
    </w:p>
    <w:p>
      <w:pPr>
        <w:ind w:left="500" w:right="420" w:hanging="499"/>
        <w:spacing w:after="0" w:line="255" w:lineRule="auto"/>
        <w:tabs>
          <w:tab w:leader="none" w:pos="500" w:val="left"/>
        </w:tabs>
        <w:numPr>
          <w:ilvl w:val="0"/>
          <w:numId w:val="3"/>
        </w:numPr>
        <w:rPr>
          <w:rFonts w:ascii="Arial" w:cs="Arial" w:eastAsia="Arial" w:hAnsi="Arial"/>
          <w:sz w:val="15"/>
          <w:szCs w:val="15"/>
          <w:i w:val="1"/>
          <w:iCs w:val="1"/>
          <w:color w:val="auto"/>
        </w:rPr>
      </w:pPr>
      <w:r>
        <w:rPr>
          <w:rFonts w:ascii="Arial" w:cs="Arial" w:eastAsia="Arial" w:hAnsi="Arial"/>
          <w:sz w:val="15"/>
          <w:szCs w:val="15"/>
          <w:i w:val="1"/>
          <w:iCs w:val="1"/>
          <w:color w:val="auto"/>
        </w:rPr>
        <w:t>These are reclassified to net income and are included in the computation of net periodic pension costs in the unaudited consolidated statements of income. See Note 11 to the unaudited consolidated financial statements</w:t>
      </w:r>
      <w:r>
        <w:rPr>
          <w:rFonts w:ascii="Arial" w:cs="Arial" w:eastAsia="Arial" w:hAnsi="Arial"/>
          <w:sz w:val="15"/>
          <w:szCs w:val="15"/>
          <w:color w:val="auto"/>
          <w:shd w:val="clear" w:color="auto" w:fill="CCEEFF"/>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See accompanying notes.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311"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95"/>
        </w:trPr>
        <w:tc>
          <w:tcPr>
            <w:tcW w:w="7880" w:type="dxa"/>
            <w:vAlign w:val="bottom"/>
            <w:gridSpan w:val="2"/>
          </w:tcPr>
          <w:p>
            <w:pPr>
              <w:spacing w:after="0"/>
              <w:rPr>
                <w:rFonts w:ascii="Arial" w:cs="Arial" w:eastAsia="Arial" w:hAnsi="Arial"/>
                <w:sz w:val="17"/>
                <w:szCs w:val="17"/>
                <w:b w:val="1"/>
                <w:bCs w:val="1"/>
                <w:color w:val="0000EE"/>
              </w:rPr>
            </w:pPr>
            <w:hyperlink w:anchor="page2">
              <w:r>
                <w:rPr>
                  <w:rFonts w:ascii="Arial" w:cs="Arial" w:eastAsia="Arial" w:hAnsi="Arial"/>
                  <w:sz w:val="17"/>
                  <w:szCs w:val="17"/>
                  <w:b w:val="1"/>
                  <w:bCs w:val="1"/>
                  <w:color w:val="0000EE"/>
                </w:rPr>
                <w:t>Table of Contents</w:t>
              </w:r>
            </w:hyperlink>
          </w:p>
        </w:tc>
        <w:tc>
          <w:tcPr>
            <w:tcW w:w="4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447"/>
        </w:trPr>
        <w:tc>
          <w:tcPr>
            <w:tcW w:w="1260" w:type="dxa"/>
            <w:vAlign w:val="bottom"/>
            <w:tcBorders>
              <w:top w:val="single" w:sz="8" w:color="0000EE"/>
            </w:tcBorders>
          </w:tcPr>
          <w:p>
            <w:pPr>
              <w:spacing w:after="0"/>
              <w:rPr>
                <w:sz w:val="24"/>
                <w:szCs w:val="24"/>
                <w:color w:val="auto"/>
              </w:rPr>
            </w:pPr>
          </w:p>
        </w:tc>
        <w:tc>
          <w:tcPr>
            <w:tcW w:w="6620" w:type="dxa"/>
            <w:vAlign w:val="bottom"/>
          </w:tcPr>
          <w:p>
            <w:pPr>
              <w:jc w:val="center"/>
              <w:ind w:left="2216"/>
              <w:spacing w:after="0"/>
              <w:rPr>
                <w:sz w:val="20"/>
                <w:szCs w:val="20"/>
                <w:color w:val="auto"/>
              </w:rPr>
            </w:pPr>
            <w:r>
              <w:rPr>
                <w:rFonts w:ascii="Arial" w:cs="Arial" w:eastAsia="Arial" w:hAnsi="Arial"/>
                <w:sz w:val="17"/>
                <w:szCs w:val="17"/>
                <w:b w:val="1"/>
                <w:bCs w:val="1"/>
                <w:color w:val="auto"/>
              </w:rPr>
              <w:t>EXLSERVICE HOLDINGS, INC.</w:t>
            </w:r>
          </w:p>
        </w:tc>
        <w:tc>
          <w:tcPr>
            <w:tcW w:w="4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87"/>
        </w:trPr>
        <w:tc>
          <w:tcPr>
            <w:tcW w:w="1260" w:type="dxa"/>
            <w:vAlign w:val="bottom"/>
          </w:tcPr>
          <w:p>
            <w:pPr>
              <w:spacing w:after="0"/>
              <w:rPr>
                <w:sz w:val="24"/>
                <w:szCs w:val="24"/>
                <w:color w:val="auto"/>
              </w:rPr>
            </w:pPr>
          </w:p>
        </w:tc>
        <w:tc>
          <w:tcPr>
            <w:tcW w:w="7080" w:type="dxa"/>
            <w:vAlign w:val="bottom"/>
            <w:gridSpan w:val="2"/>
          </w:tcPr>
          <w:p>
            <w:pPr>
              <w:jc w:val="center"/>
              <w:ind w:left="1736"/>
              <w:spacing w:after="0"/>
              <w:rPr>
                <w:sz w:val="20"/>
                <w:szCs w:val="20"/>
                <w:color w:val="auto"/>
              </w:rPr>
            </w:pPr>
            <w:r>
              <w:rPr>
                <w:rFonts w:ascii="Arial" w:cs="Arial" w:eastAsia="Arial" w:hAnsi="Arial"/>
                <w:sz w:val="17"/>
                <w:szCs w:val="17"/>
                <w:b w:val="1"/>
                <w:bCs w:val="1"/>
                <w:color w:val="auto"/>
                <w:w w:val="98"/>
              </w:rPr>
              <w:t>UNAUDITED CONSOLIDATED STATEMENTS OF CASH FLOWS</w:t>
            </w: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18"/>
        </w:trPr>
        <w:tc>
          <w:tcPr>
            <w:tcW w:w="1260" w:type="dxa"/>
            <w:vAlign w:val="bottom"/>
          </w:tcPr>
          <w:p>
            <w:pPr>
              <w:spacing w:after="0"/>
              <w:rPr>
                <w:sz w:val="18"/>
                <w:szCs w:val="18"/>
                <w:color w:val="auto"/>
              </w:rPr>
            </w:pPr>
          </w:p>
        </w:tc>
        <w:tc>
          <w:tcPr>
            <w:tcW w:w="6620" w:type="dxa"/>
            <w:vAlign w:val="bottom"/>
          </w:tcPr>
          <w:p>
            <w:pPr>
              <w:jc w:val="center"/>
              <w:ind w:left="2216"/>
              <w:spacing w:after="0"/>
              <w:rPr>
                <w:sz w:val="20"/>
                <w:szCs w:val="20"/>
                <w:color w:val="auto"/>
              </w:rPr>
            </w:pPr>
            <w:r>
              <w:rPr>
                <w:rFonts w:ascii="Arial" w:cs="Arial" w:eastAsia="Arial" w:hAnsi="Arial"/>
                <w:sz w:val="17"/>
                <w:szCs w:val="17"/>
                <w:b w:val="1"/>
                <w:bCs w:val="1"/>
                <w:color w:val="auto"/>
                <w:w w:val="88"/>
              </w:rPr>
              <w:t>(In thousands)</w:t>
            </w:r>
          </w:p>
        </w:tc>
        <w:tc>
          <w:tcPr>
            <w:tcW w:w="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54"/>
        </w:trPr>
        <w:tc>
          <w:tcPr>
            <w:tcW w:w="12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80" w:type="dxa"/>
            <w:vAlign w:val="bottom"/>
            <w:gridSpan w:val="4"/>
          </w:tcPr>
          <w:p>
            <w:pPr>
              <w:jc w:val="right"/>
              <w:ind w:right="436"/>
              <w:spacing w:after="0"/>
              <w:rPr>
                <w:sz w:val="20"/>
                <w:szCs w:val="20"/>
                <w:color w:val="auto"/>
              </w:rPr>
            </w:pPr>
            <w:r>
              <w:rPr>
                <w:rFonts w:ascii="Arial" w:cs="Arial" w:eastAsia="Arial" w:hAnsi="Arial"/>
                <w:sz w:val="17"/>
                <w:szCs w:val="17"/>
                <w:b w:val="1"/>
                <w:bCs w:val="1"/>
                <w:color w:val="auto"/>
                <w:w w:val="91"/>
              </w:rPr>
              <w:t>Nine months ended September 30,</w:t>
            </w:r>
          </w:p>
        </w:tc>
      </w:tr>
      <w:tr>
        <w:trPr>
          <w:trHeight w:val="26"/>
        </w:trPr>
        <w:tc>
          <w:tcPr>
            <w:tcW w:w="1260" w:type="dxa"/>
            <w:vAlign w:val="bottom"/>
          </w:tcPr>
          <w:p>
            <w:pPr>
              <w:spacing w:after="0"/>
              <w:rPr>
                <w:sz w:val="2"/>
                <w:szCs w:val="2"/>
                <w:color w:val="auto"/>
              </w:rPr>
            </w:pPr>
          </w:p>
        </w:tc>
        <w:tc>
          <w:tcPr>
            <w:tcW w:w="66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0"/>
        </w:trPr>
        <w:tc>
          <w:tcPr>
            <w:tcW w:w="1260" w:type="dxa"/>
            <w:vAlign w:val="bottom"/>
          </w:tcPr>
          <w:p>
            <w:pPr>
              <w:spacing w:after="0"/>
              <w:rPr>
                <w:sz w:val="19"/>
                <w:szCs w:val="19"/>
                <w:color w:val="auto"/>
              </w:rPr>
            </w:pPr>
          </w:p>
        </w:tc>
        <w:tc>
          <w:tcPr>
            <w:tcW w:w="66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60" w:type="dxa"/>
            <w:vAlign w:val="bottom"/>
          </w:tcPr>
          <w:p>
            <w:pPr>
              <w:jc w:val="right"/>
              <w:ind w:right="596"/>
              <w:spacing w:after="0"/>
              <w:rPr>
                <w:sz w:val="20"/>
                <w:szCs w:val="20"/>
                <w:color w:val="auto"/>
              </w:rPr>
            </w:pPr>
            <w:r>
              <w:rPr>
                <w:rFonts w:ascii="Arial" w:cs="Arial" w:eastAsia="Arial" w:hAnsi="Arial"/>
                <w:sz w:val="17"/>
                <w:szCs w:val="17"/>
                <w:b w:val="1"/>
                <w:bCs w:val="1"/>
                <w:color w:val="auto"/>
              </w:rPr>
              <w:t>2016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ind w:right="596"/>
              <w:spacing w:after="0"/>
              <w:rPr>
                <w:sz w:val="20"/>
                <w:szCs w:val="20"/>
                <w:color w:val="auto"/>
              </w:rPr>
            </w:pPr>
            <w:r>
              <w:rPr>
                <w:rFonts w:ascii="Arial" w:cs="Arial" w:eastAsia="Arial" w:hAnsi="Arial"/>
                <w:sz w:val="17"/>
                <w:szCs w:val="17"/>
                <w:b w:val="1"/>
                <w:bCs w:val="1"/>
                <w:color w:val="auto"/>
              </w:rPr>
              <w:t>2015</w:t>
            </w:r>
          </w:p>
        </w:tc>
      </w:tr>
      <w:tr>
        <w:trPr>
          <w:trHeight w:val="26"/>
        </w:trPr>
        <w:tc>
          <w:tcPr>
            <w:tcW w:w="1260" w:type="dxa"/>
            <w:vAlign w:val="bottom"/>
            <w:tcBorders>
              <w:bottom w:val="single" w:sz="8" w:color="CCEEFF"/>
            </w:tcBorders>
          </w:tcPr>
          <w:p>
            <w:pPr>
              <w:spacing w:after="0"/>
              <w:rPr>
                <w:sz w:val="2"/>
                <w:szCs w:val="2"/>
                <w:color w:val="auto"/>
              </w:rPr>
            </w:pPr>
          </w:p>
        </w:tc>
        <w:tc>
          <w:tcPr>
            <w:tcW w:w="66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5"/>
        </w:trPr>
        <w:tc>
          <w:tcPr>
            <w:tcW w:w="7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Cash flows from operating activities:</w:t>
            </w:r>
          </w:p>
        </w:tc>
        <w:tc>
          <w:tcPr>
            <w:tcW w:w="46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r>
      <w:tr>
        <w:trPr>
          <w:trHeight w:val="227"/>
        </w:trPr>
        <w:tc>
          <w:tcPr>
            <w:tcW w:w="7880" w:type="dxa"/>
            <w:vAlign w:val="bottom"/>
            <w:gridSpan w:val="2"/>
          </w:tcPr>
          <w:p>
            <w:pPr>
              <w:ind w:left="20"/>
              <w:spacing w:after="0"/>
              <w:rPr>
                <w:sz w:val="20"/>
                <w:szCs w:val="20"/>
                <w:color w:val="auto"/>
              </w:rPr>
            </w:pPr>
            <w:r>
              <w:rPr>
                <w:rFonts w:ascii="Arial" w:cs="Arial" w:eastAsia="Arial" w:hAnsi="Arial"/>
                <w:sz w:val="17"/>
                <w:szCs w:val="17"/>
                <w:color w:val="auto"/>
              </w:rPr>
              <w:t>Net income</w:t>
            </w:r>
          </w:p>
        </w:tc>
        <w:tc>
          <w:tcPr>
            <w:tcW w:w="460" w:type="dxa"/>
            <w:vAlign w:val="bottom"/>
          </w:tcPr>
          <w:p>
            <w:pPr>
              <w:jc w:val="right"/>
              <w:ind w:right="256"/>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16"/>
              <w:spacing w:after="0"/>
              <w:rPr>
                <w:sz w:val="20"/>
                <w:szCs w:val="20"/>
                <w:color w:val="auto"/>
              </w:rPr>
            </w:pPr>
            <w:r>
              <w:rPr>
                <w:rFonts w:ascii="Arial" w:cs="Arial" w:eastAsia="Arial" w:hAnsi="Arial"/>
                <w:sz w:val="17"/>
                <w:szCs w:val="17"/>
                <w:color w:val="auto"/>
              </w:rPr>
              <w:t>46,245</w:t>
            </w:r>
          </w:p>
        </w:tc>
        <w:tc>
          <w:tcPr>
            <w:tcW w:w="120" w:type="dxa"/>
            <w:vAlign w:val="bottom"/>
          </w:tcPr>
          <w:p>
            <w:pPr>
              <w:spacing w:after="0"/>
              <w:rPr>
                <w:sz w:val="19"/>
                <w:szCs w:val="19"/>
                <w:color w:val="auto"/>
              </w:rPr>
            </w:pPr>
          </w:p>
        </w:tc>
        <w:tc>
          <w:tcPr>
            <w:tcW w:w="400" w:type="dxa"/>
            <w:vAlign w:val="bottom"/>
          </w:tcPr>
          <w:p>
            <w:pPr>
              <w:jc w:val="right"/>
              <w:ind w:right="196"/>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16"/>
              <w:spacing w:after="0"/>
              <w:rPr>
                <w:sz w:val="20"/>
                <w:szCs w:val="20"/>
                <w:color w:val="auto"/>
              </w:rPr>
            </w:pPr>
            <w:r>
              <w:rPr>
                <w:rFonts w:ascii="Arial" w:cs="Arial" w:eastAsia="Arial" w:hAnsi="Arial"/>
                <w:sz w:val="17"/>
                <w:szCs w:val="17"/>
                <w:color w:val="auto"/>
              </w:rPr>
              <w:t>36,803</w:t>
            </w:r>
          </w:p>
        </w:tc>
      </w:tr>
      <w:tr>
        <w:trPr>
          <w:trHeight w:val="26"/>
        </w:trPr>
        <w:tc>
          <w:tcPr>
            <w:tcW w:w="1260" w:type="dxa"/>
            <w:vAlign w:val="bottom"/>
          </w:tcPr>
          <w:p>
            <w:pPr>
              <w:spacing w:after="0"/>
              <w:rPr>
                <w:sz w:val="2"/>
                <w:szCs w:val="2"/>
                <w:color w:val="auto"/>
              </w:rPr>
            </w:pPr>
          </w:p>
        </w:tc>
        <w:tc>
          <w:tcPr>
            <w:tcW w:w="6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3"/>
        </w:trPr>
        <w:tc>
          <w:tcPr>
            <w:tcW w:w="7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Adjustments to reconcile net income to net cash provided by operating activities:</w:t>
            </w:r>
          </w:p>
        </w:tc>
        <w:tc>
          <w:tcPr>
            <w:tcW w:w="4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r>
      <w:tr>
        <w:trPr>
          <w:trHeight w:val="227"/>
        </w:trPr>
        <w:tc>
          <w:tcPr>
            <w:tcW w:w="7880" w:type="dxa"/>
            <w:vAlign w:val="bottom"/>
            <w:gridSpan w:val="2"/>
          </w:tcPr>
          <w:p>
            <w:pPr>
              <w:ind w:left="360"/>
              <w:spacing w:after="0"/>
              <w:rPr>
                <w:sz w:val="20"/>
                <w:szCs w:val="20"/>
                <w:color w:val="auto"/>
              </w:rPr>
            </w:pPr>
            <w:r>
              <w:rPr>
                <w:rFonts w:ascii="Arial" w:cs="Arial" w:eastAsia="Arial" w:hAnsi="Arial"/>
                <w:sz w:val="17"/>
                <w:szCs w:val="17"/>
                <w:color w:val="auto"/>
              </w:rPr>
              <w:t>Depreciation and amortization</w:t>
            </w:r>
          </w:p>
        </w:tc>
        <w:tc>
          <w:tcPr>
            <w:tcW w:w="460" w:type="dxa"/>
            <w:vAlign w:val="bottom"/>
          </w:tcPr>
          <w:p>
            <w:pPr>
              <w:spacing w:after="0"/>
              <w:rPr>
                <w:sz w:val="19"/>
                <w:szCs w:val="19"/>
                <w:color w:val="auto"/>
              </w:rPr>
            </w:pPr>
          </w:p>
        </w:tc>
        <w:tc>
          <w:tcPr>
            <w:tcW w:w="1260" w:type="dxa"/>
            <w:vAlign w:val="bottom"/>
          </w:tcPr>
          <w:p>
            <w:pPr>
              <w:jc w:val="right"/>
              <w:ind w:right="16"/>
              <w:spacing w:after="0"/>
              <w:rPr>
                <w:sz w:val="20"/>
                <w:szCs w:val="20"/>
                <w:color w:val="auto"/>
              </w:rPr>
            </w:pPr>
            <w:r>
              <w:rPr>
                <w:rFonts w:ascii="Arial" w:cs="Arial" w:eastAsia="Arial" w:hAnsi="Arial"/>
                <w:sz w:val="17"/>
                <w:szCs w:val="17"/>
                <w:color w:val="auto"/>
              </w:rPr>
              <w:t>25,000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ind w:right="16"/>
              <w:spacing w:after="0"/>
              <w:rPr>
                <w:sz w:val="20"/>
                <w:szCs w:val="20"/>
                <w:color w:val="auto"/>
              </w:rPr>
            </w:pPr>
            <w:r>
              <w:rPr>
                <w:rFonts w:ascii="Arial" w:cs="Arial" w:eastAsia="Arial" w:hAnsi="Arial"/>
                <w:sz w:val="17"/>
                <w:szCs w:val="17"/>
                <w:color w:val="auto"/>
              </w:rPr>
              <w:t>23,171</w:t>
            </w:r>
          </w:p>
        </w:tc>
      </w:tr>
      <w:tr>
        <w:trPr>
          <w:trHeight w:val="26"/>
        </w:trPr>
        <w:tc>
          <w:tcPr>
            <w:tcW w:w="1260" w:type="dxa"/>
            <w:vAlign w:val="bottom"/>
          </w:tcPr>
          <w:p>
            <w:pPr>
              <w:spacing w:after="0"/>
              <w:rPr>
                <w:sz w:val="2"/>
                <w:szCs w:val="2"/>
                <w:color w:val="auto"/>
              </w:rPr>
            </w:pPr>
          </w:p>
        </w:tc>
        <w:tc>
          <w:tcPr>
            <w:tcW w:w="6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3"/>
        </w:trPr>
        <w:tc>
          <w:tcPr>
            <w:tcW w:w="78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7"/>
                <w:szCs w:val="17"/>
                <w:color w:val="auto"/>
              </w:rPr>
              <w:t>Stock-based compensation expense</w:t>
            </w:r>
          </w:p>
        </w:tc>
        <w:tc>
          <w:tcPr>
            <w:tcW w:w="4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14,743</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12,280</w:t>
            </w:r>
          </w:p>
        </w:tc>
      </w:tr>
      <w:tr>
        <w:trPr>
          <w:trHeight w:val="227"/>
        </w:trPr>
        <w:tc>
          <w:tcPr>
            <w:tcW w:w="7880" w:type="dxa"/>
            <w:vAlign w:val="bottom"/>
            <w:gridSpan w:val="2"/>
          </w:tcPr>
          <w:p>
            <w:pPr>
              <w:ind w:left="360"/>
              <w:spacing w:after="0"/>
              <w:rPr>
                <w:sz w:val="20"/>
                <w:szCs w:val="20"/>
                <w:color w:val="auto"/>
              </w:rPr>
            </w:pPr>
            <w:r>
              <w:rPr>
                <w:rFonts w:ascii="Arial" w:cs="Arial" w:eastAsia="Arial" w:hAnsi="Arial"/>
                <w:sz w:val="17"/>
                <w:szCs w:val="17"/>
                <w:color w:val="auto"/>
              </w:rPr>
              <w:t>Unrealized gain on short term investments</w:t>
            </w:r>
          </w:p>
        </w:tc>
        <w:tc>
          <w:tcPr>
            <w:tcW w:w="4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(4,955)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(2,179)</w:t>
            </w:r>
          </w:p>
        </w:tc>
      </w:tr>
      <w:tr>
        <w:trPr>
          <w:trHeight w:val="26"/>
        </w:trPr>
        <w:tc>
          <w:tcPr>
            <w:tcW w:w="1260" w:type="dxa"/>
            <w:vAlign w:val="bottom"/>
          </w:tcPr>
          <w:p>
            <w:pPr>
              <w:spacing w:after="0"/>
              <w:rPr>
                <w:sz w:val="2"/>
                <w:szCs w:val="2"/>
                <w:color w:val="auto"/>
              </w:rPr>
            </w:pPr>
          </w:p>
        </w:tc>
        <w:tc>
          <w:tcPr>
            <w:tcW w:w="6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3"/>
        </w:trPr>
        <w:tc>
          <w:tcPr>
            <w:tcW w:w="78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7"/>
                <w:szCs w:val="17"/>
                <w:color w:val="auto"/>
              </w:rPr>
              <w:t>Unrealized foreign exchange gain</w:t>
            </w:r>
          </w:p>
        </w:tc>
        <w:tc>
          <w:tcPr>
            <w:tcW w:w="4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(147)</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(2,850)</w:t>
            </w:r>
          </w:p>
        </w:tc>
      </w:tr>
      <w:tr>
        <w:trPr>
          <w:trHeight w:val="227"/>
        </w:trPr>
        <w:tc>
          <w:tcPr>
            <w:tcW w:w="7880" w:type="dxa"/>
            <w:vAlign w:val="bottom"/>
            <w:gridSpan w:val="2"/>
          </w:tcPr>
          <w:p>
            <w:pPr>
              <w:ind w:left="360"/>
              <w:spacing w:after="0"/>
              <w:rPr>
                <w:sz w:val="20"/>
                <w:szCs w:val="20"/>
                <w:color w:val="auto"/>
              </w:rPr>
            </w:pPr>
            <w:r>
              <w:rPr>
                <w:rFonts w:ascii="Arial" w:cs="Arial" w:eastAsia="Arial" w:hAnsi="Arial"/>
                <w:sz w:val="17"/>
                <w:szCs w:val="17"/>
                <w:color w:val="auto"/>
              </w:rPr>
              <w:t>Deferred income taxes</w:t>
            </w:r>
          </w:p>
        </w:tc>
        <w:tc>
          <w:tcPr>
            <w:tcW w:w="460" w:type="dxa"/>
            <w:vAlign w:val="bottom"/>
          </w:tcPr>
          <w:p>
            <w:pPr>
              <w:spacing w:after="0"/>
              <w:rPr>
                <w:sz w:val="19"/>
                <w:szCs w:val="19"/>
                <w:color w:val="auto"/>
              </w:rPr>
            </w:pPr>
          </w:p>
        </w:tc>
        <w:tc>
          <w:tcPr>
            <w:tcW w:w="1260" w:type="dxa"/>
            <w:vAlign w:val="bottom"/>
          </w:tcPr>
          <w:p>
            <w:pPr>
              <w:jc w:val="right"/>
              <w:ind w:right="16"/>
              <w:spacing w:after="0"/>
              <w:rPr>
                <w:sz w:val="20"/>
                <w:szCs w:val="20"/>
                <w:color w:val="auto"/>
              </w:rPr>
            </w:pPr>
            <w:r>
              <w:rPr>
                <w:rFonts w:ascii="Arial" w:cs="Arial" w:eastAsia="Arial" w:hAnsi="Arial"/>
                <w:sz w:val="17"/>
                <w:szCs w:val="17"/>
                <w:color w:val="auto"/>
              </w:rPr>
              <w:t>4,424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ind w:right="16"/>
              <w:spacing w:after="0"/>
              <w:rPr>
                <w:sz w:val="20"/>
                <w:szCs w:val="20"/>
                <w:color w:val="auto"/>
              </w:rPr>
            </w:pPr>
            <w:r>
              <w:rPr>
                <w:rFonts w:ascii="Arial" w:cs="Arial" w:eastAsia="Arial" w:hAnsi="Arial"/>
                <w:sz w:val="17"/>
                <w:szCs w:val="17"/>
                <w:color w:val="auto"/>
              </w:rPr>
              <w:t>3,596</w:t>
            </w:r>
          </w:p>
        </w:tc>
      </w:tr>
      <w:tr>
        <w:trPr>
          <w:trHeight w:val="26"/>
        </w:trPr>
        <w:tc>
          <w:tcPr>
            <w:tcW w:w="1260" w:type="dxa"/>
            <w:vAlign w:val="bottom"/>
          </w:tcPr>
          <w:p>
            <w:pPr>
              <w:spacing w:after="0"/>
              <w:rPr>
                <w:sz w:val="2"/>
                <w:szCs w:val="2"/>
                <w:color w:val="auto"/>
              </w:rPr>
            </w:pPr>
          </w:p>
        </w:tc>
        <w:tc>
          <w:tcPr>
            <w:tcW w:w="6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3"/>
        </w:trPr>
        <w:tc>
          <w:tcPr>
            <w:tcW w:w="78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7"/>
                <w:szCs w:val="17"/>
                <w:color w:val="auto"/>
              </w:rPr>
              <w:t>Change in fair value of earn-out consideration</w:t>
            </w:r>
          </w:p>
        </w:tc>
        <w:tc>
          <w:tcPr>
            <w:tcW w:w="4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(4,060)</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r>
      <w:tr>
        <w:trPr>
          <w:trHeight w:val="227"/>
        </w:trPr>
        <w:tc>
          <w:tcPr>
            <w:tcW w:w="7880" w:type="dxa"/>
            <w:vAlign w:val="bottom"/>
            <w:gridSpan w:val="2"/>
          </w:tcPr>
          <w:p>
            <w:pPr>
              <w:ind w:left="360"/>
              <w:spacing w:after="0"/>
              <w:rPr>
                <w:sz w:val="20"/>
                <w:szCs w:val="20"/>
                <w:color w:val="auto"/>
              </w:rPr>
            </w:pPr>
            <w:r>
              <w:rPr>
                <w:rFonts w:ascii="Arial" w:cs="Arial" w:eastAsia="Arial" w:hAnsi="Arial"/>
                <w:sz w:val="17"/>
                <w:szCs w:val="17"/>
                <w:color w:val="auto"/>
              </w:rPr>
              <w:t>Others, net</w:t>
            </w:r>
          </w:p>
        </w:tc>
        <w:tc>
          <w:tcPr>
            <w:tcW w:w="4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(84)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(249)</w:t>
            </w:r>
          </w:p>
        </w:tc>
      </w:tr>
      <w:tr>
        <w:trPr>
          <w:trHeight w:val="26"/>
        </w:trPr>
        <w:tc>
          <w:tcPr>
            <w:tcW w:w="1260" w:type="dxa"/>
            <w:vAlign w:val="bottom"/>
          </w:tcPr>
          <w:p>
            <w:pPr>
              <w:spacing w:after="0"/>
              <w:rPr>
                <w:sz w:val="2"/>
                <w:szCs w:val="2"/>
                <w:color w:val="auto"/>
              </w:rPr>
            </w:pPr>
          </w:p>
        </w:tc>
        <w:tc>
          <w:tcPr>
            <w:tcW w:w="6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3"/>
        </w:trPr>
        <w:tc>
          <w:tcPr>
            <w:tcW w:w="7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Change in operating assets and liabilities (net of effect of acquisitions):</w:t>
            </w:r>
          </w:p>
        </w:tc>
        <w:tc>
          <w:tcPr>
            <w:tcW w:w="4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r>
      <w:tr>
        <w:trPr>
          <w:trHeight w:val="227"/>
        </w:trPr>
        <w:tc>
          <w:tcPr>
            <w:tcW w:w="7880" w:type="dxa"/>
            <w:vAlign w:val="bottom"/>
            <w:gridSpan w:val="2"/>
          </w:tcPr>
          <w:p>
            <w:pPr>
              <w:ind w:left="360"/>
              <w:spacing w:after="0"/>
              <w:rPr>
                <w:sz w:val="20"/>
                <w:szCs w:val="20"/>
                <w:color w:val="auto"/>
              </w:rPr>
            </w:pPr>
            <w:r>
              <w:rPr>
                <w:rFonts w:ascii="Arial" w:cs="Arial" w:eastAsia="Arial" w:hAnsi="Arial"/>
                <w:sz w:val="17"/>
                <w:szCs w:val="17"/>
                <w:color w:val="auto"/>
              </w:rPr>
              <w:t>Restricted cash</w:t>
            </w:r>
          </w:p>
        </w:tc>
        <w:tc>
          <w:tcPr>
            <w:tcW w:w="4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(464)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(1,313)</w:t>
            </w:r>
          </w:p>
        </w:tc>
      </w:tr>
      <w:tr>
        <w:trPr>
          <w:trHeight w:val="26"/>
        </w:trPr>
        <w:tc>
          <w:tcPr>
            <w:tcW w:w="1260" w:type="dxa"/>
            <w:vAlign w:val="bottom"/>
          </w:tcPr>
          <w:p>
            <w:pPr>
              <w:spacing w:after="0"/>
              <w:rPr>
                <w:sz w:val="2"/>
                <w:szCs w:val="2"/>
                <w:color w:val="auto"/>
              </w:rPr>
            </w:pPr>
          </w:p>
        </w:tc>
        <w:tc>
          <w:tcPr>
            <w:tcW w:w="6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3"/>
        </w:trPr>
        <w:tc>
          <w:tcPr>
            <w:tcW w:w="78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7"/>
                <w:szCs w:val="17"/>
                <w:color w:val="auto"/>
              </w:rPr>
              <w:t>Accounts receivable</w:t>
            </w:r>
          </w:p>
        </w:tc>
        <w:tc>
          <w:tcPr>
            <w:tcW w:w="4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(16,522)</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(14,647)</w:t>
            </w:r>
          </w:p>
        </w:tc>
      </w:tr>
      <w:tr>
        <w:trPr>
          <w:trHeight w:val="227"/>
        </w:trPr>
        <w:tc>
          <w:tcPr>
            <w:tcW w:w="7880" w:type="dxa"/>
            <w:vAlign w:val="bottom"/>
            <w:gridSpan w:val="2"/>
          </w:tcPr>
          <w:p>
            <w:pPr>
              <w:ind w:left="360"/>
              <w:spacing w:after="0"/>
              <w:rPr>
                <w:sz w:val="20"/>
                <w:szCs w:val="20"/>
                <w:color w:val="auto"/>
              </w:rPr>
            </w:pPr>
            <w:r>
              <w:rPr>
                <w:rFonts w:ascii="Arial" w:cs="Arial" w:eastAsia="Arial" w:hAnsi="Arial"/>
                <w:sz w:val="17"/>
                <w:szCs w:val="17"/>
                <w:color w:val="auto"/>
              </w:rPr>
              <w:t>Prepaid expenses and other current assets</w:t>
            </w:r>
          </w:p>
        </w:tc>
        <w:tc>
          <w:tcPr>
            <w:tcW w:w="4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(587)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ind w:right="16"/>
              <w:spacing w:after="0"/>
              <w:rPr>
                <w:sz w:val="20"/>
                <w:szCs w:val="20"/>
                <w:color w:val="auto"/>
              </w:rPr>
            </w:pPr>
            <w:r>
              <w:rPr>
                <w:rFonts w:ascii="Arial" w:cs="Arial" w:eastAsia="Arial" w:hAnsi="Arial"/>
                <w:sz w:val="17"/>
                <w:szCs w:val="17"/>
                <w:color w:val="auto"/>
              </w:rPr>
              <w:t>977</w:t>
            </w:r>
          </w:p>
        </w:tc>
      </w:tr>
      <w:tr>
        <w:trPr>
          <w:trHeight w:val="26"/>
        </w:trPr>
        <w:tc>
          <w:tcPr>
            <w:tcW w:w="1260" w:type="dxa"/>
            <w:vAlign w:val="bottom"/>
          </w:tcPr>
          <w:p>
            <w:pPr>
              <w:spacing w:after="0"/>
              <w:rPr>
                <w:sz w:val="2"/>
                <w:szCs w:val="2"/>
                <w:color w:val="auto"/>
              </w:rPr>
            </w:pPr>
          </w:p>
        </w:tc>
        <w:tc>
          <w:tcPr>
            <w:tcW w:w="6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3"/>
        </w:trPr>
        <w:tc>
          <w:tcPr>
            <w:tcW w:w="78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7"/>
                <w:szCs w:val="17"/>
                <w:color w:val="auto"/>
              </w:rPr>
              <w:t>Accounts payable</w:t>
            </w:r>
          </w:p>
        </w:tc>
        <w:tc>
          <w:tcPr>
            <w:tcW w:w="4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(2,518)</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(1,602)</w:t>
            </w:r>
          </w:p>
        </w:tc>
      </w:tr>
      <w:tr>
        <w:trPr>
          <w:trHeight w:val="227"/>
        </w:trPr>
        <w:tc>
          <w:tcPr>
            <w:tcW w:w="7880" w:type="dxa"/>
            <w:vAlign w:val="bottom"/>
            <w:gridSpan w:val="2"/>
          </w:tcPr>
          <w:p>
            <w:pPr>
              <w:ind w:left="360"/>
              <w:spacing w:after="0"/>
              <w:rPr>
                <w:sz w:val="20"/>
                <w:szCs w:val="20"/>
                <w:color w:val="auto"/>
              </w:rPr>
            </w:pPr>
            <w:r>
              <w:rPr>
                <w:rFonts w:ascii="Arial" w:cs="Arial" w:eastAsia="Arial" w:hAnsi="Arial"/>
                <w:sz w:val="17"/>
                <w:szCs w:val="17"/>
                <w:color w:val="auto"/>
              </w:rPr>
              <w:t>Deferred revenue</w:t>
            </w:r>
          </w:p>
        </w:tc>
        <w:tc>
          <w:tcPr>
            <w:tcW w:w="4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(1,485)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(915)</w:t>
            </w:r>
          </w:p>
        </w:tc>
      </w:tr>
      <w:tr>
        <w:trPr>
          <w:trHeight w:val="26"/>
        </w:trPr>
        <w:tc>
          <w:tcPr>
            <w:tcW w:w="1260" w:type="dxa"/>
            <w:vAlign w:val="bottom"/>
          </w:tcPr>
          <w:p>
            <w:pPr>
              <w:spacing w:after="0"/>
              <w:rPr>
                <w:sz w:val="2"/>
                <w:szCs w:val="2"/>
                <w:color w:val="auto"/>
              </w:rPr>
            </w:pPr>
          </w:p>
        </w:tc>
        <w:tc>
          <w:tcPr>
            <w:tcW w:w="6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3"/>
        </w:trPr>
        <w:tc>
          <w:tcPr>
            <w:tcW w:w="78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7"/>
                <w:szCs w:val="17"/>
                <w:color w:val="auto"/>
              </w:rPr>
              <w:t>Accrued employee costs</w:t>
            </w:r>
          </w:p>
        </w:tc>
        <w:tc>
          <w:tcPr>
            <w:tcW w:w="4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(3,812)</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460</w:t>
            </w:r>
          </w:p>
        </w:tc>
      </w:tr>
      <w:tr>
        <w:trPr>
          <w:trHeight w:val="227"/>
        </w:trPr>
        <w:tc>
          <w:tcPr>
            <w:tcW w:w="7880" w:type="dxa"/>
            <w:vAlign w:val="bottom"/>
            <w:gridSpan w:val="2"/>
          </w:tcPr>
          <w:p>
            <w:pPr>
              <w:ind w:left="360"/>
              <w:spacing w:after="0"/>
              <w:rPr>
                <w:sz w:val="20"/>
                <w:szCs w:val="20"/>
                <w:color w:val="auto"/>
              </w:rPr>
            </w:pPr>
            <w:r>
              <w:rPr>
                <w:rFonts w:ascii="Arial" w:cs="Arial" w:eastAsia="Arial" w:hAnsi="Arial"/>
                <w:sz w:val="17"/>
                <w:szCs w:val="17"/>
                <w:color w:val="auto"/>
              </w:rPr>
              <w:t>Accrued expenses and other liabilities</w:t>
            </w:r>
          </w:p>
        </w:tc>
        <w:tc>
          <w:tcPr>
            <w:tcW w:w="460" w:type="dxa"/>
            <w:vAlign w:val="bottom"/>
          </w:tcPr>
          <w:p>
            <w:pPr>
              <w:spacing w:after="0"/>
              <w:rPr>
                <w:sz w:val="19"/>
                <w:szCs w:val="19"/>
                <w:color w:val="auto"/>
              </w:rPr>
            </w:pPr>
          </w:p>
        </w:tc>
        <w:tc>
          <w:tcPr>
            <w:tcW w:w="1260" w:type="dxa"/>
            <w:vAlign w:val="bottom"/>
          </w:tcPr>
          <w:p>
            <w:pPr>
              <w:jc w:val="right"/>
              <w:ind w:right="16"/>
              <w:spacing w:after="0"/>
              <w:rPr>
                <w:sz w:val="20"/>
                <w:szCs w:val="20"/>
                <w:color w:val="auto"/>
              </w:rPr>
            </w:pPr>
            <w:r>
              <w:rPr>
                <w:rFonts w:ascii="Arial" w:cs="Arial" w:eastAsia="Arial" w:hAnsi="Arial"/>
                <w:sz w:val="17"/>
                <w:szCs w:val="17"/>
                <w:color w:val="auto"/>
              </w:rPr>
              <w:t>5,688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(3,973)</w:t>
            </w:r>
          </w:p>
        </w:tc>
      </w:tr>
      <w:tr>
        <w:trPr>
          <w:trHeight w:val="26"/>
        </w:trPr>
        <w:tc>
          <w:tcPr>
            <w:tcW w:w="1260" w:type="dxa"/>
            <w:vAlign w:val="bottom"/>
          </w:tcPr>
          <w:p>
            <w:pPr>
              <w:spacing w:after="0"/>
              <w:rPr>
                <w:sz w:val="2"/>
                <w:szCs w:val="2"/>
                <w:color w:val="auto"/>
              </w:rPr>
            </w:pPr>
          </w:p>
        </w:tc>
        <w:tc>
          <w:tcPr>
            <w:tcW w:w="6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3"/>
        </w:trPr>
        <w:tc>
          <w:tcPr>
            <w:tcW w:w="78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7"/>
                <w:szCs w:val="17"/>
                <w:color w:val="auto"/>
              </w:rPr>
              <w:t>Advance income tax, net</w:t>
            </w:r>
          </w:p>
        </w:tc>
        <w:tc>
          <w:tcPr>
            <w:tcW w:w="4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(4,748)</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5,751</w:t>
            </w:r>
          </w:p>
        </w:tc>
      </w:tr>
      <w:tr>
        <w:trPr>
          <w:trHeight w:val="227"/>
        </w:trPr>
        <w:tc>
          <w:tcPr>
            <w:tcW w:w="7880" w:type="dxa"/>
            <w:vAlign w:val="bottom"/>
            <w:gridSpan w:val="2"/>
          </w:tcPr>
          <w:p>
            <w:pPr>
              <w:ind w:left="360"/>
              <w:spacing w:after="0"/>
              <w:rPr>
                <w:sz w:val="20"/>
                <w:szCs w:val="20"/>
                <w:color w:val="auto"/>
              </w:rPr>
            </w:pPr>
            <w:r>
              <w:rPr>
                <w:rFonts w:ascii="Arial" w:cs="Arial" w:eastAsia="Arial" w:hAnsi="Arial"/>
                <w:sz w:val="17"/>
                <w:szCs w:val="17"/>
                <w:color w:val="auto"/>
              </w:rPr>
              <w:t>Other assets</w:t>
            </w:r>
          </w:p>
        </w:tc>
        <w:tc>
          <w:tcPr>
            <w:tcW w:w="4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(676)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(760)</w:t>
            </w:r>
          </w:p>
        </w:tc>
      </w:tr>
      <w:tr>
        <w:trPr>
          <w:trHeight w:val="26"/>
        </w:trPr>
        <w:tc>
          <w:tcPr>
            <w:tcW w:w="1260" w:type="dxa"/>
            <w:vAlign w:val="bottom"/>
            <w:tcBorders>
              <w:bottom w:val="single" w:sz="8" w:color="CCEEFF"/>
            </w:tcBorders>
          </w:tcPr>
          <w:p>
            <w:pPr>
              <w:spacing w:after="0"/>
              <w:rPr>
                <w:sz w:val="2"/>
                <w:szCs w:val="2"/>
                <w:color w:val="auto"/>
              </w:rPr>
            </w:pPr>
          </w:p>
        </w:tc>
        <w:tc>
          <w:tcPr>
            <w:tcW w:w="66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5"/>
        </w:trPr>
        <w:tc>
          <w:tcPr>
            <w:tcW w:w="7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Net cash provided by operating activities</w:t>
            </w:r>
          </w:p>
        </w:tc>
        <w:tc>
          <w:tcPr>
            <w:tcW w:w="4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56,042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54,550</w:t>
            </w:r>
          </w:p>
        </w:tc>
      </w:tr>
      <w:tr>
        <w:trPr>
          <w:trHeight w:val="245"/>
        </w:trPr>
        <w:tc>
          <w:tcPr>
            <w:tcW w:w="1260" w:type="dxa"/>
            <w:vAlign w:val="bottom"/>
          </w:tcPr>
          <w:p>
            <w:pPr>
              <w:spacing w:after="0"/>
              <w:rPr>
                <w:sz w:val="21"/>
                <w:szCs w:val="21"/>
                <w:color w:val="auto"/>
              </w:rPr>
            </w:pPr>
          </w:p>
        </w:tc>
        <w:tc>
          <w:tcPr>
            <w:tcW w:w="6620" w:type="dxa"/>
            <w:vAlign w:val="bottom"/>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spacing w:after="0"/>
              <w:rPr>
                <w:sz w:val="21"/>
                <w:szCs w:val="21"/>
                <w:color w:val="auto"/>
              </w:rPr>
            </w:pPr>
          </w:p>
        </w:tc>
      </w:tr>
      <w:tr>
        <w:trPr>
          <w:trHeight w:val="233"/>
        </w:trPr>
        <w:tc>
          <w:tcPr>
            <w:tcW w:w="7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Cash flows from investing activities:</w:t>
            </w:r>
          </w:p>
        </w:tc>
        <w:tc>
          <w:tcPr>
            <w:tcW w:w="4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r>
      <w:tr>
        <w:trPr>
          <w:trHeight w:val="227"/>
        </w:trPr>
        <w:tc>
          <w:tcPr>
            <w:tcW w:w="7880" w:type="dxa"/>
            <w:vAlign w:val="bottom"/>
            <w:gridSpan w:val="2"/>
          </w:tcPr>
          <w:p>
            <w:pPr>
              <w:ind w:left="20"/>
              <w:spacing w:after="0"/>
              <w:rPr>
                <w:sz w:val="20"/>
                <w:szCs w:val="20"/>
                <w:color w:val="auto"/>
              </w:rPr>
            </w:pPr>
            <w:r>
              <w:rPr>
                <w:rFonts w:ascii="Arial" w:cs="Arial" w:eastAsia="Arial" w:hAnsi="Arial"/>
                <w:sz w:val="17"/>
                <w:szCs w:val="17"/>
                <w:color w:val="auto"/>
              </w:rPr>
              <w:t>Purchase of fixed assets</w:t>
            </w:r>
          </w:p>
        </w:tc>
        <w:tc>
          <w:tcPr>
            <w:tcW w:w="4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(20,335)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(21,127)</w:t>
            </w:r>
          </w:p>
        </w:tc>
      </w:tr>
      <w:tr>
        <w:trPr>
          <w:trHeight w:val="26"/>
        </w:trPr>
        <w:tc>
          <w:tcPr>
            <w:tcW w:w="1260" w:type="dxa"/>
            <w:vAlign w:val="bottom"/>
          </w:tcPr>
          <w:p>
            <w:pPr>
              <w:spacing w:after="0"/>
              <w:rPr>
                <w:sz w:val="2"/>
                <w:szCs w:val="2"/>
                <w:color w:val="auto"/>
              </w:rPr>
            </w:pPr>
          </w:p>
        </w:tc>
        <w:tc>
          <w:tcPr>
            <w:tcW w:w="6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3"/>
        </w:trPr>
        <w:tc>
          <w:tcPr>
            <w:tcW w:w="7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Business acquisition (net of cash acquired)</w:t>
            </w:r>
          </w:p>
        </w:tc>
        <w:tc>
          <w:tcPr>
            <w:tcW w:w="4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(9,427)</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(44,270)</w:t>
            </w:r>
          </w:p>
        </w:tc>
      </w:tr>
      <w:tr>
        <w:trPr>
          <w:trHeight w:val="227"/>
        </w:trPr>
        <w:tc>
          <w:tcPr>
            <w:tcW w:w="7880" w:type="dxa"/>
            <w:vAlign w:val="bottom"/>
            <w:gridSpan w:val="2"/>
          </w:tcPr>
          <w:p>
            <w:pPr>
              <w:ind w:left="20"/>
              <w:spacing w:after="0"/>
              <w:rPr>
                <w:sz w:val="20"/>
                <w:szCs w:val="20"/>
                <w:color w:val="auto"/>
              </w:rPr>
            </w:pPr>
            <w:r>
              <w:rPr>
                <w:rFonts w:ascii="Arial" w:cs="Arial" w:eastAsia="Arial" w:hAnsi="Arial"/>
                <w:sz w:val="17"/>
                <w:szCs w:val="17"/>
                <w:color w:val="auto"/>
              </w:rPr>
              <w:t>Purchase of short-term investments</w:t>
            </w:r>
          </w:p>
        </w:tc>
        <w:tc>
          <w:tcPr>
            <w:tcW w:w="4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(155,709)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(109,162)</w:t>
            </w:r>
          </w:p>
        </w:tc>
      </w:tr>
      <w:tr>
        <w:trPr>
          <w:trHeight w:val="26"/>
        </w:trPr>
        <w:tc>
          <w:tcPr>
            <w:tcW w:w="1260" w:type="dxa"/>
            <w:vAlign w:val="bottom"/>
          </w:tcPr>
          <w:p>
            <w:pPr>
              <w:spacing w:after="0"/>
              <w:rPr>
                <w:sz w:val="2"/>
                <w:szCs w:val="2"/>
                <w:color w:val="auto"/>
              </w:rPr>
            </w:pPr>
          </w:p>
        </w:tc>
        <w:tc>
          <w:tcPr>
            <w:tcW w:w="6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3"/>
        </w:trPr>
        <w:tc>
          <w:tcPr>
            <w:tcW w:w="7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Proceeds from redemption of short-term investments</w:t>
            </w:r>
          </w:p>
        </w:tc>
        <w:tc>
          <w:tcPr>
            <w:tcW w:w="4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59,229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28,640</w:t>
            </w:r>
          </w:p>
        </w:tc>
      </w:tr>
      <w:tr>
        <w:trPr>
          <w:trHeight w:val="220"/>
        </w:trPr>
        <w:tc>
          <w:tcPr>
            <w:tcW w:w="7880" w:type="dxa"/>
            <w:vAlign w:val="bottom"/>
            <w:gridSpan w:val="2"/>
          </w:tcPr>
          <w:p>
            <w:pPr>
              <w:ind w:left="20"/>
              <w:spacing w:after="0"/>
              <w:rPr>
                <w:sz w:val="20"/>
                <w:szCs w:val="20"/>
                <w:color w:val="auto"/>
              </w:rPr>
            </w:pPr>
            <w:r>
              <w:rPr>
                <w:rFonts w:ascii="Arial" w:cs="Arial" w:eastAsia="Arial" w:hAnsi="Arial"/>
                <w:sz w:val="17"/>
                <w:szCs w:val="17"/>
                <w:color w:val="auto"/>
              </w:rPr>
              <w:t>Net cash used for investing activities</w:t>
            </w:r>
          </w:p>
        </w:tc>
        <w:tc>
          <w:tcPr>
            <w:tcW w:w="46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(126,242)</w:t>
            </w:r>
          </w:p>
        </w:tc>
        <w:tc>
          <w:tcPr>
            <w:tcW w:w="12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(145,919)</w:t>
            </w:r>
          </w:p>
        </w:tc>
      </w:tr>
      <w:tr>
        <w:trPr>
          <w:trHeight w:val="26"/>
        </w:trPr>
        <w:tc>
          <w:tcPr>
            <w:tcW w:w="1260" w:type="dxa"/>
            <w:vAlign w:val="bottom"/>
            <w:tcBorders>
              <w:bottom w:val="single" w:sz="8" w:color="CCEEFF"/>
            </w:tcBorders>
          </w:tcPr>
          <w:p>
            <w:pPr>
              <w:spacing w:after="0"/>
              <w:rPr>
                <w:sz w:val="2"/>
                <w:szCs w:val="2"/>
                <w:color w:val="auto"/>
              </w:rPr>
            </w:pPr>
          </w:p>
        </w:tc>
        <w:tc>
          <w:tcPr>
            <w:tcW w:w="66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5"/>
        </w:trPr>
        <w:tc>
          <w:tcPr>
            <w:tcW w:w="1260" w:type="dxa"/>
            <w:vAlign w:val="bottom"/>
            <w:shd w:val="clear" w:color="auto" w:fill="CCEEFF"/>
          </w:tcPr>
          <w:p>
            <w:pPr>
              <w:spacing w:after="0"/>
              <w:rPr>
                <w:sz w:val="21"/>
                <w:szCs w:val="21"/>
                <w:color w:val="auto"/>
              </w:rPr>
            </w:pPr>
          </w:p>
        </w:tc>
        <w:tc>
          <w:tcPr>
            <w:tcW w:w="66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27"/>
        </w:trPr>
        <w:tc>
          <w:tcPr>
            <w:tcW w:w="7880" w:type="dxa"/>
            <w:vAlign w:val="bottom"/>
            <w:gridSpan w:val="2"/>
          </w:tcPr>
          <w:p>
            <w:pPr>
              <w:ind w:left="20"/>
              <w:spacing w:after="0"/>
              <w:rPr>
                <w:sz w:val="20"/>
                <w:szCs w:val="20"/>
                <w:color w:val="auto"/>
              </w:rPr>
            </w:pPr>
            <w:r>
              <w:rPr>
                <w:rFonts w:ascii="Arial" w:cs="Arial" w:eastAsia="Arial" w:hAnsi="Arial"/>
                <w:sz w:val="17"/>
                <w:szCs w:val="17"/>
                <w:color w:val="auto"/>
              </w:rPr>
              <w:t>Cash flows from financing activities:</w:t>
            </w:r>
          </w:p>
        </w:tc>
        <w:tc>
          <w:tcPr>
            <w:tcW w:w="4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6"/>
        </w:trPr>
        <w:tc>
          <w:tcPr>
            <w:tcW w:w="1260" w:type="dxa"/>
            <w:vAlign w:val="bottom"/>
          </w:tcPr>
          <w:p>
            <w:pPr>
              <w:spacing w:after="0"/>
              <w:rPr>
                <w:sz w:val="2"/>
                <w:szCs w:val="2"/>
                <w:color w:val="auto"/>
              </w:rPr>
            </w:pPr>
          </w:p>
        </w:tc>
        <w:tc>
          <w:tcPr>
            <w:tcW w:w="6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3"/>
        </w:trPr>
        <w:tc>
          <w:tcPr>
            <w:tcW w:w="7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Principal payments on capital lease obligations</w:t>
            </w:r>
          </w:p>
        </w:tc>
        <w:tc>
          <w:tcPr>
            <w:tcW w:w="4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(292)</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(559)</w:t>
            </w:r>
          </w:p>
        </w:tc>
      </w:tr>
      <w:tr>
        <w:trPr>
          <w:trHeight w:val="227"/>
        </w:trPr>
        <w:tc>
          <w:tcPr>
            <w:tcW w:w="7880" w:type="dxa"/>
            <w:vAlign w:val="bottom"/>
            <w:gridSpan w:val="2"/>
          </w:tcPr>
          <w:p>
            <w:pPr>
              <w:ind w:left="20"/>
              <w:spacing w:after="0"/>
              <w:rPr>
                <w:sz w:val="20"/>
                <w:szCs w:val="20"/>
                <w:color w:val="auto"/>
              </w:rPr>
            </w:pPr>
            <w:r>
              <w:rPr>
                <w:rFonts w:ascii="Arial" w:cs="Arial" w:eastAsia="Arial" w:hAnsi="Arial"/>
                <w:sz w:val="17"/>
                <w:szCs w:val="17"/>
                <w:color w:val="auto"/>
              </w:rPr>
              <w:t>Proceeds from borrowings</w:t>
            </w:r>
          </w:p>
        </w:tc>
        <w:tc>
          <w:tcPr>
            <w:tcW w:w="46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9"/>
                <w:szCs w:val="19"/>
                <w:color w:val="auto"/>
              </w:rPr>
            </w:pPr>
          </w:p>
        </w:tc>
        <w:tc>
          <w:tcPr>
            <w:tcW w:w="1300" w:type="dxa"/>
            <w:vAlign w:val="bottom"/>
          </w:tcPr>
          <w:p>
            <w:pPr>
              <w:jc w:val="right"/>
              <w:ind w:right="16"/>
              <w:spacing w:after="0"/>
              <w:rPr>
                <w:sz w:val="20"/>
                <w:szCs w:val="20"/>
                <w:color w:val="auto"/>
              </w:rPr>
            </w:pPr>
            <w:r>
              <w:rPr>
                <w:rFonts w:ascii="Arial" w:cs="Arial" w:eastAsia="Arial" w:hAnsi="Arial"/>
                <w:sz w:val="17"/>
                <w:szCs w:val="17"/>
                <w:color w:val="auto"/>
              </w:rPr>
              <w:t>30,000</w:t>
            </w:r>
          </w:p>
        </w:tc>
      </w:tr>
      <w:tr>
        <w:trPr>
          <w:trHeight w:val="26"/>
        </w:trPr>
        <w:tc>
          <w:tcPr>
            <w:tcW w:w="1260" w:type="dxa"/>
            <w:vAlign w:val="bottom"/>
          </w:tcPr>
          <w:p>
            <w:pPr>
              <w:spacing w:after="0"/>
              <w:rPr>
                <w:sz w:val="2"/>
                <w:szCs w:val="2"/>
                <w:color w:val="auto"/>
              </w:rPr>
            </w:pPr>
          </w:p>
        </w:tc>
        <w:tc>
          <w:tcPr>
            <w:tcW w:w="6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3"/>
        </w:trPr>
        <w:tc>
          <w:tcPr>
            <w:tcW w:w="7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Repayments of borrowings</w:t>
            </w:r>
          </w:p>
        </w:tc>
        <w:tc>
          <w:tcPr>
            <w:tcW w:w="4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(25,000)</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(10,000)</w:t>
            </w:r>
          </w:p>
        </w:tc>
      </w:tr>
      <w:tr>
        <w:trPr>
          <w:trHeight w:val="227"/>
        </w:trPr>
        <w:tc>
          <w:tcPr>
            <w:tcW w:w="7880" w:type="dxa"/>
            <w:vAlign w:val="bottom"/>
            <w:gridSpan w:val="2"/>
          </w:tcPr>
          <w:p>
            <w:pPr>
              <w:ind w:left="20"/>
              <w:spacing w:after="0"/>
              <w:rPr>
                <w:sz w:val="20"/>
                <w:szCs w:val="20"/>
                <w:color w:val="auto"/>
              </w:rPr>
            </w:pPr>
            <w:r>
              <w:rPr>
                <w:rFonts w:ascii="Arial" w:cs="Arial" w:eastAsia="Arial" w:hAnsi="Arial"/>
                <w:sz w:val="17"/>
                <w:szCs w:val="17"/>
                <w:color w:val="auto"/>
              </w:rPr>
              <w:t>Payment of debt issuance costs</w:t>
            </w:r>
          </w:p>
        </w:tc>
        <w:tc>
          <w:tcPr>
            <w:tcW w:w="46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(74)</w:t>
            </w:r>
          </w:p>
        </w:tc>
      </w:tr>
      <w:tr>
        <w:trPr>
          <w:trHeight w:val="26"/>
        </w:trPr>
        <w:tc>
          <w:tcPr>
            <w:tcW w:w="1260" w:type="dxa"/>
            <w:vAlign w:val="bottom"/>
          </w:tcPr>
          <w:p>
            <w:pPr>
              <w:spacing w:after="0"/>
              <w:rPr>
                <w:sz w:val="2"/>
                <w:szCs w:val="2"/>
                <w:color w:val="auto"/>
              </w:rPr>
            </w:pPr>
          </w:p>
        </w:tc>
        <w:tc>
          <w:tcPr>
            <w:tcW w:w="6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3"/>
        </w:trPr>
        <w:tc>
          <w:tcPr>
            <w:tcW w:w="7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Acquisition of treasury stock</w:t>
            </w:r>
          </w:p>
        </w:tc>
        <w:tc>
          <w:tcPr>
            <w:tcW w:w="4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(15,169)</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(13,015)</w:t>
            </w:r>
          </w:p>
        </w:tc>
      </w:tr>
      <w:tr>
        <w:trPr>
          <w:trHeight w:val="227"/>
        </w:trPr>
        <w:tc>
          <w:tcPr>
            <w:tcW w:w="7880" w:type="dxa"/>
            <w:vAlign w:val="bottom"/>
            <w:gridSpan w:val="2"/>
          </w:tcPr>
          <w:p>
            <w:pPr>
              <w:ind w:left="20"/>
              <w:spacing w:after="0"/>
              <w:rPr>
                <w:sz w:val="20"/>
                <w:szCs w:val="20"/>
                <w:color w:val="auto"/>
              </w:rPr>
            </w:pPr>
            <w:r>
              <w:rPr>
                <w:rFonts w:ascii="Arial" w:cs="Arial" w:eastAsia="Arial" w:hAnsi="Arial"/>
                <w:sz w:val="17"/>
                <w:szCs w:val="17"/>
                <w:color w:val="auto"/>
              </w:rPr>
              <w:t>Proceeds from exercise of stock options</w:t>
            </w:r>
          </w:p>
        </w:tc>
        <w:tc>
          <w:tcPr>
            <w:tcW w:w="460" w:type="dxa"/>
            <w:vAlign w:val="bottom"/>
          </w:tcPr>
          <w:p>
            <w:pPr>
              <w:spacing w:after="0"/>
              <w:rPr>
                <w:sz w:val="19"/>
                <w:szCs w:val="19"/>
                <w:color w:val="auto"/>
              </w:rPr>
            </w:pPr>
          </w:p>
        </w:tc>
        <w:tc>
          <w:tcPr>
            <w:tcW w:w="1260" w:type="dxa"/>
            <w:vAlign w:val="bottom"/>
          </w:tcPr>
          <w:p>
            <w:pPr>
              <w:jc w:val="right"/>
              <w:ind w:right="16"/>
              <w:spacing w:after="0"/>
              <w:rPr>
                <w:sz w:val="20"/>
                <w:szCs w:val="20"/>
                <w:color w:val="auto"/>
              </w:rPr>
            </w:pPr>
            <w:r>
              <w:rPr>
                <w:rFonts w:ascii="Arial" w:cs="Arial" w:eastAsia="Arial" w:hAnsi="Arial"/>
                <w:sz w:val="17"/>
                <w:szCs w:val="17"/>
                <w:color w:val="auto"/>
              </w:rPr>
              <w:t>6,226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ind w:right="16"/>
              <w:spacing w:after="0"/>
              <w:rPr>
                <w:sz w:val="20"/>
                <w:szCs w:val="20"/>
                <w:color w:val="auto"/>
              </w:rPr>
            </w:pPr>
            <w:r>
              <w:rPr>
                <w:rFonts w:ascii="Arial" w:cs="Arial" w:eastAsia="Arial" w:hAnsi="Arial"/>
                <w:sz w:val="17"/>
                <w:szCs w:val="17"/>
                <w:color w:val="auto"/>
              </w:rPr>
              <w:t>3,162</w:t>
            </w:r>
          </w:p>
        </w:tc>
      </w:tr>
      <w:tr>
        <w:trPr>
          <w:trHeight w:val="26"/>
        </w:trPr>
        <w:tc>
          <w:tcPr>
            <w:tcW w:w="1260" w:type="dxa"/>
            <w:vAlign w:val="bottom"/>
            <w:tcBorders>
              <w:bottom w:val="single" w:sz="8" w:color="CCEEFF"/>
            </w:tcBorders>
          </w:tcPr>
          <w:p>
            <w:pPr>
              <w:spacing w:after="0"/>
              <w:rPr>
                <w:sz w:val="2"/>
                <w:szCs w:val="2"/>
                <w:color w:val="auto"/>
              </w:rPr>
            </w:pPr>
          </w:p>
        </w:tc>
        <w:tc>
          <w:tcPr>
            <w:tcW w:w="66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5"/>
        </w:trPr>
        <w:tc>
          <w:tcPr>
            <w:tcW w:w="7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Net cash (used)/provided by financing activities</w:t>
            </w:r>
          </w:p>
        </w:tc>
        <w:tc>
          <w:tcPr>
            <w:tcW w:w="4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(34,235)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9,514</w:t>
            </w:r>
          </w:p>
        </w:tc>
      </w:tr>
      <w:tr>
        <w:trPr>
          <w:trHeight w:val="220"/>
        </w:trPr>
        <w:tc>
          <w:tcPr>
            <w:tcW w:w="7880" w:type="dxa"/>
            <w:vAlign w:val="bottom"/>
            <w:gridSpan w:val="2"/>
          </w:tcPr>
          <w:p>
            <w:pPr>
              <w:ind w:left="20"/>
              <w:spacing w:after="0"/>
              <w:rPr>
                <w:sz w:val="20"/>
                <w:szCs w:val="20"/>
                <w:color w:val="auto"/>
              </w:rPr>
            </w:pPr>
            <w:r>
              <w:rPr>
                <w:rFonts w:ascii="Arial" w:cs="Arial" w:eastAsia="Arial" w:hAnsi="Arial"/>
                <w:sz w:val="17"/>
                <w:szCs w:val="17"/>
                <w:color w:val="auto"/>
              </w:rPr>
              <w:t>Effect of exchange rate changes on cash and cash equivalents</w:t>
            </w:r>
          </w:p>
        </w:tc>
        <w:tc>
          <w:tcPr>
            <w:tcW w:w="46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(2,514)</w:t>
            </w:r>
          </w:p>
        </w:tc>
        <w:tc>
          <w:tcPr>
            <w:tcW w:w="12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(3,988)</w:t>
            </w:r>
          </w:p>
        </w:tc>
      </w:tr>
      <w:tr>
        <w:trPr>
          <w:trHeight w:val="26"/>
        </w:trPr>
        <w:tc>
          <w:tcPr>
            <w:tcW w:w="1260" w:type="dxa"/>
            <w:vAlign w:val="bottom"/>
            <w:tcBorders>
              <w:bottom w:val="single" w:sz="8" w:color="CCEEFF"/>
            </w:tcBorders>
          </w:tcPr>
          <w:p>
            <w:pPr>
              <w:spacing w:after="0"/>
              <w:rPr>
                <w:sz w:val="2"/>
                <w:szCs w:val="2"/>
                <w:color w:val="auto"/>
              </w:rPr>
            </w:pPr>
          </w:p>
        </w:tc>
        <w:tc>
          <w:tcPr>
            <w:tcW w:w="66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5"/>
        </w:trPr>
        <w:tc>
          <w:tcPr>
            <w:tcW w:w="7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Net decrease in cash and cash equivalents</w:t>
            </w:r>
          </w:p>
        </w:tc>
        <w:tc>
          <w:tcPr>
            <w:tcW w:w="46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(106,949)</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(85,843)</w:t>
            </w:r>
          </w:p>
        </w:tc>
      </w:tr>
      <w:tr>
        <w:trPr>
          <w:trHeight w:val="227"/>
        </w:trPr>
        <w:tc>
          <w:tcPr>
            <w:tcW w:w="7880" w:type="dxa"/>
            <w:vAlign w:val="bottom"/>
            <w:gridSpan w:val="2"/>
          </w:tcPr>
          <w:p>
            <w:pPr>
              <w:ind w:left="20"/>
              <w:spacing w:after="0"/>
              <w:rPr>
                <w:sz w:val="20"/>
                <w:szCs w:val="20"/>
                <w:color w:val="auto"/>
              </w:rPr>
            </w:pPr>
            <w:r>
              <w:rPr>
                <w:rFonts w:ascii="Arial" w:cs="Arial" w:eastAsia="Arial" w:hAnsi="Arial"/>
                <w:sz w:val="17"/>
                <w:szCs w:val="17"/>
                <w:color w:val="auto"/>
              </w:rPr>
              <w:t>Cash and cash equivalents, beginning of period</w:t>
            </w:r>
          </w:p>
        </w:tc>
        <w:tc>
          <w:tcPr>
            <w:tcW w:w="460" w:type="dxa"/>
            <w:vAlign w:val="bottom"/>
          </w:tcPr>
          <w:p>
            <w:pPr>
              <w:spacing w:after="0"/>
              <w:rPr>
                <w:sz w:val="19"/>
                <w:szCs w:val="19"/>
                <w:color w:val="auto"/>
              </w:rPr>
            </w:pPr>
          </w:p>
        </w:tc>
        <w:tc>
          <w:tcPr>
            <w:tcW w:w="1260" w:type="dxa"/>
            <w:vAlign w:val="bottom"/>
          </w:tcPr>
          <w:p>
            <w:pPr>
              <w:jc w:val="right"/>
              <w:ind w:right="16"/>
              <w:spacing w:after="0"/>
              <w:rPr>
                <w:sz w:val="20"/>
                <w:szCs w:val="20"/>
                <w:color w:val="auto"/>
              </w:rPr>
            </w:pPr>
            <w:r>
              <w:rPr>
                <w:rFonts w:ascii="Arial" w:cs="Arial" w:eastAsia="Arial" w:hAnsi="Arial"/>
                <w:sz w:val="17"/>
                <w:szCs w:val="17"/>
                <w:color w:val="auto"/>
              </w:rPr>
              <w:t>205,323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ind w:right="16"/>
              <w:spacing w:after="0"/>
              <w:rPr>
                <w:sz w:val="20"/>
                <w:szCs w:val="20"/>
                <w:color w:val="auto"/>
              </w:rPr>
            </w:pPr>
            <w:r>
              <w:rPr>
                <w:rFonts w:ascii="Arial" w:cs="Arial" w:eastAsia="Arial" w:hAnsi="Arial"/>
                <w:sz w:val="17"/>
                <w:szCs w:val="17"/>
                <w:color w:val="auto"/>
              </w:rPr>
              <w:t>176,499</w:t>
            </w:r>
          </w:p>
        </w:tc>
      </w:tr>
      <w:tr>
        <w:trPr>
          <w:trHeight w:val="26"/>
        </w:trPr>
        <w:tc>
          <w:tcPr>
            <w:tcW w:w="1260" w:type="dxa"/>
            <w:vAlign w:val="bottom"/>
            <w:tcBorders>
              <w:bottom w:val="single" w:sz="8" w:color="CCEEFF"/>
            </w:tcBorders>
          </w:tcPr>
          <w:p>
            <w:pPr>
              <w:spacing w:after="0"/>
              <w:rPr>
                <w:sz w:val="2"/>
                <w:szCs w:val="2"/>
                <w:color w:val="auto"/>
              </w:rPr>
            </w:pPr>
          </w:p>
        </w:tc>
        <w:tc>
          <w:tcPr>
            <w:tcW w:w="66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0"/>
        </w:trPr>
        <w:tc>
          <w:tcPr>
            <w:tcW w:w="7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Cash and cash equivalents, end of period</w:t>
            </w:r>
          </w:p>
        </w:tc>
        <w:tc>
          <w:tcPr>
            <w:tcW w:w="460" w:type="dxa"/>
            <w:vAlign w:val="bottom"/>
            <w:tcBorders>
              <w:bottom w:val="single" w:sz="8" w:color="CCEEFF"/>
            </w:tcBorders>
            <w:shd w:val="clear" w:color="auto" w:fill="CCEEFF"/>
          </w:tcPr>
          <w:p>
            <w:pPr>
              <w:jc w:val="right"/>
              <w:ind w:right="256"/>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98,374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90,656</w:t>
            </w:r>
          </w:p>
        </w:tc>
      </w:tr>
      <w:tr>
        <w:trPr>
          <w:trHeight w:val="20"/>
        </w:trPr>
        <w:tc>
          <w:tcPr>
            <w:tcW w:w="1260" w:type="dxa"/>
            <w:vAlign w:val="bottom"/>
            <w:tcBorders>
              <w:top w:val="single" w:sz="8" w:color="CCEEFF"/>
            </w:tcBorders>
          </w:tcPr>
          <w:p>
            <w:pPr>
              <w:spacing w:after="0" w:line="20" w:lineRule="exact"/>
              <w:rPr>
                <w:sz w:val="1"/>
                <w:szCs w:val="1"/>
                <w:color w:val="auto"/>
              </w:rPr>
            </w:pPr>
          </w:p>
        </w:tc>
        <w:tc>
          <w:tcPr>
            <w:tcW w:w="66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See accompanying notes.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311" w:right="239" w:bottom="1440" w:gutter="0" w:footer="0" w:header="0"/>
        </w:sectPr>
      </w:pPr>
    </w:p>
    <w:bookmarkStart w:id="6" w:name="page7"/>
    <w:bookmarkEnd w:id="6"/>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234" w:lineRule="exact"/>
        <w:rPr>
          <w:sz w:val="20"/>
          <w:szCs w:val="20"/>
          <w:color w:val="auto"/>
        </w:rPr>
      </w:pPr>
    </w:p>
    <w:p>
      <w:pPr>
        <w:ind w:left="4480"/>
        <w:spacing w:after="0"/>
        <w:rPr>
          <w:sz w:val="20"/>
          <w:szCs w:val="20"/>
          <w:color w:val="auto"/>
        </w:rPr>
      </w:pPr>
      <w:r>
        <w:rPr>
          <w:rFonts w:ascii="Arial" w:cs="Arial" w:eastAsia="Arial" w:hAnsi="Arial"/>
          <w:sz w:val="17"/>
          <w:szCs w:val="17"/>
          <w:b w:val="1"/>
          <w:bCs w:val="1"/>
          <w:color w:val="auto"/>
        </w:rPr>
        <w:t>EXLSERVICE HOLDINGS, INC.</w:t>
      </w:r>
    </w:p>
    <w:p>
      <w:pPr>
        <w:spacing w:after="0" w:line="108" w:lineRule="exact"/>
        <w:rPr>
          <w:sz w:val="20"/>
          <w:szCs w:val="20"/>
          <w:color w:val="auto"/>
        </w:rPr>
      </w:pPr>
    </w:p>
    <w:p>
      <w:pPr>
        <w:ind w:left="2980"/>
        <w:spacing w:after="0"/>
        <w:rPr>
          <w:sz w:val="20"/>
          <w:szCs w:val="20"/>
          <w:color w:val="auto"/>
        </w:rPr>
      </w:pPr>
      <w:r>
        <w:rPr>
          <w:rFonts w:ascii="Arial" w:cs="Arial" w:eastAsia="Arial" w:hAnsi="Arial"/>
          <w:sz w:val="17"/>
          <w:szCs w:val="17"/>
          <w:b w:val="1"/>
          <w:bCs w:val="1"/>
          <w:color w:val="auto"/>
        </w:rPr>
        <w:t>NOTES TO UNAUDITED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September 30, 2016</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Organization and Basis of Presentation</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Organization</w:t>
      </w:r>
    </w:p>
    <w:p>
      <w:pPr>
        <w:spacing w:after="0" w:line="108" w:lineRule="exact"/>
        <w:rPr>
          <w:sz w:val="20"/>
          <w:szCs w:val="20"/>
          <w:color w:val="auto"/>
        </w:rPr>
      </w:pPr>
    </w:p>
    <w:p>
      <w:pPr>
        <w:jc w:val="both"/>
        <w:ind w:firstLine="379"/>
        <w:spacing w:after="0" w:line="276" w:lineRule="auto"/>
        <w:rPr>
          <w:sz w:val="20"/>
          <w:szCs w:val="20"/>
          <w:color w:val="auto"/>
        </w:rPr>
      </w:pPr>
      <w:r>
        <w:rPr>
          <w:rFonts w:ascii="Arial" w:cs="Arial" w:eastAsia="Arial" w:hAnsi="Arial"/>
          <w:sz w:val="16"/>
          <w:szCs w:val="16"/>
          <w:color w:val="auto"/>
        </w:rPr>
        <w:t>ExlService Holdings, Inc. (“ExlService Holdings”) is organized as a corporation under the laws of the state of Delaware. ExlService Holdings, together with its subsidiaries (collectively, the “Company”), is a leading Operations Management and Analytics company that helps businesses enhance growth and profitability. Using its proprietary platforms, methodologies and tools the Company looks deeper to help companies improve global operations, enhance data-driven insights, increase customer satisfaction, and manage risk and compliance. The Company’s clients are located principally in the U.S. and the U.K.</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of Presentation</w:t>
      </w:r>
    </w:p>
    <w:p>
      <w:pPr>
        <w:spacing w:after="0" w:line="108" w:lineRule="exact"/>
        <w:rPr>
          <w:sz w:val="20"/>
          <w:szCs w:val="20"/>
          <w:color w:val="auto"/>
        </w:rPr>
      </w:pPr>
    </w:p>
    <w:p>
      <w:pPr>
        <w:jc w:val="both"/>
        <w:ind w:firstLine="379"/>
        <w:spacing w:after="0" w:line="276" w:lineRule="auto"/>
        <w:rPr>
          <w:sz w:val="20"/>
          <w:szCs w:val="20"/>
          <w:color w:val="auto"/>
        </w:rPr>
      </w:pPr>
      <w:r>
        <w:rPr>
          <w:rFonts w:ascii="Arial" w:cs="Arial" w:eastAsia="Arial" w:hAnsi="Arial"/>
          <w:sz w:val="16"/>
          <w:szCs w:val="16"/>
          <w:color w:val="auto"/>
        </w:rPr>
        <w:t>The unaudited interim consolidated financial statements have been prepared in accordance with U.S. generally accepted accounting principles (“US GAAP”) for interim financial information, the instructions to Form 10-Q and Article 10 of Regulation S-X. Accordingly, they do not include all of the information and footnotes required by US GAAP for annual financial statements and therefore should be read in conjunction with the audited consolidated financial statements and footnotes thereto included in the Company’s Annual Report on Form 10-K for the fiscal year ended December 31, 2015.</w:t>
      </w:r>
    </w:p>
    <w:p>
      <w:pPr>
        <w:spacing w:after="0" w:line="64" w:lineRule="exact"/>
        <w:rPr>
          <w:sz w:val="20"/>
          <w:szCs w:val="20"/>
          <w:color w:val="auto"/>
        </w:rPr>
      </w:pPr>
    </w:p>
    <w:p>
      <w:pPr>
        <w:jc w:val="both"/>
        <w:ind w:firstLine="379"/>
        <w:spacing w:after="0" w:line="259" w:lineRule="auto"/>
        <w:rPr>
          <w:sz w:val="20"/>
          <w:szCs w:val="20"/>
          <w:color w:val="auto"/>
        </w:rPr>
      </w:pPr>
      <w:r>
        <w:rPr>
          <w:rFonts w:ascii="Arial" w:cs="Arial" w:eastAsia="Arial" w:hAnsi="Arial"/>
          <w:sz w:val="17"/>
          <w:szCs w:val="17"/>
          <w:color w:val="auto"/>
        </w:rPr>
        <w:t>The unaudited interim consolidated financial statements reflect all adjustments (of a normal and recurring nature) that management considers necessary for a fair presentation of such statements for the interim periods presented. The unaudited consolidated statements of income for the interim periods presented are not necessarily indicative of the results for the full year or for any subsequent period.</w:t>
      </w:r>
    </w:p>
    <w:p>
      <w:pPr>
        <w:spacing w:after="0" w:line="75" w:lineRule="exact"/>
        <w:rPr>
          <w:sz w:val="20"/>
          <w:szCs w:val="20"/>
          <w:color w:val="auto"/>
        </w:rPr>
      </w:pPr>
    </w:p>
    <w:p>
      <w:pPr>
        <w:jc w:val="both"/>
        <w:ind w:firstLine="379"/>
        <w:spacing w:after="0" w:line="255" w:lineRule="auto"/>
        <w:rPr>
          <w:sz w:val="20"/>
          <w:szCs w:val="20"/>
          <w:color w:val="auto"/>
        </w:rPr>
      </w:pPr>
      <w:r>
        <w:rPr>
          <w:rFonts w:ascii="Arial" w:cs="Arial" w:eastAsia="Arial" w:hAnsi="Arial"/>
          <w:sz w:val="17"/>
          <w:szCs w:val="17"/>
          <w:color w:val="auto"/>
        </w:rPr>
        <w:t>Effective for the quarter and year ended December 31, 2015, the Company merged two of its operating segments (Operations Consulting and Finance Transformation, previously part of the Analytics and Business Transformation reportable segment) into the Consulting operating segment to reflect recent organizational changes. The Company has also revised its reportable segments to reflect management’s focus on the Analytics operating segment. All other operating segments have been aggregated into the Operations Management reportable segment.</w:t>
      </w:r>
    </w:p>
    <w:p>
      <w:pPr>
        <w:spacing w:after="0" w:line="54"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Company’s reportable segments are as follows:</w:t>
      </w:r>
    </w:p>
    <w:p>
      <w:pPr>
        <w:spacing w:after="0" w:line="83" w:lineRule="exact"/>
        <w:rPr>
          <w:sz w:val="20"/>
          <w:szCs w:val="20"/>
          <w:color w:val="auto"/>
        </w:rPr>
      </w:pPr>
    </w:p>
    <w:p>
      <w:pPr>
        <w:ind w:left="760" w:hanging="304"/>
        <w:spacing w:after="0"/>
        <w:tabs>
          <w:tab w:leader="none" w:pos="760" w:val="left"/>
        </w:tabs>
        <w:numPr>
          <w:ilvl w:val="0"/>
          <w:numId w:val="4"/>
        </w:numPr>
        <w:rPr>
          <w:rFonts w:ascii="Arial" w:cs="Arial" w:eastAsia="Arial" w:hAnsi="Arial"/>
          <w:sz w:val="17"/>
          <w:szCs w:val="17"/>
          <w:color w:val="auto"/>
        </w:rPr>
      </w:pPr>
      <w:r>
        <w:rPr>
          <w:rFonts w:ascii="Arial" w:cs="Arial" w:eastAsia="Arial" w:hAnsi="Arial"/>
          <w:sz w:val="17"/>
          <w:szCs w:val="17"/>
          <w:color w:val="auto"/>
        </w:rPr>
        <w:t>Operations Management, and</w:t>
      </w:r>
    </w:p>
    <w:p>
      <w:pPr>
        <w:spacing w:after="0" w:line="18" w:lineRule="exact"/>
        <w:rPr>
          <w:rFonts w:ascii="Arial" w:cs="Arial" w:eastAsia="Arial" w:hAnsi="Arial"/>
          <w:sz w:val="17"/>
          <w:szCs w:val="17"/>
          <w:color w:val="auto"/>
        </w:rPr>
      </w:pPr>
    </w:p>
    <w:p>
      <w:pPr>
        <w:ind w:left="760" w:hanging="304"/>
        <w:spacing w:after="0"/>
        <w:tabs>
          <w:tab w:leader="none" w:pos="760" w:val="left"/>
        </w:tabs>
        <w:numPr>
          <w:ilvl w:val="0"/>
          <w:numId w:val="4"/>
        </w:numPr>
        <w:rPr>
          <w:rFonts w:ascii="Arial" w:cs="Arial" w:eastAsia="Arial" w:hAnsi="Arial"/>
          <w:sz w:val="17"/>
          <w:szCs w:val="17"/>
          <w:color w:val="auto"/>
        </w:rPr>
      </w:pPr>
      <w:r>
        <w:rPr>
          <w:rFonts w:ascii="Arial" w:cs="Arial" w:eastAsia="Arial" w:hAnsi="Arial"/>
          <w:sz w:val="17"/>
          <w:szCs w:val="17"/>
          <w:color w:val="auto"/>
        </w:rPr>
        <w:t>Analytics</w:t>
      </w:r>
    </w:p>
    <w:p>
      <w:pPr>
        <w:spacing w:after="0" w:line="96" w:lineRule="exact"/>
        <w:rPr>
          <w:sz w:val="20"/>
          <w:szCs w:val="20"/>
          <w:color w:val="auto"/>
        </w:rPr>
      </w:pPr>
    </w:p>
    <w:p>
      <w:pPr>
        <w:jc w:val="both"/>
        <w:ind w:firstLine="379"/>
        <w:spacing w:after="0" w:line="271" w:lineRule="auto"/>
        <w:rPr>
          <w:sz w:val="20"/>
          <w:szCs w:val="20"/>
          <w:color w:val="auto"/>
        </w:rPr>
      </w:pPr>
      <w:r>
        <w:rPr>
          <w:rFonts w:ascii="Arial" w:cs="Arial" w:eastAsia="Arial" w:hAnsi="Arial"/>
          <w:sz w:val="17"/>
          <w:szCs w:val="17"/>
          <w:color w:val="auto"/>
        </w:rPr>
        <w:t>The segment information for all prior periods presented herein has been restated to conform to the current presentation. This change in segment presentation does not affect the Company’s consolidated statements of income, comprehensive income, balance sheets or statements of cash flows.</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w:t>
      </w:r>
    </w:p>
    <w:p>
      <w:pPr>
        <w:spacing w:after="0" w:line="3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 Principles of Consolidation</w:t>
      </w:r>
    </w:p>
    <w:p>
      <w:pPr>
        <w:spacing w:after="0" w:line="108" w:lineRule="exact"/>
        <w:rPr>
          <w:sz w:val="20"/>
          <w:szCs w:val="20"/>
          <w:color w:val="auto"/>
        </w:rPr>
      </w:pPr>
    </w:p>
    <w:p>
      <w:pPr>
        <w:jc w:val="both"/>
        <w:ind w:firstLine="379"/>
        <w:spacing w:after="0" w:line="271" w:lineRule="auto"/>
        <w:rPr>
          <w:sz w:val="20"/>
          <w:szCs w:val="20"/>
          <w:color w:val="auto"/>
        </w:rPr>
      </w:pPr>
      <w:r>
        <w:rPr>
          <w:rFonts w:ascii="Arial" w:cs="Arial" w:eastAsia="Arial" w:hAnsi="Arial"/>
          <w:sz w:val="17"/>
          <w:szCs w:val="17"/>
          <w:color w:val="auto"/>
        </w:rPr>
        <w:t>The accompanying unaudited consolidated financial statements include the financial statements of ExlService Holdings and all of its subsidiaries. All intercompany balances and transactions have been eliminated in consolidation.</w:t>
      </w:r>
    </w:p>
    <w:p>
      <w:pPr>
        <w:spacing w:after="0" w:line="64" w:lineRule="exact"/>
        <w:rPr>
          <w:sz w:val="20"/>
          <w:szCs w:val="20"/>
          <w:color w:val="auto"/>
        </w:rPr>
      </w:pPr>
    </w:p>
    <w:p>
      <w:pPr>
        <w:jc w:val="both"/>
        <w:ind w:firstLine="379"/>
        <w:spacing w:after="0" w:line="255" w:lineRule="auto"/>
        <w:rPr>
          <w:sz w:val="20"/>
          <w:szCs w:val="20"/>
          <w:color w:val="auto"/>
        </w:rPr>
      </w:pPr>
      <w:r>
        <w:rPr>
          <w:rFonts w:ascii="Arial" w:cs="Arial" w:eastAsia="Arial" w:hAnsi="Arial"/>
          <w:sz w:val="17"/>
          <w:szCs w:val="17"/>
          <w:color w:val="auto"/>
        </w:rPr>
        <w:t>The non-controlling interest represents the minority partner’s interest in the operations of ExlService Colombia S.A.S. ("Exl Colombia") and the profits associated with the minority partner’s interest in those operations, in the consolidated balance sheets and consolidated statements of income, respectively. The non-controlling interests in such operations for all the periods presented were insignificant and are included under general and administrative expenses in the unaudited consolidated statements of income.</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 Use of Estimates</w:t>
      </w:r>
    </w:p>
    <w:p>
      <w:pPr>
        <w:spacing w:after="0" w:line="108" w:lineRule="exact"/>
        <w:rPr>
          <w:sz w:val="20"/>
          <w:szCs w:val="20"/>
          <w:color w:val="auto"/>
        </w:rPr>
      </w:pPr>
    </w:p>
    <w:p>
      <w:pPr>
        <w:jc w:val="both"/>
        <w:ind w:firstLine="379"/>
        <w:spacing w:after="0" w:line="273" w:lineRule="auto"/>
        <w:rPr>
          <w:sz w:val="20"/>
          <w:szCs w:val="20"/>
          <w:color w:val="auto"/>
        </w:rPr>
      </w:pPr>
      <w:r>
        <w:rPr>
          <w:rFonts w:ascii="Arial" w:cs="Arial" w:eastAsia="Arial" w:hAnsi="Arial"/>
          <w:sz w:val="16"/>
          <w:szCs w:val="16"/>
          <w:color w:val="auto"/>
        </w:rPr>
        <w:t>The preparation of the unaudited consolidated financial statements in conformity with US GAAP requires management to make estimates and assumptions that affect the reported amounts of assets and liabilities and disclosure of contingent assets and liabilities at the date of the unaudited consolidated financial statements and the unaudited consolidated statements of income during the reporting period. Although these estimates are based on management’s best assessment of the current business environment, actual results may be different from those estimates. The significant estimates and assumptions that affect the financial statements include, but are not limited to, allowance for doubtful receivables, service tax receivables, assets and obligations related to employee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325" w:right="239" w:bottom="1440" w:gutter="0" w:footer="0" w:header="0"/>
        </w:sectPr>
      </w:pPr>
    </w:p>
    <w:bookmarkStart w:id="7" w:name="page8"/>
    <w:bookmarkEnd w:id="7"/>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23" w:lineRule="exact"/>
        <w:rPr>
          <w:sz w:val="20"/>
          <w:szCs w:val="20"/>
          <w:color w:val="auto"/>
        </w:rPr>
      </w:pPr>
    </w:p>
    <w:p>
      <w:pPr>
        <w:ind w:left="4480"/>
        <w:spacing w:after="0"/>
        <w:rPr>
          <w:sz w:val="20"/>
          <w:szCs w:val="20"/>
          <w:color w:val="auto"/>
        </w:rPr>
      </w:pPr>
      <w:r>
        <w:rPr>
          <w:rFonts w:ascii="Arial" w:cs="Arial" w:eastAsia="Arial" w:hAnsi="Arial"/>
          <w:sz w:val="17"/>
          <w:szCs w:val="17"/>
          <w:b w:val="1"/>
          <w:bCs w:val="1"/>
          <w:color w:val="auto"/>
        </w:rPr>
        <w:t>EXLSERVICE HOLDINGS, INC.</w:t>
      </w:r>
    </w:p>
    <w:p>
      <w:pPr>
        <w:spacing w:after="0" w:line="92" w:lineRule="exact"/>
        <w:rPr>
          <w:sz w:val="20"/>
          <w:szCs w:val="20"/>
          <w:color w:val="auto"/>
        </w:rPr>
      </w:pPr>
    </w:p>
    <w:p>
      <w:pPr>
        <w:ind w:left="2480"/>
        <w:spacing w:after="0"/>
        <w:rPr>
          <w:sz w:val="20"/>
          <w:szCs w:val="20"/>
          <w:color w:val="auto"/>
        </w:rPr>
      </w:pPr>
      <w:r>
        <w:rPr>
          <w:rFonts w:ascii="Arial" w:cs="Arial" w:eastAsia="Arial" w:hAnsi="Arial"/>
          <w:sz w:val="17"/>
          <w:szCs w:val="17"/>
          <w:b w:val="1"/>
          <w:bCs w:val="1"/>
          <w:color w:val="auto"/>
        </w:rPr>
        <w:t>NOTES TO UNAUDITED CONSOLIDATED FINANCIAL STATEMENTS—(continued)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September 30, 2016</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00" w:lineRule="exact"/>
        <w:rPr>
          <w:sz w:val="20"/>
          <w:szCs w:val="20"/>
          <w:color w:val="auto"/>
        </w:rPr>
      </w:pPr>
    </w:p>
    <w:p>
      <w:pPr>
        <w:spacing w:after="0" w:line="326"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benefit plans, deferred tax valuation allowances, income-tax uncertainties and other contingencies, valuation of derivative financial instruments, stock-based compensation expense, depreciation and amortization periods, purchase price allocation, recoverability of long-term assets including goodwill and intangibles, and estimates to complete the fixed price contracts.</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 Other current assets</w:t>
      </w:r>
    </w:p>
    <w:p>
      <w:pPr>
        <w:spacing w:after="0" w:line="108" w:lineRule="exact"/>
        <w:rPr>
          <w:sz w:val="20"/>
          <w:szCs w:val="20"/>
          <w:color w:val="auto"/>
        </w:rPr>
      </w:pPr>
    </w:p>
    <w:tbl>
      <w:tblPr>
        <w:tblLayout w:type="fixed"/>
        <w:tblInd w:w="380" w:type="dxa"/>
        <w:tblCellMar>
          <w:top w:w="0" w:type="dxa"/>
          <w:left w:w="0" w:type="dxa"/>
          <w:bottom w:w="0" w:type="dxa"/>
          <w:right w:w="0" w:type="dxa"/>
        </w:tblCellMar>
      </w:tblPr>
      <w:tr>
        <w:trPr>
          <w:trHeight w:val="214"/>
        </w:trPr>
        <w:tc>
          <w:tcPr>
            <w:tcW w:w="6020" w:type="dxa"/>
            <w:vAlign w:val="bottom"/>
          </w:tcPr>
          <w:p>
            <w:pPr>
              <w:ind w:left="80"/>
              <w:spacing w:after="0"/>
              <w:rPr>
                <w:sz w:val="20"/>
                <w:szCs w:val="20"/>
                <w:color w:val="auto"/>
              </w:rPr>
            </w:pPr>
            <w:r>
              <w:rPr>
                <w:rFonts w:ascii="Arial" w:cs="Arial" w:eastAsia="Arial" w:hAnsi="Arial"/>
                <w:sz w:val="17"/>
                <w:szCs w:val="17"/>
                <w:color w:val="auto"/>
              </w:rPr>
              <w:t>Other current assets consists of the following:</w:t>
            </w:r>
          </w:p>
        </w:tc>
        <w:tc>
          <w:tcPr>
            <w:tcW w:w="2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455"/>
        </w:trPr>
        <w:tc>
          <w:tcPr>
            <w:tcW w:w="6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00" w:type="dxa"/>
            <w:vAlign w:val="bottom"/>
            <w:gridSpan w:val="2"/>
          </w:tcPr>
          <w:p>
            <w:pPr>
              <w:ind w:left="100"/>
              <w:spacing w:after="0"/>
              <w:rPr>
                <w:sz w:val="20"/>
                <w:szCs w:val="20"/>
                <w:color w:val="auto"/>
              </w:rPr>
            </w:pPr>
            <w:r>
              <w:rPr>
                <w:rFonts w:ascii="Arial" w:cs="Arial" w:eastAsia="Arial" w:hAnsi="Arial"/>
                <w:sz w:val="17"/>
                <w:szCs w:val="17"/>
                <w:b w:val="1"/>
                <w:bCs w:val="1"/>
                <w:color w:val="auto"/>
              </w:rPr>
              <w:t>September 30, 2016</w:t>
            </w:r>
          </w:p>
        </w:tc>
        <w:tc>
          <w:tcPr>
            <w:tcW w:w="180" w:type="dxa"/>
            <w:vAlign w:val="bottom"/>
          </w:tcPr>
          <w:p>
            <w:pPr>
              <w:spacing w:after="0"/>
              <w:rPr>
                <w:sz w:val="24"/>
                <w:szCs w:val="24"/>
                <w:color w:val="auto"/>
              </w:rPr>
            </w:pPr>
          </w:p>
        </w:tc>
        <w:tc>
          <w:tcPr>
            <w:tcW w:w="1720" w:type="dxa"/>
            <w:vAlign w:val="bottom"/>
          </w:tcPr>
          <w:p>
            <w:pPr>
              <w:jc w:val="right"/>
              <w:ind w:right="196"/>
              <w:spacing w:after="0"/>
              <w:rPr>
                <w:sz w:val="20"/>
                <w:szCs w:val="20"/>
                <w:color w:val="auto"/>
              </w:rPr>
            </w:pPr>
            <w:r>
              <w:rPr>
                <w:rFonts w:ascii="Arial" w:cs="Arial" w:eastAsia="Arial" w:hAnsi="Arial"/>
                <w:sz w:val="17"/>
                <w:szCs w:val="17"/>
                <w:b w:val="1"/>
                <w:bCs w:val="1"/>
                <w:color w:val="auto"/>
                <w:w w:val="92"/>
              </w:rPr>
              <w:t>December 31, 2015</w:t>
            </w:r>
          </w:p>
        </w:tc>
      </w:tr>
      <w:tr>
        <w:trPr>
          <w:trHeight w:val="26"/>
        </w:trPr>
        <w:tc>
          <w:tcPr>
            <w:tcW w:w="60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25"/>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Derivative instruments</w:t>
            </w:r>
          </w:p>
        </w:tc>
        <w:tc>
          <w:tcPr>
            <w:tcW w:w="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w w:val="84"/>
              </w:rPr>
              <w:t>$</w:t>
            </w:r>
          </w:p>
        </w:tc>
        <w:tc>
          <w:tcPr>
            <w:tcW w:w="18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4,245</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7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3,009</w:t>
            </w:r>
          </w:p>
        </w:tc>
      </w:tr>
      <w:tr>
        <w:trPr>
          <w:trHeight w:val="227"/>
        </w:trPr>
        <w:tc>
          <w:tcPr>
            <w:tcW w:w="6020" w:type="dxa"/>
            <w:vAlign w:val="bottom"/>
          </w:tcPr>
          <w:p>
            <w:pPr>
              <w:ind w:left="20"/>
              <w:spacing w:after="0"/>
              <w:rPr>
                <w:sz w:val="20"/>
                <w:szCs w:val="20"/>
                <w:color w:val="auto"/>
              </w:rPr>
            </w:pPr>
            <w:r>
              <w:rPr>
                <w:rFonts w:ascii="Arial" w:cs="Arial" w:eastAsia="Arial" w:hAnsi="Arial"/>
                <w:sz w:val="17"/>
                <w:szCs w:val="17"/>
                <w:color w:val="auto"/>
              </w:rPr>
              <w:t>Advances to suppliers</w:t>
            </w:r>
          </w:p>
        </w:tc>
        <w:tc>
          <w:tcPr>
            <w:tcW w:w="200" w:type="dxa"/>
            <w:vAlign w:val="bottom"/>
          </w:tcPr>
          <w:p>
            <w:pPr>
              <w:spacing w:after="0"/>
              <w:rPr>
                <w:sz w:val="19"/>
                <w:szCs w:val="19"/>
                <w:color w:val="auto"/>
              </w:rPr>
            </w:pPr>
          </w:p>
        </w:tc>
        <w:tc>
          <w:tcPr>
            <w:tcW w:w="1800" w:type="dxa"/>
            <w:vAlign w:val="bottom"/>
          </w:tcPr>
          <w:p>
            <w:pPr>
              <w:jc w:val="right"/>
              <w:ind w:right="16"/>
              <w:spacing w:after="0"/>
              <w:rPr>
                <w:sz w:val="20"/>
                <w:szCs w:val="20"/>
                <w:color w:val="auto"/>
              </w:rPr>
            </w:pPr>
            <w:r>
              <w:rPr>
                <w:rFonts w:ascii="Arial" w:cs="Arial" w:eastAsia="Arial" w:hAnsi="Arial"/>
                <w:sz w:val="17"/>
                <w:szCs w:val="17"/>
                <w:color w:val="auto"/>
              </w:rPr>
              <w:t>1,366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ind w:right="16"/>
              <w:spacing w:after="0"/>
              <w:rPr>
                <w:sz w:val="20"/>
                <w:szCs w:val="20"/>
                <w:color w:val="auto"/>
              </w:rPr>
            </w:pPr>
            <w:r>
              <w:rPr>
                <w:rFonts w:ascii="Arial" w:cs="Arial" w:eastAsia="Arial" w:hAnsi="Arial"/>
                <w:sz w:val="17"/>
                <w:szCs w:val="17"/>
                <w:color w:val="auto"/>
              </w:rPr>
              <w:t>1,545</w:t>
            </w:r>
          </w:p>
        </w:tc>
      </w:tr>
      <w:tr>
        <w:trPr>
          <w:trHeight w:val="26"/>
        </w:trPr>
        <w:tc>
          <w:tcPr>
            <w:tcW w:w="6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33"/>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Receivables from statutory authorities</w:t>
            </w:r>
          </w:p>
        </w:tc>
        <w:tc>
          <w:tcPr>
            <w:tcW w:w="20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11,073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8,676</w:t>
            </w:r>
          </w:p>
        </w:tc>
      </w:tr>
      <w:tr>
        <w:trPr>
          <w:trHeight w:val="227"/>
        </w:trPr>
        <w:tc>
          <w:tcPr>
            <w:tcW w:w="6020" w:type="dxa"/>
            <w:vAlign w:val="bottom"/>
          </w:tcPr>
          <w:p>
            <w:pPr>
              <w:ind w:left="20"/>
              <w:spacing w:after="0"/>
              <w:rPr>
                <w:sz w:val="20"/>
                <w:szCs w:val="20"/>
                <w:color w:val="auto"/>
              </w:rPr>
            </w:pPr>
            <w:r>
              <w:rPr>
                <w:rFonts w:ascii="Arial" w:cs="Arial" w:eastAsia="Arial" w:hAnsi="Arial"/>
                <w:sz w:val="17"/>
                <w:szCs w:val="17"/>
                <w:color w:val="auto"/>
              </w:rPr>
              <w:t>Others</w:t>
            </w:r>
          </w:p>
        </w:tc>
        <w:tc>
          <w:tcPr>
            <w:tcW w:w="200" w:type="dxa"/>
            <w:vAlign w:val="bottom"/>
          </w:tcPr>
          <w:p>
            <w:pPr>
              <w:spacing w:after="0"/>
              <w:rPr>
                <w:sz w:val="19"/>
                <w:szCs w:val="19"/>
                <w:color w:val="auto"/>
              </w:rPr>
            </w:pPr>
          </w:p>
        </w:tc>
        <w:tc>
          <w:tcPr>
            <w:tcW w:w="1800" w:type="dxa"/>
            <w:vAlign w:val="bottom"/>
          </w:tcPr>
          <w:p>
            <w:pPr>
              <w:jc w:val="right"/>
              <w:ind w:right="16"/>
              <w:spacing w:after="0"/>
              <w:rPr>
                <w:sz w:val="20"/>
                <w:szCs w:val="20"/>
                <w:color w:val="auto"/>
              </w:rPr>
            </w:pPr>
            <w:r>
              <w:rPr>
                <w:rFonts w:ascii="Arial" w:cs="Arial" w:eastAsia="Arial" w:hAnsi="Arial"/>
                <w:sz w:val="17"/>
                <w:szCs w:val="17"/>
                <w:color w:val="auto"/>
              </w:rPr>
              <w:t>2,032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ind w:right="16"/>
              <w:spacing w:after="0"/>
              <w:rPr>
                <w:sz w:val="20"/>
                <w:szCs w:val="20"/>
                <w:color w:val="auto"/>
              </w:rPr>
            </w:pPr>
            <w:r>
              <w:rPr>
                <w:rFonts w:ascii="Arial" w:cs="Arial" w:eastAsia="Arial" w:hAnsi="Arial"/>
                <w:sz w:val="17"/>
                <w:szCs w:val="17"/>
                <w:color w:val="auto"/>
              </w:rPr>
              <w:t>1,989</w:t>
            </w:r>
          </w:p>
        </w:tc>
      </w:tr>
      <w:tr>
        <w:trPr>
          <w:trHeight w:val="26"/>
        </w:trPr>
        <w:tc>
          <w:tcPr>
            <w:tcW w:w="60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39"/>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current assets</w:t>
            </w: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w w:val="84"/>
              </w:rPr>
              <w:t>$</w:t>
            </w:r>
          </w:p>
        </w:tc>
        <w:tc>
          <w:tcPr>
            <w:tcW w:w="18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18,716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7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15,219</w:t>
            </w:r>
          </w:p>
        </w:tc>
      </w:tr>
      <w:tr>
        <w:trPr>
          <w:trHeight w:val="20"/>
        </w:trPr>
        <w:tc>
          <w:tcPr>
            <w:tcW w:w="6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640" w:type="dxa"/>
            <w:vAlign w:val="bottom"/>
            <w:gridSpan w:val="2"/>
          </w:tcPr>
          <w:p>
            <w:pPr>
              <w:spacing w:after="0"/>
              <w:rPr>
                <w:sz w:val="20"/>
                <w:szCs w:val="20"/>
                <w:color w:val="auto"/>
              </w:rPr>
            </w:pPr>
            <w:r>
              <w:rPr>
                <w:rFonts w:ascii="Arial" w:cs="Arial" w:eastAsia="Arial" w:hAnsi="Arial"/>
                <w:sz w:val="17"/>
                <w:szCs w:val="17"/>
                <w:b w:val="1"/>
                <w:bCs w:val="1"/>
                <w:i w:val="1"/>
                <w:iCs w:val="1"/>
                <w:color w:val="auto"/>
              </w:rPr>
              <w:t>(d) Accrued expenses and other current liabilities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3"/>
        </w:trPr>
        <w:tc>
          <w:tcPr>
            <w:tcW w:w="6640" w:type="dxa"/>
            <w:vAlign w:val="bottom"/>
            <w:gridSpan w:val="2"/>
          </w:tcPr>
          <w:p>
            <w:pPr>
              <w:ind w:left="400"/>
              <w:spacing w:after="0"/>
              <w:rPr>
                <w:sz w:val="20"/>
                <w:szCs w:val="20"/>
                <w:color w:val="auto"/>
              </w:rPr>
            </w:pPr>
            <w:r>
              <w:rPr>
                <w:rFonts w:ascii="Arial" w:cs="Arial" w:eastAsia="Arial" w:hAnsi="Arial"/>
                <w:sz w:val="17"/>
                <w:szCs w:val="17"/>
                <w:color w:val="auto"/>
              </w:rPr>
              <w:t>Accrued expenses and other current liabilities consists of the following:</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54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00" w:type="dxa"/>
            <w:vAlign w:val="bottom"/>
          </w:tcPr>
          <w:p>
            <w:pPr>
              <w:jc w:val="right"/>
              <w:ind w:right="236"/>
              <w:spacing w:after="0"/>
              <w:rPr>
                <w:sz w:val="20"/>
                <w:szCs w:val="20"/>
                <w:color w:val="auto"/>
              </w:rPr>
            </w:pPr>
            <w:r>
              <w:rPr>
                <w:rFonts w:ascii="Arial" w:cs="Arial" w:eastAsia="Arial" w:hAnsi="Arial"/>
                <w:sz w:val="17"/>
                <w:szCs w:val="17"/>
                <w:b w:val="1"/>
                <w:bCs w:val="1"/>
                <w:color w:val="auto"/>
                <w:w w:val="98"/>
              </w:rPr>
              <w:t>September 30, 2016</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0" w:type="dxa"/>
            <w:vAlign w:val="bottom"/>
            <w:gridSpan w:val="2"/>
          </w:tcPr>
          <w:p>
            <w:pPr>
              <w:ind w:left="120"/>
              <w:spacing w:after="0"/>
              <w:rPr>
                <w:sz w:val="20"/>
                <w:szCs w:val="20"/>
                <w:color w:val="auto"/>
              </w:rPr>
            </w:pPr>
            <w:r>
              <w:rPr>
                <w:rFonts w:ascii="Arial" w:cs="Arial" w:eastAsia="Arial" w:hAnsi="Arial"/>
                <w:sz w:val="17"/>
                <w:szCs w:val="17"/>
                <w:b w:val="1"/>
                <w:bCs w:val="1"/>
                <w:color w:val="auto"/>
              </w:rPr>
              <w:t>December 31, 2015</w:t>
            </w:r>
          </w:p>
        </w:tc>
        <w:tc>
          <w:tcPr>
            <w:tcW w:w="0" w:type="dxa"/>
            <w:vAlign w:val="bottom"/>
          </w:tcPr>
          <w:p>
            <w:pPr>
              <w:spacing w:after="0"/>
              <w:rPr>
                <w:sz w:val="1"/>
                <w:szCs w:val="1"/>
                <w:color w:val="auto"/>
              </w:rPr>
            </w:pPr>
          </w:p>
        </w:tc>
      </w:tr>
      <w:tr>
        <w:trPr>
          <w:trHeight w:val="26"/>
        </w:trPr>
        <w:tc>
          <w:tcPr>
            <w:tcW w:w="540" w:type="dxa"/>
            <w:vAlign w:val="bottom"/>
          </w:tcPr>
          <w:p>
            <w:pPr>
              <w:spacing w:after="0"/>
              <w:rPr>
                <w:sz w:val="2"/>
                <w:szCs w:val="2"/>
                <w:color w:val="auto"/>
              </w:rPr>
            </w:pPr>
          </w:p>
        </w:tc>
        <w:tc>
          <w:tcPr>
            <w:tcW w:w="6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540" w:type="dxa"/>
            <w:vAlign w:val="bottom"/>
            <w:tcBorders>
              <w:right w:val="single" w:sz="8" w:color="CCEEFF"/>
            </w:tcBorders>
          </w:tcPr>
          <w:p>
            <w:pPr>
              <w:spacing w:after="0"/>
              <w:rPr>
                <w:sz w:val="19"/>
                <w:szCs w:val="19"/>
                <w:color w:val="auto"/>
              </w:rPr>
            </w:pPr>
          </w:p>
        </w:tc>
        <w:tc>
          <w:tcPr>
            <w:tcW w:w="6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Accrued expenses</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900" w:type="dxa"/>
            <w:vAlign w:val="bottom"/>
            <w:tcBorders>
              <w:bottom w:val="single" w:sz="8" w:color="CCEEFF"/>
              <w:right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27,356</w:t>
            </w:r>
          </w:p>
        </w:tc>
        <w:tc>
          <w:tcPr>
            <w:tcW w:w="300" w:type="dxa"/>
            <w:vAlign w:val="bottom"/>
            <w:tcBorders>
              <w:bottom w:val="single" w:sz="8" w:color="CCEEFF"/>
            </w:tcBorders>
            <w:gridSpan w:val="2"/>
            <w:shd w:val="clear" w:color="auto" w:fill="CCEEFF"/>
          </w:tcPr>
          <w:p>
            <w:pPr>
              <w:jc w:val="right"/>
              <w:ind w:right="6"/>
              <w:spacing w:after="0"/>
              <w:rPr>
                <w:sz w:val="20"/>
                <w:szCs w:val="20"/>
                <w:color w:val="auto"/>
              </w:rPr>
            </w:pPr>
            <w:r>
              <w:rPr>
                <w:rFonts w:ascii="Arial" w:cs="Arial" w:eastAsia="Arial" w:hAnsi="Arial"/>
                <w:sz w:val="17"/>
                <w:szCs w:val="17"/>
                <w:color w:val="auto"/>
              </w:rPr>
              <w:t>$</w:t>
            </w:r>
          </w:p>
        </w:tc>
        <w:tc>
          <w:tcPr>
            <w:tcW w:w="1760" w:type="dxa"/>
            <w:vAlign w:val="bottom"/>
            <w:tcBorders>
              <w:bottom w:val="single" w:sz="8" w:color="CCEEFF"/>
            </w:tcBorders>
            <w:shd w:val="clear" w:color="auto" w:fill="CCEEFF"/>
          </w:tcPr>
          <w:p>
            <w:pPr>
              <w:jc w:val="center"/>
              <w:ind w:left="1076"/>
              <w:spacing w:after="0"/>
              <w:rPr>
                <w:sz w:val="20"/>
                <w:szCs w:val="20"/>
                <w:color w:val="auto"/>
              </w:rPr>
            </w:pPr>
            <w:r>
              <w:rPr>
                <w:rFonts w:ascii="Arial" w:cs="Arial" w:eastAsia="Arial" w:hAnsi="Arial"/>
                <w:sz w:val="17"/>
                <w:szCs w:val="17"/>
                <w:color w:val="auto"/>
                <w:w w:val="92"/>
              </w:rPr>
              <w:t>26,238</w:t>
            </w:r>
          </w:p>
        </w:tc>
        <w:tc>
          <w:tcPr>
            <w:tcW w:w="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40" w:type="dxa"/>
            <w:vAlign w:val="bottom"/>
          </w:tcPr>
          <w:p>
            <w:pPr>
              <w:spacing w:after="0"/>
              <w:rPr>
                <w:sz w:val="19"/>
                <w:szCs w:val="19"/>
                <w:color w:val="auto"/>
              </w:rPr>
            </w:pPr>
          </w:p>
        </w:tc>
        <w:tc>
          <w:tcPr>
            <w:tcW w:w="6100" w:type="dxa"/>
            <w:vAlign w:val="bottom"/>
          </w:tcPr>
          <w:p>
            <w:pPr>
              <w:spacing w:after="0"/>
              <w:rPr>
                <w:sz w:val="20"/>
                <w:szCs w:val="20"/>
                <w:color w:val="auto"/>
              </w:rPr>
            </w:pPr>
            <w:r>
              <w:rPr>
                <w:rFonts w:ascii="Arial" w:cs="Arial" w:eastAsia="Arial" w:hAnsi="Arial"/>
                <w:sz w:val="17"/>
                <w:szCs w:val="17"/>
                <w:color w:val="auto"/>
              </w:rPr>
              <w:t>Derivative instruments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00" w:type="dxa"/>
            <w:vAlign w:val="bottom"/>
          </w:tcPr>
          <w:p>
            <w:pPr>
              <w:jc w:val="right"/>
              <w:ind w:right="16"/>
              <w:spacing w:after="0"/>
              <w:rPr>
                <w:sz w:val="20"/>
                <w:szCs w:val="20"/>
                <w:color w:val="auto"/>
              </w:rPr>
            </w:pPr>
            <w:r>
              <w:rPr>
                <w:rFonts w:ascii="Arial" w:cs="Arial" w:eastAsia="Arial" w:hAnsi="Arial"/>
                <w:sz w:val="17"/>
                <w:szCs w:val="17"/>
                <w:color w:val="auto"/>
              </w:rPr>
              <w:t>1,097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7"/>
                <w:szCs w:val="17"/>
                <w:color w:val="auto"/>
              </w:rPr>
              <w:t>1,226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540" w:type="dxa"/>
            <w:vAlign w:val="bottom"/>
          </w:tcPr>
          <w:p>
            <w:pPr>
              <w:spacing w:after="0"/>
              <w:rPr>
                <w:sz w:val="2"/>
                <w:szCs w:val="2"/>
                <w:color w:val="auto"/>
              </w:rPr>
            </w:pPr>
          </w:p>
        </w:tc>
        <w:tc>
          <w:tcPr>
            <w:tcW w:w="6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540" w:type="dxa"/>
            <w:vAlign w:val="bottom"/>
            <w:tcBorders>
              <w:right w:val="single" w:sz="8" w:color="CCEEFF"/>
            </w:tcBorders>
          </w:tcPr>
          <w:p>
            <w:pPr>
              <w:spacing w:after="0"/>
              <w:rPr>
                <w:sz w:val="20"/>
                <w:szCs w:val="20"/>
                <w:color w:val="auto"/>
              </w:rPr>
            </w:pPr>
          </w:p>
        </w:tc>
        <w:tc>
          <w:tcPr>
            <w:tcW w:w="6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Client liability</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CCEEFF"/>
              <w:right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2,515</w:t>
            </w:r>
          </w:p>
        </w:tc>
        <w:tc>
          <w:tcPr>
            <w:tcW w:w="100" w:type="dxa"/>
            <w:vAlign w:val="bottom"/>
            <w:tcBorders>
              <w:bottom w:val="single" w:sz="8" w:color="CCEEFF"/>
              <w:right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2,217</w:t>
            </w:r>
          </w:p>
        </w:tc>
        <w:tc>
          <w:tcPr>
            <w:tcW w:w="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540" w:type="dxa"/>
            <w:vAlign w:val="bottom"/>
          </w:tcPr>
          <w:p>
            <w:pPr>
              <w:spacing w:after="0"/>
              <w:rPr>
                <w:sz w:val="19"/>
                <w:szCs w:val="19"/>
                <w:color w:val="auto"/>
              </w:rPr>
            </w:pPr>
          </w:p>
        </w:tc>
        <w:tc>
          <w:tcPr>
            <w:tcW w:w="6100" w:type="dxa"/>
            <w:vAlign w:val="bottom"/>
          </w:tcPr>
          <w:p>
            <w:pPr>
              <w:spacing w:after="0"/>
              <w:rPr>
                <w:sz w:val="20"/>
                <w:szCs w:val="20"/>
                <w:color w:val="auto"/>
              </w:rPr>
            </w:pPr>
            <w:r>
              <w:rPr>
                <w:rFonts w:ascii="Arial" w:cs="Arial" w:eastAsia="Arial" w:hAnsi="Arial"/>
                <w:sz w:val="17"/>
                <w:szCs w:val="17"/>
                <w:color w:val="auto"/>
              </w:rPr>
              <w:t>Other current liabilities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00" w:type="dxa"/>
            <w:vAlign w:val="bottom"/>
          </w:tcPr>
          <w:p>
            <w:pPr>
              <w:jc w:val="right"/>
              <w:ind w:right="16"/>
              <w:spacing w:after="0"/>
              <w:rPr>
                <w:sz w:val="20"/>
                <w:szCs w:val="20"/>
                <w:color w:val="auto"/>
              </w:rPr>
            </w:pPr>
            <w:r>
              <w:rPr>
                <w:rFonts w:ascii="Arial" w:cs="Arial" w:eastAsia="Arial" w:hAnsi="Arial"/>
                <w:sz w:val="17"/>
                <w:szCs w:val="17"/>
                <w:color w:val="auto"/>
              </w:rPr>
              <w:t>7,394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7"/>
                <w:szCs w:val="17"/>
                <w:color w:val="auto"/>
              </w:rPr>
              <w:t>4,569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540" w:type="dxa"/>
            <w:vAlign w:val="bottom"/>
          </w:tcPr>
          <w:p>
            <w:pPr>
              <w:spacing w:after="0"/>
              <w:rPr>
                <w:sz w:val="2"/>
                <w:szCs w:val="2"/>
                <w:color w:val="auto"/>
              </w:rPr>
            </w:pPr>
          </w:p>
        </w:tc>
        <w:tc>
          <w:tcPr>
            <w:tcW w:w="6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540" w:type="dxa"/>
            <w:vAlign w:val="bottom"/>
            <w:tcBorders>
              <w:right w:val="single" w:sz="8" w:color="CCEEFF"/>
            </w:tcBorders>
          </w:tcPr>
          <w:p>
            <w:pPr>
              <w:spacing w:after="0"/>
              <w:rPr>
                <w:sz w:val="19"/>
                <w:szCs w:val="19"/>
                <w:color w:val="auto"/>
              </w:rPr>
            </w:pPr>
          </w:p>
        </w:tc>
        <w:tc>
          <w:tcPr>
            <w:tcW w:w="6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Accrued expenses and other current liabilities</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900" w:type="dxa"/>
            <w:vAlign w:val="bottom"/>
            <w:tcBorders>
              <w:bottom w:val="single" w:sz="8" w:color="CCEEFF"/>
              <w:right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38,362</w:t>
            </w:r>
          </w:p>
        </w:tc>
        <w:tc>
          <w:tcPr>
            <w:tcW w:w="300" w:type="dxa"/>
            <w:vAlign w:val="bottom"/>
            <w:tcBorders>
              <w:bottom w:val="single" w:sz="8" w:color="CCEEFF"/>
            </w:tcBorders>
            <w:gridSpan w:val="2"/>
            <w:shd w:val="clear" w:color="auto" w:fill="CCEEFF"/>
          </w:tcPr>
          <w:p>
            <w:pPr>
              <w:jc w:val="right"/>
              <w:ind w:right="6"/>
              <w:spacing w:after="0"/>
              <w:rPr>
                <w:sz w:val="20"/>
                <w:szCs w:val="20"/>
                <w:color w:val="auto"/>
              </w:rPr>
            </w:pPr>
            <w:r>
              <w:rPr>
                <w:rFonts w:ascii="Arial" w:cs="Arial" w:eastAsia="Arial" w:hAnsi="Arial"/>
                <w:sz w:val="17"/>
                <w:szCs w:val="17"/>
                <w:color w:val="auto"/>
              </w:rPr>
              <w:t>$</w:t>
            </w:r>
          </w:p>
        </w:tc>
        <w:tc>
          <w:tcPr>
            <w:tcW w:w="1760" w:type="dxa"/>
            <w:vAlign w:val="bottom"/>
            <w:tcBorders>
              <w:bottom w:val="single" w:sz="8" w:color="CCEEFF"/>
            </w:tcBorders>
            <w:shd w:val="clear" w:color="auto" w:fill="CCEEFF"/>
          </w:tcPr>
          <w:p>
            <w:pPr>
              <w:jc w:val="center"/>
              <w:ind w:left="1076"/>
              <w:spacing w:after="0"/>
              <w:rPr>
                <w:sz w:val="20"/>
                <w:szCs w:val="20"/>
                <w:color w:val="auto"/>
              </w:rPr>
            </w:pPr>
            <w:r>
              <w:rPr>
                <w:rFonts w:ascii="Arial" w:cs="Arial" w:eastAsia="Arial" w:hAnsi="Arial"/>
                <w:sz w:val="17"/>
                <w:szCs w:val="17"/>
                <w:color w:val="auto"/>
                <w:w w:val="92"/>
              </w:rPr>
              <w:t>34,250</w:t>
            </w:r>
          </w:p>
        </w:tc>
        <w:tc>
          <w:tcPr>
            <w:tcW w:w="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 w:type="dxa"/>
            <w:vAlign w:val="bottom"/>
            <w:tcBorders>
              <w:right w:val="single" w:sz="8" w:color="CCEEFF"/>
            </w:tcBorders>
          </w:tcPr>
          <w:p>
            <w:pPr>
              <w:spacing w:after="0" w:line="20" w:lineRule="exact"/>
              <w:rPr>
                <w:sz w:val="1"/>
                <w:szCs w:val="1"/>
                <w:color w:val="auto"/>
              </w:rPr>
            </w:pPr>
          </w:p>
        </w:tc>
        <w:tc>
          <w:tcPr>
            <w:tcW w:w="6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9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640" w:type="dxa"/>
            <w:vAlign w:val="bottom"/>
            <w:gridSpan w:val="2"/>
            <w:vMerge w:val="restart"/>
          </w:tcPr>
          <w:p>
            <w:pPr>
              <w:spacing w:after="0"/>
              <w:rPr>
                <w:sz w:val="20"/>
                <w:szCs w:val="20"/>
                <w:color w:val="auto"/>
              </w:rPr>
            </w:pPr>
            <w:r>
              <w:rPr>
                <w:rFonts w:ascii="Arial" w:cs="Arial" w:eastAsia="Arial" w:hAnsi="Arial"/>
                <w:sz w:val="17"/>
                <w:szCs w:val="17"/>
                <w:b w:val="1"/>
                <w:bCs w:val="1"/>
                <w:i w:val="1"/>
                <w:iCs w:val="1"/>
                <w:color w:val="auto"/>
              </w:rPr>
              <w:t>(e) Non-current liabilities</w:t>
            </w: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3"/>
        </w:trPr>
        <w:tc>
          <w:tcPr>
            <w:tcW w:w="664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6640" w:type="dxa"/>
            <w:vAlign w:val="bottom"/>
            <w:gridSpan w:val="2"/>
          </w:tcPr>
          <w:p>
            <w:pPr>
              <w:ind w:left="400"/>
              <w:spacing w:after="0"/>
              <w:rPr>
                <w:sz w:val="20"/>
                <w:szCs w:val="20"/>
                <w:color w:val="auto"/>
              </w:rPr>
            </w:pPr>
            <w:r>
              <w:rPr>
                <w:rFonts w:ascii="Arial" w:cs="Arial" w:eastAsia="Arial" w:hAnsi="Arial"/>
                <w:sz w:val="17"/>
                <w:szCs w:val="17"/>
                <w:color w:val="auto"/>
              </w:rPr>
              <w:t>Non-current liabilities consists of the following:</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54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00" w:type="dxa"/>
            <w:vAlign w:val="bottom"/>
          </w:tcPr>
          <w:p>
            <w:pPr>
              <w:jc w:val="right"/>
              <w:ind w:right="316"/>
              <w:spacing w:after="0"/>
              <w:rPr>
                <w:sz w:val="20"/>
                <w:szCs w:val="20"/>
                <w:color w:val="auto"/>
              </w:rPr>
            </w:pPr>
            <w:r>
              <w:rPr>
                <w:rFonts w:ascii="Arial" w:cs="Arial" w:eastAsia="Arial" w:hAnsi="Arial"/>
                <w:sz w:val="17"/>
                <w:szCs w:val="17"/>
                <w:b w:val="1"/>
                <w:bCs w:val="1"/>
                <w:color w:val="auto"/>
                <w:w w:val="93"/>
              </w:rPr>
              <w:t>September 30, 2016</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0" w:type="dxa"/>
            <w:vAlign w:val="bottom"/>
            <w:gridSpan w:val="2"/>
          </w:tcPr>
          <w:p>
            <w:pPr>
              <w:ind w:left="80"/>
              <w:spacing w:after="0"/>
              <w:rPr>
                <w:sz w:val="20"/>
                <w:szCs w:val="20"/>
                <w:color w:val="auto"/>
              </w:rPr>
            </w:pPr>
            <w:r>
              <w:rPr>
                <w:rFonts w:ascii="Arial" w:cs="Arial" w:eastAsia="Arial" w:hAnsi="Arial"/>
                <w:sz w:val="17"/>
                <w:szCs w:val="17"/>
                <w:b w:val="1"/>
                <w:bCs w:val="1"/>
                <w:color w:val="auto"/>
              </w:rPr>
              <w:t>December 31, 2015</w:t>
            </w:r>
          </w:p>
        </w:tc>
        <w:tc>
          <w:tcPr>
            <w:tcW w:w="0" w:type="dxa"/>
            <w:vAlign w:val="bottom"/>
          </w:tcPr>
          <w:p>
            <w:pPr>
              <w:spacing w:after="0"/>
              <w:rPr>
                <w:sz w:val="1"/>
                <w:szCs w:val="1"/>
                <w:color w:val="auto"/>
              </w:rPr>
            </w:pPr>
          </w:p>
        </w:tc>
      </w:tr>
      <w:tr>
        <w:trPr>
          <w:trHeight w:val="26"/>
        </w:trPr>
        <w:tc>
          <w:tcPr>
            <w:tcW w:w="540" w:type="dxa"/>
            <w:vAlign w:val="bottom"/>
          </w:tcPr>
          <w:p>
            <w:pPr>
              <w:spacing w:after="0"/>
              <w:rPr>
                <w:sz w:val="2"/>
                <w:szCs w:val="2"/>
                <w:color w:val="auto"/>
              </w:rPr>
            </w:pPr>
          </w:p>
        </w:tc>
        <w:tc>
          <w:tcPr>
            <w:tcW w:w="6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540" w:type="dxa"/>
            <w:vAlign w:val="bottom"/>
          </w:tcPr>
          <w:p>
            <w:pPr>
              <w:spacing w:after="0"/>
              <w:rPr>
                <w:sz w:val="19"/>
                <w:szCs w:val="19"/>
                <w:color w:val="auto"/>
              </w:rPr>
            </w:pPr>
          </w:p>
        </w:tc>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Derivative instruments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900" w:type="dxa"/>
            <w:vAlign w:val="bottom"/>
            <w:tcBorders>
              <w:bottom w:val="single" w:sz="8" w:color="CCEEFF"/>
              <w:right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719</w:t>
            </w:r>
          </w:p>
        </w:tc>
        <w:tc>
          <w:tcPr>
            <w:tcW w:w="300" w:type="dxa"/>
            <w:vAlign w:val="bottom"/>
            <w:tcBorders>
              <w:bottom w:val="single" w:sz="8" w:color="CCEEFF"/>
            </w:tcBorders>
            <w:gridSpan w:val="2"/>
            <w:shd w:val="clear" w:color="auto" w:fill="CCEEFF"/>
          </w:tcPr>
          <w:p>
            <w:pPr>
              <w:jc w:val="right"/>
              <w:ind w:right="46"/>
              <w:spacing w:after="0"/>
              <w:rPr>
                <w:sz w:val="20"/>
                <w:szCs w:val="20"/>
                <w:color w:val="auto"/>
              </w:rPr>
            </w:pPr>
            <w:r>
              <w:rPr>
                <w:rFonts w:ascii="Arial" w:cs="Arial" w:eastAsia="Arial" w:hAnsi="Arial"/>
                <w:sz w:val="17"/>
                <w:szCs w:val="17"/>
                <w:color w:val="auto"/>
              </w:rPr>
              <w:t>$</w:t>
            </w:r>
          </w:p>
        </w:tc>
        <w:tc>
          <w:tcPr>
            <w:tcW w:w="1760" w:type="dxa"/>
            <w:vAlign w:val="bottom"/>
            <w:tcBorders>
              <w:bottom w:val="single" w:sz="8" w:color="CCEEFF"/>
            </w:tcBorders>
            <w:shd w:val="clear" w:color="auto" w:fill="CCEEFF"/>
          </w:tcPr>
          <w:p>
            <w:pPr>
              <w:jc w:val="center"/>
              <w:ind w:left="1056"/>
              <w:spacing w:after="0"/>
              <w:rPr>
                <w:sz w:val="20"/>
                <w:szCs w:val="20"/>
                <w:color w:val="auto"/>
              </w:rPr>
            </w:pPr>
            <w:r>
              <w:rPr>
                <w:rFonts w:ascii="Arial" w:cs="Arial" w:eastAsia="Arial" w:hAnsi="Arial"/>
                <w:sz w:val="17"/>
                <w:szCs w:val="17"/>
                <w:color w:val="auto"/>
                <w:w w:val="89"/>
              </w:rPr>
              <w:t>1,132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40" w:type="dxa"/>
            <w:vAlign w:val="bottom"/>
          </w:tcPr>
          <w:p>
            <w:pPr>
              <w:spacing w:after="0"/>
              <w:rPr>
                <w:sz w:val="19"/>
                <w:szCs w:val="19"/>
                <w:color w:val="auto"/>
              </w:rPr>
            </w:pPr>
          </w:p>
        </w:tc>
        <w:tc>
          <w:tcPr>
            <w:tcW w:w="6100" w:type="dxa"/>
            <w:vAlign w:val="bottom"/>
          </w:tcPr>
          <w:p>
            <w:pPr>
              <w:ind w:left="20"/>
              <w:spacing w:after="0"/>
              <w:rPr>
                <w:sz w:val="20"/>
                <w:szCs w:val="20"/>
                <w:color w:val="auto"/>
              </w:rPr>
            </w:pPr>
            <w:r>
              <w:rPr>
                <w:rFonts w:ascii="Arial" w:cs="Arial" w:eastAsia="Arial" w:hAnsi="Arial"/>
                <w:sz w:val="17"/>
                <w:szCs w:val="17"/>
                <w:color w:val="auto"/>
              </w:rPr>
              <w:t>Unrecognized tax benefits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00" w:type="dxa"/>
            <w:vAlign w:val="bottom"/>
          </w:tcPr>
          <w:p>
            <w:pPr>
              <w:jc w:val="right"/>
              <w:ind w:right="36"/>
              <w:spacing w:after="0"/>
              <w:rPr>
                <w:sz w:val="20"/>
                <w:szCs w:val="20"/>
                <w:color w:val="auto"/>
              </w:rPr>
            </w:pPr>
            <w:r>
              <w:rPr>
                <w:rFonts w:ascii="Arial" w:cs="Arial" w:eastAsia="Arial" w:hAnsi="Arial"/>
                <w:sz w:val="17"/>
                <w:szCs w:val="17"/>
                <w:color w:val="auto"/>
              </w:rPr>
              <w:t>3,195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jc w:val="center"/>
              <w:ind w:left="1056"/>
              <w:spacing w:after="0"/>
              <w:rPr>
                <w:sz w:val="20"/>
                <w:szCs w:val="20"/>
                <w:color w:val="auto"/>
              </w:rPr>
            </w:pPr>
            <w:r>
              <w:rPr>
                <w:rFonts w:ascii="Arial" w:cs="Arial" w:eastAsia="Arial" w:hAnsi="Arial"/>
                <w:sz w:val="17"/>
                <w:szCs w:val="17"/>
                <w:color w:val="auto"/>
                <w:w w:val="89"/>
              </w:rPr>
              <w:t>3,066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540" w:type="dxa"/>
            <w:vAlign w:val="bottom"/>
          </w:tcPr>
          <w:p>
            <w:pPr>
              <w:spacing w:after="0"/>
              <w:rPr>
                <w:sz w:val="2"/>
                <w:szCs w:val="2"/>
                <w:color w:val="auto"/>
              </w:rPr>
            </w:pPr>
          </w:p>
        </w:tc>
        <w:tc>
          <w:tcPr>
            <w:tcW w:w="6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540" w:type="dxa"/>
            <w:vAlign w:val="bottom"/>
          </w:tcPr>
          <w:p>
            <w:pPr>
              <w:spacing w:after="0"/>
              <w:rPr>
                <w:sz w:val="20"/>
                <w:szCs w:val="20"/>
                <w:color w:val="auto"/>
              </w:rPr>
            </w:pPr>
          </w:p>
        </w:tc>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Deferred rent</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CCEEFF"/>
              <w:right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6,308</w:t>
            </w:r>
          </w:p>
        </w:tc>
        <w:tc>
          <w:tcPr>
            <w:tcW w:w="100" w:type="dxa"/>
            <w:vAlign w:val="bottom"/>
            <w:tcBorders>
              <w:bottom w:val="single" w:sz="8" w:color="CCEEFF"/>
              <w:right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jc w:val="center"/>
              <w:ind w:left="1056"/>
              <w:spacing w:after="0"/>
              <w:rPr>
                <w:sz w:val="20"/>
                <w:szCs w:val="20"/>
                <w:color w:val="auto"/>
              </w:rPr>
            </w:pPr>
            <w:r>
              <w:rPr>
                <w:rFonts w:ascii="Arial" w:cs="Arial" w:eastAsia="Arial" w:hAnsi="Arial"/>
                <w:sz w:val="17"/>
                <w:szCs w:val="17"/>
                <w:color w:val="auto"/>
                <w:w w:val="89"/>
              </w:rPr>
              <w:t>6,515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540" w:type="dxa"/>
            <w:vAlign w:val="bottom"/>
          </w:tcPr>
          <w:p>
            <w:pPr>
              <w:spacing w:after="0"/>
              <w:rPr>
                <w:sz w:val="19"/>
                <w:szCs w:val="19"/>
                <w:color w:val="auto"/>
              </w:rPr>
            </w:pPr>
          </w:p>
        </w:tc>
        <w:tc>
          <w:tcPr>
            <w:tcW w:w="6100" w:type="dxa"/>
            <w:vAlign w:val="bottom"/>
          </w:tcPr>
          <w:p>
            <w:pPr>
              <w:ind w:left="20"/>
              <w:spacing w:after="0"/>
              <w:rPr>
                <w:sz w:val="20"/>
                <w:szCs w:val="20"/>
                <w:color w:val="auto"/>
              </w:rPr>
            </w:pPr>
            <w:r>
              <w:rPr>
                <w:rFonts w:ascii="Arial" w:cs="Arial" w:eastAsia="Arial" w:hAnsi="Arial"/>
                <w:sz w:val="17"/>
                <w:szCs w:val="17"/>
                <w:color w:val="auto"/>
              </w:rPr>
              <w:t>Retirement benefits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00" w:type="dxa"/>
            <w:vAlign w:val="bottom"/>
          </w:tcPr>
          <w:p>
            <w:pPr>
              <w:jc w:val="right"/>
              <w:ind w:right="36"/>
              <w:spacing w:after="0"/>
              <w:rPr>
                <w:sz w:val="20"/>
                <w:szCs w:val="20"/>
                <w:color w:val="auto"/>
              </w:rPr>
            </w:pPr>
            <w:r>
              <w:rPr>
                <w:rFonts w:ascii="Arial" w:cs="Arial" w:eastAsia="Arial" w:hAnsi="Arial"/>
                <w:sz w:val="17"/>
                <w:szCs w:val="17"/>
                <w:color w:val="auto"/>
              </w:rPr>
              <w:t>1,398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jc w:val="center"/>
              <w:ind w:left="1056"/>
              <w:spacing w:after="0"/>
              <w:rPr>
                <w:sz w:val="20"/>
                <w:szCs w:val="20"/>
                <w:color w:val="auto"/>
              </w:rPr>
            </w:pPr>
            <w:r>
              <w:rPr>
                <w:rFonts w:ascii="Arial" w:cs="Arial" w:eastAsia="Arial" w:hAnsi="Arial"/>
                <w:sz w:val="17"/>
                <w:szCs w:val="17"/>
                <w:color w:val="auto"/>
                <w:w w:val="89"/>
              </w:rPr>
              <w:t>1,441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540" w:type="dxa"/>
            <w:vAlign w:val="bottom"/>
          </w:tcPr>
          <w:p>
            <w:pPr>
              <w:spacing w:after="0"/>
              <w:rPr>
                <w:sz w:val="2"/>
                <w:szCs w:val="2"/>
                <w:color w:val="auto"/>
              </w:rPr>
            </w:pPr>
          </w:p>
        </w:tc>
        <w:tc>
          <w:tcPr>
            <w:tcW w:w="6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3"/>
        </w:trPr>
        <w:tc>
          <w:tcPr>
            <w:tcW w:w="540" w:type="dxa"/>
            <w:vAlign w:val="bottom"/>
          </w:tcPr>
          <w:p>
            <w:pPr>
              <w:spacing w:after="0"/>
              <w:rPr>
                <w:sz w:val="21"/>
                <w:szCs w:val="21"/>
                <w:color w:val="auto"/>
              </w:rPr>
            </w:pPr>
          </w:p>
        </w:tc>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non-current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right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1,585</w:t>
            </w:r>
          </w:p>
        </w:tc>
        <w:tc>
          <w:tcPr>
            <w:tcW w:w="100" w:type="dxa"/>
            <w:vAlign w:val="bottom"/>
            <w:tcBorders>
              <w:bottom w:val="single" w:sz="8" w:color="CCEEFF"/>
              <w:right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center"/>
              <w:ind w:left="1056"/>
              <w:spacing w:after="0"/>
              <w:rPr>
                <w:sz w:val="20"/>
                <w:szCs w:val="20"/>
                <w:color w:val="auto"/>
              </w:rPr>
            </w:pPr>
            <w:r>
              <w:rPr>
                <w:rFonts w:ascii="Arial" w:cs="Arial" w:eastAsia="Arial" w:hAnsi="Arial"/>
                <w:sz w:val="17"/>
                <w:szCs w:val="17"/>
                <w:color w:val="auto"/>
                <w:w w:val="89"/>
              </w:rPr>
              <w:t>5,501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540" w:type="dxa"/>
            <w:vAlign w:val="bottom"/>
          </w:tcPr>
          <w:p>
            <w:pPr>
              <w:spacing w:after="0"/>
              <w:rPr>
                <w:sz w:val="19"/>
                <w:szCs w:val="19"/>
                <w:color w:val="auto"/>
              </w:rPr>
            </w:pPr>
          </w:p>
        </w:tc>
        <w:tc>
          <w:tcPr>
            <w:tcW w:w="6100" w:type="dxa"/>
            <w:vAlign w:val="bottom"/>
          </w:tcPr>
          <w:p>
            <w:pPr>
              <w:ind w:left="20"/>
              <w:spacing w:after="0"/>
              <w:rPr>
                <w:sz w:val="20"/>
                <w:szCs w:val="20"/>
                <w:color w:val="auto"/>
              </w:rPr>
            </w:pPr>
            <w:r>
              <w:rPr>
                <w:rFonts w:ascii="Arial" w:cs="Arial" w:eastAsia="Arial" w:hAnsi="Arial"/>
                <w:sz w:val="17"/>
                <w:szCs w:val="17"/>
                <w:color w:val="auto"/>
              </w:rPr>
              <w:t>Non-current liabilities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top w:val="single" w:sz="8" w:color="auto"/>
            </w:tcBorders>
          </w:tcPr>
          <w:p>
            <w:pPr>
              <w:spacing w:after="0"/>
              <w:rPr>
                <w:sz w:val="19"/>
                <w:szCs w:val="19"/>
                <w:color w:val="auto"/>
              </w:rPr>
            </w:pPr>
          </w:p>
        </w:tc>
        <w:tc>
          <w:tcPr>
            <w:tcW w:w="190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color w:val="auto"/>
              </w:rPr>
              <w:t>13,205</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ind w:right="46"/>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color w:val="auto"/>
              </w:rPr>
              <w:t>17,655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540" w:type="dxa"/>
            <w:vAlign w:val="bottom"/>
          </w:tcPr>
          <w:p>
            <w:pPr>
              <w:spacing w:after="0"/>
              <w:rPr>
                <w:sz w:val="2"/>
                <w:szCs w:val="2"/>
                <w:color w:val="auto"/>
              </w:rPr>
            </w:pPr>
          </w:p>
        </w:tc>
        <w:tc>
          <w:tcPr>
            <w:tcW w:w="6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 Accumulated Other Comprehensive Loss</w:t>
      </w:r>
    </w:p>
    <w:p>
      <w:pPr>
        <w:spacing w:after="0" w:line="209" w:lineRule="exact"/>
        <w:rPr>
          <w:sz w:val="20"/>
          <w:szCs w:val="20"/>
          <w:color w:val="auto"/>
        </w:rPr>
      </w:pPr>
    </w:p>
    <w:p>
      <w:pPr>
        <w:jc w:val="both"/>
        <w:ind w:firstLine="379"/>
        <w:spacing w:after="0" w:line="300" w:lineRule="auto"/>
        <w:rPr>
          <w:sz w:val="20"/>
          <w:szCs w:val="20"/>
          <w:color w:val="auto"/>
        </w:rPr>
      </w:pPr>
      <w:r>
        <w:rPr>
          <w:rFonts w:ascii="Arial" w:cs="Arial" w:eastAsia="Arial" w:hAnsi="Arial"/>
          <w:sz w:val="15"/>
          <w:szCs w:val="15"/>
          <w:color w:val="auto"/>
        </w:rPr>
        <w:t>Accumulated other comprehensive loss consists of amortization of actuarial gain/(loss) on retirement benefits and changes in the cumulative foreign currency translation adjustments. In addition, the Company enters into foreign currency exchange contracts, which are designated as cash flow hedges in accordance with ASC topic 815, "Derivatives and Hedging" ("ASC 815"). Changes in the fair values of contracts that are deemed effective are recorded as a component of accumulated other comprehensive loss until the settlement of those contracts. The balances as of September 30, 2016 and December 31, 2015 are as follows: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123" w:right="239" w:bottom="1440" w:gutter="0" w:footer="0" w:header="0"/>
        </w:sectPr>
      </w:pPr>
    </w:p>
    <w:bookmarkStart w:id="8" w:name="page9"/>
    <w:bookmarkEnd w:id="8"/>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23" w:lineRule="exact"/>
        <w:rPr>
          <w:sz w:val="20"/>
          <w:szCs w:val="20"/>
          <w:color w:val="auto"/>
        </w:rPr>
      </w:pPr>
    </w:p>
    <w:p>
      <w:pPr>
        <w:ind w:left="4480"/>
        <w:spacing w:after="0"/>
        <w:rPr>
          <w:sz w:val="20"/>
          <w:szCs w:val="20"/>
          <w:color w:val="auto"/>
        </w:rPr>
      </w:pPr>
      <w:r>
        <w:rPr>
          <w:rFonts w:ascii="Arial" w:cs="Arial" w:eastAsia="Arial" w:hAnsi="Arial"/>
          <w:sz w:val="17"/>
          <w:szCs w:val="17"/>
          <w:b w:val="1"/>
          <w:bCs w:val="1"/>
          <w:color w:val="auto"/>
        </w:rPr>
        <w:t>EXLSERVICE HOLDINGS, INC.</w:t>
      </w:r>
    </w:p>
    <w:p>
      <w:pPr>
        <w:spacing w:after="0" w:line="92" w:lineRule="exact"/>
        <w:rPr>
          <w:sz w:val="20"/>
          <w:szCs w:val="20"/>
          <w:color w:val="auto"/>
        </w:rPr>
      </w:pPr>
    </w:p>
    <w:p>
      <w:pPr>
        <w:ind w:left="2480"/>
        <w:spacing w:after="0"/>
        <w:rPr>
          <w:sz w:val="20"/>
          <w:szCs w:val="20"/>
          <w:color w:val="auto"/>
        </w:rPr>
      </w:pPr>
      <w:r>
        <w:rPr>
          <w:rFonts w:ascii="Arial" w:cs="Arial" w:eastAsia="Arial" w:hAnsi="Arial"/>
          <w:sz w:val="17"/>
          <w:szCs w:val="17"/>
          <w:b w:val="1"/>
          <w:bCs w:val="1"/>
          <w:color w:val="auto"/>
        </w:rPr>
        <w:t>NOTES TO UNAUDITED CONSOLIDATED FINANCIAL STATEMENTS—(continued)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September 30, 2016</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00" w:lineRule="exact"/>
        <w:rPr>
          <w:sz w:val="20"/>
          <w:szCs w:val="20"/>
          <w:color w:val="auto"/>
        </w:rPr>
      </w:pPr>
    </w:p>
    <w:p>
      <w:pPr>
        <w:spacing w:after="0" w:line="372" w:lineRule="exact"/>
        <w:rPr>
          <w:sz w:val="20"/>
          <w:szCs w:val="20"/>
          <w:color w:val="auto"/>
        </w:rPr>
      </w:pPr>
    </w:p>
    <w:tbl>
      <w:tblPr>
        <w:tblLayout w:type="fixed"/>
        <w:tblInd w:w="920" w:type="dxa"/>
        <w:tblCellMar>
          <w:top w:w="0" w:type="dxa"/>
          <w:left w:w="0" w:type="dxa"/>
          <w:bottom w:w="0" w:type="dxa"/>
          <w:right w:w="0" w:type="dxa"/>
        </w:tblCellMar>
      </w:tblPr>
      <w:tr>
        <w:trPr>
          <w:trHeight w:val="218"/>
        </w:trPr>
        <w:tc>
          <w:tcPr>
            <w:tcW w:w="6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gridSpan w:val="2"/>
          </w:tcPr>
          <w:p>
            <w:pPr>
              <w:ind w:left="100"/>
              <w:spacing w:after="0"/>
              <w:rPr>
                <w:sz w:val="20"/>
                <w:szCs w:val="20"/>
                <w:color w:val="auto"/>
              </w:rPr>
            </w:pPr>
            <w:r>
              <w:rPr>
                <w:rFonts w:ascii="Arial" w:cs="Arial" w:eastAsia="Arial" w:hAnsi="Arial"/>
                <w:sz w:val="17"/>
                <w:szCs w:val="17"/>
                <w:b w:val="1"/>
                <w:bCs w:val="1"/>
                <w:color w:val="auto"/>
              </w:rPr>
              <w:t>September 30, 2016</w:t>
            </w:r>
          </w:p>
        </w:tc>
        <w:tc>
          <w:tcPr>
            <w:tcW w:w="160" w:type="dxa"/>
            <w:vAlign w:val="bottom"/>
          </w:tcPr>
          <w:p>
            <w:pPr>
              <w:spacing w:after="0"/>
              <w:rPr>
                <w:sz w:val="18"/>
                <w:szCs w:val="18"/>
                <w:color w:val="auto"/>
              </w:rPr>
            </w:pPr>
          </w:p>
        </w:tc>
        <w:tc>
          <w:tcPr>
            <w:tcW w:w="1680" w:type="dxa"/>
            <w:vAlign w:val="bottom"/>
          </w:tcPr>
          <w:p>
            <w:pPr>
              <w:jc w:val="right"/>
              <w:ind w:right="176"/>
              <w:spacing w:after="0"/>
              <w:rPr>
                <w:sz w:val="20"/>
                <w:szCs w:val="20"/>
                <w:color w:val="auto"/>
              </w:rPr>
            </w:pPr>
            <w:r>
              <w:rPr>
                <w:rFonts w:ascii="Arial" w:cs="Arial" w:eastAsia="Arial" w:hAnsi="Arial"/>
                <w:sz w:val="17"/>
                <w:szCs w:val="17"/>
                <w:b w:val="1"/>
                <w:bCs w:val="1"/>
                <w:color w:val="auto"/>
                <w:w w:val="91"/>
              </w:rPr>
              <w:t>December 31, 2015</w:t>
            </w:r>
          </w:p>
        </w:tc>
      </w:tr>
      <w:tr>
        <w:trPr>
          <w:trHeight w:val="26"/>
        </w:trPr>
        <w:tc>
          <w:tcPr>
            <w:tcW w:w="6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25"/>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Cumulative currency translation adjustments</w:t>
            </w:r>
          </w:p>
        </w:tc>
        <w:tc>
          <w:tcPr>
            <w:tcW w:w="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w w:val="84"/>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(70,715)</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(68,063)</w:t>
            </w:r>
          </w:p>
        </w:tc>
      </w:tr>
      <w:tr>
        <w:trPr>
          <w:trHeight w:val="227"/>
        </w:trPr>
        <w:tc>
          <w:tcPr>
            <w:tcW w:w="6220" w:type="dxa"/>
            <w:vAlign w:val="bottom"/>
          </w:tcPr>
          <w:p>
            <w:pPr>
              <w:ind w:left="20"/>
              <w:spacing w:after="0"/>
              <w:rPr>
                <w:sz w:val="20"/>
                <w:szCs w:val="20"/>
                <w:color w:val="auto"/>
              </w:rPr>
            </w:pPr>
            <w:r>
              <w:rPr>
                <w:rFonts w:ascii="Arial" w:cs="Arial" w:eastAsia="Arial" w:hAnsi="Arial"/>
                <w:sz w:val="17"/>
                <w:szCs w:val="17"/>
                <w:color w:val="auto"/>
              </w:rPr>
              <w:t>Unrealized gain on cash flow hedges, net of taxes of $1,370 and $662</w:t>
            </w:r>
          </w:p>
        </w:tc>
        <w:tc>
          <w:tcPr>
            <w:tcW w:w="220" w:type="dxa"/>
            <w:vAlign w:val="bottom"/>
          </w:tcPr>
          <w:p>
            <w:pPr>
              <w:spacing w:after="0"/>
              <w:rPr>
                <w:sz w:val="19"/>
                <w:szCs w:val="19"/>
                <w:color w:val="auto"/>
              </w:rPr>
            </w:pPr>
          </w:p>
        </w:tc>
        <w:tc>
          <w:tcPr>
            <w:tcW w:w="1820" w:type="dxa"/>
            <w:vAlign w:val="bottom"/>
          </w:tcPr>
          <w:p>
            <w:pPr>
              <w:jc w:val="right"/>
              <w:ind w:right="16"/>
              <w:spacing w:after="0"/>
              <w:rPr>
                <w:sz w:val="20"/>
                <w:szCs w:val="20"/>
                <w:color w:val="auto"/>
              </w:rPr>
            </w:pPr>
            <w:r>
              <w:rPr>
                <w:rFonts w:ascii="Arial" w:cs="Arial" w:eastAsia="Arial" w:hAnsi="Arial"/>
                <w:sz w:val="17"/>
                <w:szCs w:val="17"/>
                <w:color w:val="auto"/>
              </w:rPr>
              <w:t>3,404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jc w:val="right"/>
              <w:ind w:right="36"/>
              <w:spacing w:after="0"/>
              <w:rPr>
                <w:sz w:val="20"/>
                <w:szCs w:val="20"/>
                <w:color w:val="auto"/>
              </w:rPr>
            </w:pPr>
            <w:r>
              <w:rPr>
                <w:rFonts w:ascii="Arial" w:cs="Arial" w:eastAsia="Arial" w:hAnsi="Arial"/>
                <w:sz w:val="17"/>
                <w:szCs w:val="17"/>
                <w:color w:val="auto"/>
              </w:rPr>
              <w:t>824</w:t>
            </w:r>
          </w:p>
        </w:tc>
      </w:tr>
      <w:tr>
        <w:trPr>
          <w:trHeight w:val="26"/>
        </w:trPr>
        <w:tc>
          <w:tcPr>
            <w:tcW w:w="6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3"/>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Retirement benefits, net of taxes of ($174) and ($201)</w:t>
            </w:r>
          </w:p>
        </w:tc>
        <w:tc>
          <w:tcPr>
            <w:tcW w:w="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387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(86)</w:t>
            </w:r>
          </w:p>
        </w:tc>
      </w:tr>
      <w:tr>
        <w:trPr>
          <w:trHeight w:val="220"/>
        </w:trPr>
        <w:tc>
          <w:tcPr>
            <w:tcW w:w="6220" w:type="dxa"/>
            <w:vAlign w:val="bottom"/>
          </w:tcPr>
          <w:p>
            <w:pPr>
              <w:ind w:left="20"/>
              <w:spacing w:after="0"/>
              <w:rPr>
                <w:sz w:val="20"/>
                <w:szCs w:val="20"/>
                <w:color w:val="auto"/>
              </w:rPr>
            </w:pPr>
            <w:r>
              <w:rPr>
                <w:rFonts w:ascii="Arial" w:cs="Arial" w:eastAsia="Arial" w:hAnsi="Arial"/>
                <w:sz w:val="17"/>
                <w:szCs w:val="17"/>
                <w:color w:val="auto"/>
              </w:rPr>
              <w:t>Accumulated other comprehensive loss</w:t>
            </w:r>
          </w:p>
        </w:tc>
        <w:tc>
          <w:tcPr>
            <w:tcW w:w="22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color w:val="auto"/>
                <w:w w:val="84"/>
              </w:rPr>
              <w:t>$</w:t>
            </w: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(66,924)</w:t>
            </w:r>
          </w:p>
        </w:tc>
        <w:tc>
          <w:tcPr>
            <w:tcW w:w="1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(67,325)</w:t>
            </w:r>
          </w:p>
        </w:tc>
      </w:tr>
      <w:tr>
        <w:trPr>
          <w:trHeight w:val="26"/>
        </w:trPr>
        <w:tc>
          <w:tcPr>
            <w:tcW w:w="6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0"/>
        </w:trPr>
        <w:tc>
          <w:tcPr>
            <w:tcW w:w="6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 Other Income, net</w:t>
      </w:r>
    </w:p>
    <w:p>
      <w:pPr>
        <w:spacing w:after="0" w:line="108" w:lineRule="exact"/>
        <w:rPr>
          <w:sz w:val="20"/>
          <w:szCs w:val="20"/>
          <w:color w:val="auto"/>
        </w:rPr>
      </w:pPr>
    </w:p>
    <w:tbl>
      <w:tblPr>
        <w:tblLayout w:type="fixed"/>
        <w:tblInd w:w="380" w:type="dxa"/>
        <w:tblCellMar>
          <w:top w:w="0" w:type="dxa"/>
          <w:left w:w="0" w:type="dxa"/>
          <w:bottom w:w="0" w:type="dxa"/>
          <w:right w:w="0" w:type="dxa"/>
        </w:tblCellMar>
      </w:tblPr>
      <w:tr>
        <w:trPr>
          <w:trHeight w:val="214"/>
        </w:trPr>
        <w:tc>
          <w:tcPr>
            <w:tcW w:w="3460" w:type="dxa"/>
            <w:vAlign w:val="bottom"/>
            <w:gridSpan w:val="2"/>
          </w:tcPr>
          <w:p>
            <w:pPr>
              <w:spacing w:after="0"/>
              <w:rPr>
                <w:sz w:val="20"/>
                <w:szCs w:val="20"/>
                <w:color w:val="auto"/>
              </w:rPr>
            </w:pPr>
            <w:r>
              <w:rPr>
                <w:rFonts w:ascii="Arial" w:cs="Arial" w:eastAsia="Arial" w:hAnsi="Arial"/>
                <w:sz w:val="17"/>
                <w:szCs w:val="17"/>
                <w:color w:val="auto"/>
              </w:rPr>
              <w:t>Other income, net consists of the following:</w:t>
            </w: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455"/>
        </w:trPr>
        <w:tc>
          <w:tcPr>
            <w:tcW w:w="8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3080" w:type="dxa"/>
            <w:vAlign w:val="bottom"/>
            <w:gridSpan w:val="4"/>
          </w:tcPr>
          <w:p>
            <w:pPr>
              <w:jc w:val="right"/>
              <w:spacing w:after="0"/>
              <w:rPr>
                <w:sz w:val="20"/>
                <w:szCs w:val="20"/>
                <w:color w:val="auto"/>
              </w:rPr>
            </w:pPr>
            <w:r>
              <w:rPr>
                <w:rFonts w:ascii="Arial" w:cs="Arial" w:eastAsia="Arial" w:hAnsi="Arial"/>
                <w:sz w:val="17"/>
                <w:szCs w:val="17"/>
                <w:b w:val="1"/>
                <w:bCs w:val="1"/>
                <w:color w:val="auto"/>
              </w:rPr>
              <w:t>Three months ended September 30,</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160" w:type="dxa"/>
            <w:vAlign w:val="bottom"/>
            <w:gridSpan w:val="4"/>
          </w:tcPr>
          <w:p>
            <w:pPr>
              <w:jc w:val="center"/>
              <w:ind w:right="216"/>
              <w:spacing w:after="0"/>
              <w:rPr>
                <w:sz w:val="20"/>
                <w:szCs w:val="20"/>
                <w:color w:val="auto"/>
              </w:rPr>
            </w:pPr>
            <w:r>
              <w:rPr>
                <w:rFonts w:ascii="Arial" w:cs="Arial" w:eastAsia="Arial" w:hAnsi="Arial"/>
                <w:sz w:val="17"/>
                <w:szCs w:val="17"/>
                <w:b w:val="1"/>
                <w:bCs w:val="1"/>
                <w:color w:val="auto"/>
                <w:w w:val="88"/>
              </w:rPr>
              <w:t>Nine months ended September 30,</w:t>
            </w:r>
          </w:p>
        </w:tc>
      </w:tr>
      <w:tr>
        <w:trPr>
          <w:trHeight w:val="26"/>
        </w:trPr>
        <w:tc>
          <w:tcPr>
            <w:tcW w:w="8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20"/>
        </w:trPr>
        <w:tc>
          <w:tcPr>
            <w:tcW w:w="8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1100" w:type="dxa"/>
            <w:vAlign w:val="bottom"/>
          </w:tcPr>
          <w:p>
            <w:pPr>
              <w:jc w:val="right"/>
              <w:ind w:right="16"/>
              <w:spacing w:after="0"/>
              <w:rPr>
                <w:sz w:val="20"/>
                <w:szCs w:val="20"/>
                <w:color w:val="auto"/>
              </w:rPr>
            </w:pPr>
            <w:r>
              <w:rPr>
                <w:rFonts w:ascii="Arial" w:cs="Arial" w:eastAsia="Arial" w:hAnsi="Arial"/>
                <w:sz w:val="17"/>
                <w:szCs w:val="17"/>
                <w:b w:val="1"/>
                <w:bCs w:val="1"/>
                <w:color w:val="auto"/>
              </w:rPr>
              <w:t>2016</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ind w:right="156"/>
              <w:spacing w:after="0"/>
              <w:rPr>
                <w:sz w:val="20"/>
                <w:szCs w:val="20"/>
                <w:color w:val="auto"/>
              </w:rPr>
            </w:pPr>
            <w:r>
              <w:rPr>
                <w:rFonts w:ascii="Arial" w:cs="Arial" w:eastAsia="Arial" w:hAnsi="Arial"/>
                <w:sz w:val="17"/>
                <w:szCs w:val="17"/>
                <w:b w:val="1"/>
                <w:bCs w:val="1"/>
                <w:color w:val="auto"/>
              </w:rPr>
              <w:t>2015</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ind w:right="536"/>
              <w:spacing w:after="0"/>
              <w:rPr>
                <w:sz w:val="20"/>
                <w:szCs w:val="20"/>
                <w:color w:val="auto"/>
              </w:rPr>
            </w:pPr>
            <w:r>
              <w:rPr>
                <w:rFonts w:ascii="Arial" w:cs="Arial" w:eastAsia="Arial" w:hAnsi="Arial"/>
                <w:sz w:val="17"/>
                <w:szCs w:val="17"/>
                <w:b w:val="1"/>
                <w:bCs w:val="1"/>
                <w:color w:val="auto"/>
              </w:rPr>
              <w:t>2016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ind w:right="656"/>
              <w:spacing w:after="0"/>
              <w:rPr>
                <w:sz w:val="20"/>
                <w:szCs w:val="20"/>
                <w:color w:val="auto"/>
              </w:rPr>
            </w:pPr>
            <w:r>
              <w:rPr>
                <w:rFonts w:ascii="Arial" w:cs="Arial" w:eastAsia="Arial" w:hAnsi="Arial"/>
                <w:sz w:val="17"/>
                <w:szCs w:val="17"/>
                <w:b w:val="1"/>
                <w:bCs w:val="1"/>
                <w:color w:val="auto"/>
              </w:rPr>
              <w:t>2015</w:t>
            </w:r>
          </w:p>
        </w:tc>
      </w:tr>
      <w:tr>
        <w:trPr>
          <w:trHeight w:val="26"/>
        </w:trPr>
        <w:tc>
          <w:tcPr>
            <w:tcW w:w="80" w:type="dxa"/>
            <w:vAlign w:val="bottom"/>
          </w:tcPr>
          <w:p>
            <w:pPr>
              <w:spacing w:after="0"/>
              <w:rPr>
                <w:sz w:val="2"/>
                <w:szCs w:val="2"/>
                <w:color w:val="auto"/>
              </w:rPr>
            </w:pPr>
          </w:p>
        </w:tc>
        <w:tc>
          <w:tcPr>
            <w:tcW w:w="33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25"/>
        </w:trPr>
        <w:tc>
          <w:tcPr>
            <w:tcW w:w="80" w:type="dxa"/>
            <w:vAlign w:val="bottom"/>
          </w:tcPr>
          <w:p>
            <w:pPr>
              <w:spacing w:after="0"/>
              <w:rPr>
                <w:sz w:val="19"/>
                <w:szCs w:val="19"/>
                <w:color w:val="auto"/>
              </w:rPr>
            </w:pPr>
          </w:p>
        </w:tc>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Interest and dividend income*</w:t>
            </w:r>
          </w:p>
        </w:tc>
        <w:tc>
          <w:tcPr>
            <w:tcW w:w="1100" w:type="dxa"/>
            <w:vAlign w:val="bottom"/>
            <w:tcBorders>
              <w:bottom w:val="single" w:sz="8" w:color="CCEEFF"/>
            </w:tcBorders>
            <w:shd w:val="clear" w:color="auto" w:fill="CCEEFF"/>
          </w:tcPr>
          <w:p>
            <w:pPr>
              <w:jc w:val="right"/>
              <w:ind w:right="916"/>
              <w:spacing w:after="0"/>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2,916</w:t>
            </w:r>
          </w:p>
        </w:tc>
        <w:tc>
          <w:tcPr>
            <w:tcW w:w="1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ind w:right="1116"/>
              <w:spacing w:after="0"/>
              <w:rPr>
                <w:sz w:val="20"/>
                <w:szCs w:val="20"/>
                <w:color w:val="auto"/>
              </w:rPr>
            </w:pPr>
            <w:r>
              <w:rPr>
                <w:rFonts w:ascii="Arial" w:cs="Arial" w:eastAsia="Arial" w:hAnsi="Arial"/>
                <w:sz w:val="17"/>
                <w:szCs w:val="17"/>
                <w:color w:val="auto"/>
                <w:w w:val="84"/>
              </w:rPr>
              <w:t>$</w:t>
            </w:r>
          </w:p>
        </w:tc>
        <w:tc>
          <w:tcPr>
            <w:tcW w:w="4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w w:val="84"/>
              </w:rPr>
              <w:t>2,085</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7,399</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jc w:val="center"/>
              <w:ind w:right="196"/>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4,997</w:t>
            </w:r>
          </w:p>
        </w:tc>
      </w:tr>
      <w:tr>
        <w:trPr>
          <w:trHeight w:val="227"/>
        </w:trPr>
        <w:tc>
          <w:tcPr>
            <w:tcW w:w="80" w:type="dxa"/>
            <w:vAlign w:val="bottom"/>
          </w:tcPr>
          <w:p>
            <w:pPr>
              <w:spacing w:after="0"/>
              <w:rPr>
                <w:sz w:val="19"/>
                <w:szCs w:val="19"/>
                <w:color w:val="auto"/>
              </w:rPr>
            </w:pPr>
          </w:p>
        </w:tc>
        <w:tc>
          <w:tcPr>
            <w:tcW w:w="3380" w:type="dxa"/>
            <w:vAlign w:val="bottom"/>
          </w:tcPr>
          <w:p>
            <w:pPr>
              <w:ind w:left="20"/>
              <w:spacing w:after="0"/>
              <w:rPr>
                <w:sz w:val="20"/>
                <w:szCs w:val="20"/>
                <w:color w:val="auto"/>
              </w:rPr>
            </w:pPr>
            <w:r>
              <w:rPr>
                <w:rFonts w:ascii="Arial" w:cs="Arial" w:eastAsia="Arial" w:hAnsi="Arial"/>
                <w:sz w:val="17"/>
                <w:szCs w:val="17"/>
                <w:color w:val="auto"/>
              </w:rPr>
              <w:t>Interest expense</w:t>
            </w:r>
          </w:p>
        </w:tc>
        <w:tc>
          <w:tcPr>
            <w:tcW w:w="1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(295)</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(340)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(1,023)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(983)</w:t>
            </w:r>
          </w:p>
        </w:tc>
      </w:tr>
      <w:tr>
        <w:trPr>
          <w:trHeight w:val="26"/>
        </w:trPr>
        <w:tc>
          <w:tcPr>
            <w:tcW w:w="8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3"/>
        </w:trPr>
        <w:tc>
          <w:tcPr>
            <w:tcW w:w="80" w:type="dxa"/>
            <w:vAlign w:val="bottom"/>
          </w:tcPr>
          <w:p>
            <w:pPr>
              <w:spacing w:after="0"/>
              <w:rPr>
                <w:sz w:val="20"/>
                <w:szCs w:val="20"/>
                <w:color w:val="auto"/>
              </w:rPr>
            </w:pPr>
          </w:p>
        </w:tc>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w w:val="93"/>
              </w:rPr>
              <w:t>Change in fair value of earn-out consideration**</w:t>
            </w:r>
          </w:p>
        </w:tc>
        <w:tc>
          <w:tcPr>
            <w:tcW w:w="1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4,060</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r>
      <w:tr>
        <w:trPr>
          <w:trHeight w:val="227"/>
        </w:trPr>
        <w:tc>
          <w:tcPr>
            <w:tcW w:w="80" w:type="dxa"/>
            <w:vAlign w:val="bottom"/>
          </w:tcPr>
          <w:p>
            <w:pPr>
              <w:spacing w:after="0"/>
              <w:rPr>
                <w:sz w:val="19"/>
                <w:szCs w:val="19"/>
                <w:color w:val="auto"/>
              </w:rPr>
            </w:pPr>
          </w:p>
        </w:tc>
        <w:tc>
          <w:tcPr>
            <w:tcW w:w="3380" w:type="dxa"/>
            <w:vAlign w:val="bottom"/>
          </w:tcPr>
          <w:p>
            <w:pPr>
              <w:ind w:left="20"/>
              <w:spacing w:after="0"/>
              <w:rPr>
                <w:sz w:val="20"/>
                <w:szCs w:val="20"/>
                <w:color w:val="auto"/>
              </w:rPr>
            </w:pPr>
            <w:r>
              <w:rPr>
                <w:rFonts w:ascii="Arial" w:cs="Arial" w:eastAsia="Arial" w:hAnsi="Arial"/>
                <w:sz w:val="17"/>
                <w:szCs w:val="17"/>
                <w:color w:val="auto"/>
              </w:rPr>
              <w:t>Other, net</w:t>
            </w:r>
          </w:p>
        </w:tc>
        <w:tc>
          <w:tcPr>
            <w:tcW w:w="1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(25)</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80" w:type="dxa"/>
            <w:vAlign w:val="bottom"/>
          </w:tcPr>
          <w:p>
            <w:pPr>
              <w:jc w:val="right"/>
              <w:ind w:right="16"/>
              <w:spacing w:after="0"/>
              <w:rPr>
                <w:sz w:val="20"/>
                <w:szCs w:val="20"/>
                <w:color w:val="auto"/>
              </w:rPr>
            </w:pPr>
            <w:r>
              <w:rPr>
                <w:rFonts w:ascii="Arial" w:cs="Arial" w:eastAsia="Arial" w:hAnsi="Arial"/>
                <w:sz w:val="17"/>
                <w:szCs w:val="17"/>
                <w:color w:val="auto"/>
              </w:rPr>
              <w:t>42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ind w:right="16"/>
              <w:spacing w:after="0"/>
              <w:rPr>
                <w:sz w:val="20"/>
                <w:szCs w:val="20"/>
                <w:color w:val="auto"/>
              </w:rPr>
            </w:pPr>
            <w:r>
              <w:rPr>
                <w:rFonts w:ascii="Arial" w:cs="Arial" w:eastAsia="Arial" w:hAnsi="Arial"/>
                <w:sz w:val="17"/>
                <w:szCs w:val="17"/>
                <w:color w:val="auto"/>
              </w:rPr>
              <w:t>738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ind w:right="36"/>
              <w:spacing w:after="0"/>
              <w:rPr>
                <w:sz w:val="20"/>
                <w:szCs w:val="20"/>
                <w:color w:val="auto"/>
              </w:rPr>
            </w:pPr>
            <w:r>
              <w:rPr>
                <w:rFonts w:ascii="Arial" w:cs="Arial" w:eastAsia="Arial" w:hAnsi="Arial"/>
                <w:sz w:val="17"/>
                <w:szCs w:val="17"/>
                <w:color w:val="auto"/>
              </w:rPr>
              <w:t>286</w:t>
            </w:r>
          </w:p>
        </w:tc>
      </w:tr>
      <w:tr>
        <w:trPr>
          <w:trHeight w:val="26"/>
        </w:trPr>
        <w:tc>
          <w:tcPr>
            <w:tcW w:w="80" w:type="dxa"/>
            <w:vAlign w:val="bottom"/>
          </w:tcPr>
          <w:p>
            <w:pPr>
              <w:spacing w:after="0"/>
              <w:rPr>
                <w:sz w:val="2"/>
                <w:szCs w:val="2"/>
                <w:color w:val="auto"/>
              </w:rPr>
            </w:pPr>
          </w:p>
        </w:tc>
        <w:tc>
          <w:tcPr>
            <w:tcW w:w="33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9"/>
        </w:trPr>
        <w:tc>
          <w:tcPr>
            <w:tcW w:w="80" w:type="dxa"/>
            <w:vAlign w:val="bottom"/>
          </w:tcPr>
          <w:p>
            <w:pPr>
              <w:spacing w:after="0"/>
              <w:rPr>
                <w:sz w:val="20"/>
                <w:szCs w:val="20"/>
                <w:color w:val="auto"/>
              </w:rPr>
            </w:pPr>
          </w:p>
        </w:tc>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income, net</w:t>
            </w:r>
          </w:p>
        </w:tc>
        <w:tc>
          <w:tcPr>
            <w:tcW w:w="1100" w:type="dxa"/>
            <w:vAlign w:val="bottom"/>
            <w:tcBorders>
              <w:bottom w:val="single" w:sz="8" w:color="auto"/>
            </w:tcBorders>
            <w:shd w:val="clear" w:color="auto" w:fill="CCEEFF"/>
          </w:tcPr>
          <w:p>
            <w:pPr>
              <w:jc w:val="right"/>
              <w:ind w:right="916"/>
              <w:spacing w:after="0"/>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2,596</w:t>
            </w: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ind w:right="1116"/>
              <w:spacing w:after="0"/>
              <w:rPr>
                <w:sz w:val="20"/>
                <w:szCs w:val="20"/>
                <w:color w:val="auto"/>
              </w:rPr>
            </w:pPr>
            <w:r>
              <w:rPr>
                <w:rFonts w:ascii="Arial" w:cs="Arial" w:eastAsia="Arial" w:hAnsi="Arial"/>
                <w:sz w:val="17"/>
                <w:szCs w:val="17"/>
                <w:color w:val="auto"/>
                <w:w w:val="84"/>
              </w:rPr>
              <w:t>$</w:t>
            </w:r>
          </w:p>
        </w:tc>
        <w:tc>
          <w:tcPr>
            <w:tcW w:w="4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w w:val="84"/>
              </w:rPr>
              <w:t>1,787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11,174</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center"/>
              <w:ind w:right="196"/>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4,300</w:t>
            </w:r>
          </w:p>
        </w:tc>
      </w:tr>
      <w:tr>
        <w:trPr>
          <w:trHeight w:val="20"/>
        </w:trPr>
        <w:tc>
          <w:tcPr>
            <w:tcW w:w="8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firstLine="380"/>
        <w:spacing w:after="0" w:line="339" w:lineRule="auto"/>
        <w:tabs>
          <w:tab w:leader="none" w:pos="508" w:val="left"/>
        </w:tabs>
        <w:numPr>
          <w:ilvl w:val="0"/>
          <w:numId w:val="5"/>
        </w:numPr>
        <w:rPr>
          <w:rFonts w:ascii="Arial" w:cs="Arial" w:eastAsia="Arial" w:hAnsi="Arial"/>
          <w:sz w:val="15"/>
          <w:szCs w:val="15"/>
          <w:color w:val="auto"/>
        </w:rPr>
      </w:pPr>
      <w:r>
        <w:rPr>
          <w:rFonts w:ascii="Arial" w:cs="Arial" w:eastAsia="Arial" w:hAnsi="Arial"/>
          <w:sz w:val="15"/>
          <w:szCs w:val="15"/>
          <w:color w:val="auto"/>
        </w:rPr>
        <w:t>Includes unrealized gain of $1,971 and $4,955 on investments carried under ASC topic 825, "Financial Instruments" ("ASC 825"), fair value option for the three and nine months ended September 30, 2016, respectively, and $1,419 and $2,179, respectively, for the three and nine months ending September 30, 2015.</w:t>
      </w:r>
    </w:p>
    <w:p>
      <w:pPr>
        <w:spacing w:after="0" w:line="18" w:lineRule="exact"/>
        <w:rPr>
          <w:sz w:val="20"/>
          <w:szCs w:val="20"/>
          <w:color w:val="auto"/>
        </w:rPr>
      </w:pPr>
    </w:p>
    <w:p>
      <w:pPr>
        <w:ind w:firstLine="380"/>
        <w:spacing w:after="0" w:line="271" w:lineRule="auto"/>
        <w:tabs>
          <w:tab w:leader="none" w:pos="612"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Company recognized $4,060 of other income during the nine months ended September 30, 2016 due to the changes in the fair value of the earn-out consideration related to its acquisition of RPM Direct, LLC and RPM Data Solutions, LLC (the "RPM acquisition").</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 Accounting Pronouncements</w:t>
      </w:r>
    </w:p>
    <w:p>
      <w:pPr>
        <w:spacing w:after="0" w:line="108" w:lineRule="exact"/>
        <w:rPr>
          <w:sz w:val="20"/>
          <w:szCs w:val="20"/>
          <w:color w:val="auto"/>
        </w:rPr>
      </w:pPr>
    </w:p>
    <w:p>
      <w:pPr>
        <w:jc w:val="both"/>
        <w:ind w:firstLine="379"/>
        <w:spacing w:after="0" w:line="284" w:lineRule="auto"/>
        <w:rPr>
          <w:sz w:val="20"/>
          <w:szCs w:val="20"/>
          <w:color w:val="auto"/>
        </w:rPr>
      </w:pPr>
      <w:r>
        <w:rPr>
          <w:rFonts w:ascii="Arial" w:cs="Arial" w:eastAsia="Arial" w:hAnsi="Arial"/>
          <w:sz w:val="15"/>
          <w:szCs w:val="15"/>
          <w:color w:val="auto"/>
        </w:rPr>
        <w:t>In May 2014, the Financial Accounting Standards Board ("FASB") issued Accounting Standards Update ("ASU") No. 2014-09, “Revenue from Contracts with Customers”. The new standard is effective for reporting periods beginning after December 15, 2017 and early adoption is not permitted. The comprehensive new standard will supersede existing revenue recognition guidance and require revenue to be recognized when promised goods or services are transferred to customers in amounts that reflect the consideration to which the Company expects to be entitled in exchange for those goods or services. Adoption of the new rules could affect the timing of revenue recognition for certain transactions of the Company. ASU No. 2014-09 is effective for the Company in the first quarter of fiscal 2018 using either one of two methods: (i) retrospectively to each prior reporting period presented with the option to elect certain practical expedients as defined within ASU No. 2014-09; or</w:t>
      </w:r>
    </w:p>
    <w:p>
      <w:pPr>
        <w:spacing w:after="0" w:line="1" w:lineRule="exact"/>
        <w:rPr>
          <w:sz w:val="20"/>
          <w:szCs w:val="20"/>
          <w:color w:val="auto"/>
        </w:rPr>
      </w:pPr>
    </w:p>
    <w:p>
      <w:pPr>
        <w:jc w:val="both"/>
        <w:ind w:firstLine="1"/>
        <w:spacing w:after="0" w:line="252" w:lineRule="auto"/>
        <w:tabs>
          <w:tab w:leader="none" w:pos="275" w:val="left"/>
        </w:tabs>
        <w:numPr>
          <w:ilvl w:val="0"/>
          <w:numId w:val="7"/>
        </w:numPr>
        <w:rPr>
          <w:rFonts w:ascii="Arial" w:cs="Arial" w:eastAsia="Arial" w:hAnsi="Arial"/>
          <w:sz w:val="17"/>
          <w:szCs w:val="17"/>
          <w:color w:val="auto"/>
        </w:rPr>
      </w:pPr>
      <w:r>
        <w:rPr>
          <w:rFonts w:ascii="Arial" w:cs="Arial" w:eastAsia="Arial" w:hAnsi="Arial"/>
          <w:sz w:val="17"/>
          <w:szCs w:val="17"/>
          <w:color w:val="auto"/>
        </w:rPr>
        <w:t>retrospectively with the cumulative effect of initially applying ASU No. 2014-09 recognized at the date of initial application and providing certain additional disclosures as defined per ASU No. 2014-09. The Company is currently evaluating the impact of adoption and the implementation approach to be used, changes to its accounting system and processes, and additional disclosure requirements that may be necessary.</w:t>
      </w:r>
    </w:p>
    <w:p>
      <w:pPr>
        <w:spacing w:after="0" w:line="80" w:lineRule="exact"/>
        <w:rPr>
          <w:sz w:val="20"/>
          <w:szCs w:val="20"/>
          <w:color w:val="auto"/>
        </w:rPr>
      </w:pPr>
    </w:p>
    <w:p>
      <w:pPr>
        <w:jc w:val="both"/>
        <w:ind w:firstLine="379"/>
        <w:spacing w:after="0" w:line="289" w:lineRule="auto"/>
        <w:rPr>
          <w:sz w:val="20"/>
          <w:szCs w:val="20"/>
          <w:color w:val="auto"/>
        </w:rPr>
      </w:pPr>
      <w:r>
        <w:rPr>
          <w:rFonts w:ascii="Arial" w:cs="Arial" w:eastAsia="Arial" w:hAnsi="Arial"/>
          <w:sz w:val="15"/>
          <w:szCs w:val="15"/>
          <w:color w:val="auto"/>
        </w:rPr>
        <w:t>In February 2016, the FASB issued ASU No. 2016-02, Leases (Topic 842). ASU No. 2016-02 requires the identification of arrangements that should be accounted for as leases by lessees. In general, for lease arrangements exceeding a twelve month term, these arrangements must now be recognized as assets and liabilities on the balance sheet of the lessee. Under ASU No. 2016-02, a right-of-use asset and lease obligation will be recorded for all leases, whether operating or financing, while the income statement will reflect lease expense for operating leases and amortization/interest expense for financing leases. The balance sheet amount recorded for existing leases at the date of adoption of ASU No. 2016-02 must be calculated using the applicable incremental borrowing rate at the date of adoption. In addition, ASU No. 2016-02 requires the use of the modified retrospective method, which will require adjustment to all comparative periods presented in the consolidated financial statements. The new guidance is effective for fiscal years beginning after December 15, 2018, including interim periods within those fiscal years. The Company is currently evaluating the impact that the adoption of this guidance will have on its consolidated financial statements and the implementation approach to be used.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23" w:right="239" w:bottom="1440" w:gutter="0" w:footer="0" w:header="0"/>
        </w:sectPr>
      </w:pPr>
    </w:p>
    <w:bookmarkStart w:id="9" w:name="page10"/>
    <w:bookmarkEnd w:id="9"/>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23" w:lineRule="exact"/>
        <w:rPr>
          <w:sz w:val="20"/>
          <w:szCs w:val="20"/>
          <w:color w:val="auto"/>
        </w:rPr>
      </w:pPr>
    </w:p>
    <w:p>
      <w:pPr>
        <w:ind w:left="4480"/>
        <w:spacing w:after="0"/>
        <w:rPr>
          <w:sz w:val="20"/>
          <w:szCs w:val="20"/>
          <w:color w:val="auto"/>
        </w:rPr>
      </w:pPr>
      <w:r>
        <w:rPr>
          <w:rFonts w:ascii="Arial" w:cs="Arial" w:eastAsia="Arial" w:hAnsi="Arial"/>
          <w:sz w:val="17"/>
          <w:szCs w:val="17"/>
          <w:b w:val="1"/>
          <w:bCs w:val="1"/>
          <w:color w:val="auto"/>
        </w:rPr>
        <w:t>EXLSERVICE HOLDINGS, INC.</w:t>
      </w:r>
    </w:p>
    <w:p>
      <w:pPr>
        <w:spacing w:after="0" w:line="92" w:lineRule="exact"/>
        <w:rPr>
          <w:sz w:val="20"/>
          <w:szCs w:val="20"/>
          <w:color w:val="auto"/>
        </w:rPr>
      </w:pPr>
    </w:p>
    <w:p>
      <w:pPr>
        <w:ind w:left="2480"/>
        <w:spacing w:after="0"/>
        <w:rPr>
          <w:sz w:val="20"/>
          <w:szCs w:val="20"/>
          <w:color w:val="auto"/>
        </w:rPr>
      </w:pPr>
      <w:r>
        <w:rPr>
          <w:rFonts w:ascii="Arial" w:cs="Arial" w:eastAsia="Arial" w:hAnsi="Arial"/>
          <w:sz w:val="17"/>
          <w:szCs w:val="17"/>
          <w:b w:val="1"/>
          <w:bCs w:val="1"/>
          <w:color w:val="auto"/>
        </w:rPr>
        <w:t>NOTES TO UNAUDITED CONSOLIDATED FINANCIAL STATEMENTS—(continued)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September 30, 2016</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00" w:lineRule="exact"/>
        <w:rPr>
          <w:sz w:val="20"/>
          <w:szCs w:val="20"/>
          <w:color w:val="auto"/>
        </w:rPr>
      </w:pPr>
    </w:p>
    <w:p>
      <w:pPr>
        <w:spacing w:after="0" w:line="326" w:lineRule="exact"/>
        <w:rPr>
          <w:sz w:val="20"/>
          <w:szCs w:val="20"/>
          <w:color w:val="auto"/>
        </w:rPr>
      </w:pPr>
    </w:p>
    <w:p>
      <w:pPr>
        <w:jc w:val="both"/>
        <w:ind w:firstLine="379"/>
        <w:spacing w:after="0" w:line="252" w:lineRule="auto"/>
        <w:rPr>
          <w:sz w:val="20"/>
          <w:szCs w:val="20"/>
          <w:color w:val="auto"/>
        </w:rPr>
      </w:pPr>
      <w:r>
        <w:rPr>
          <w:rFonts w:ascii="Arial" w:cs="Arial" w:eastAsia="Arial" w:hAnsi="Arial"/>
          <w:sz w:val="17"/>
          <w:szCs w:val="17"/>
          <w:color w:val="auto"/>
        </w:rPr>
        <w:t>In March 2016, FASB issued ASU No. 2016-05, Derivatives and Hedging: Effect of Derivative Contract Novations on Existing Hedge Accounting Relationships, which clarifies that a change in the counterparty to a derivative instrument that has been designated as a hedging instrument does not, in and of itself, require de-designation of that hedging relationship provided that all other hedge accounting criteria continue to be met. The new guidance is effective for fiscal years beginning after December 15, 2016, including interim periods within those fiscal years. An entity has the option to apply ASU No. 2016-05 on either a prospective basis or a modified retrospective basis. Early adoption is permitted. The adoption of ASU No. 2016-05 will not have any impact on the Company's consolidated financial statements.</w:t>
      </w:r>
    </w:p>
    <w:p>
      <w:pPr>
        <w:spacing w:after="0" w:line="83" w:lineRule="exact"/>
        <w:rPr>
          <w:sz w:val="20"/>
          <w:szCs w:val="20"/>
          <w:color w:val="auto"/>
        </w:rPr>
      </w:pPr>
    </w:p>
    <w:p>
      <w:pPr>
        <w:jc w:val="both"/>
        <w:ind w:firstLine="379"/>
        <w:spacing w:after="0" w:line="254" w:lineRule="auto"/>
        <w:rPr>
          <w:sz w:val="20"/>
          <w:szCs w:val="20"/>
          <w:color w:val="auto"/>
        </w:rPr>
      </w:pPr>
      <w:r>
        <w:rPr>
          <w:rFonts w:ascii="Arial" w:cs="Arial" w:eastAsia="Arial" w:hAnsi="Arial"/>
          <w:sz w:val="17"/>
          <w:szCs w:val="17"/>
          <w:color w:val="auto"/>
        </w:rPr>
        <w:t>In March 2016, the FASB issued ASU No. 2016-08, Revenue from Contracts with Customers (Topic 606): Principal versus Agent Considerations (Reporting Revenue Gross versus Net). ASU No. 2016-08 clarifies the implementation guidance on principal versus agent considerations. The guidance includes indicators to assist an entity in determining whether it controls a specified good or service before it is transferred to the customers. The amendments are effective for all entities for fiscal years, and interim periods within those fiscal years, beginning after December 15, 2018. The Company is currently evaluating the impact that the adoption of this guidance will have on its consolidated financial statements.</w:t>
      </w:r>
    </w:p>
    <w:p>
      <w:pPr>
        <w:spacing w:after="0" w:line="78" w:lineRule="exact"/>
        <w:rPr>
          <w:sz w:val="20"/>
          <w:szCs w:val="20"/>
          <w:color w:val="auto"/>
        </w:rPr>
      </w:pPr>
    </w:p>
    <w:p>
      <w:pPr>
        <w:jc w:val="both"/>
        <w:ind w:firstLine="379"/>
        <w:spacing w:after="0" w:line="252" w:lineRule="auto"/>
        <w:rPr>
          <w:sz w:val="20"/>
          <w:szCs w:val="20"/>
          <w:color w:val="auto"/>
        </w:rPr>
      </w:pPr>
      <w:r>
        <w:rPr>
          <w:rFonts w:ascii="Arial" w:cs="Arial" w:eastAsia="Arial" w:hAnsi="Arial"/>
          <w:sz w:val="17"/>
          <w:szCs w:val="17"/>
          <w:color w:val="auto"/>
        </w:rPr>
        <w:t>In March 2016, the FASB issued ASU No. 2016-09, Compensation – Stock Compensation (Topic 718). ASU No. 2016-09 identifies areas for simplification involving several aspects of accounting for share-based payment transactions, including the income tax consequences, classification of awards as either equity or liabilities, an option to recognize gross stock compensation expense with actual forfeitures recognized as they occur, as well as certain classifications on the statement of cash flows. The amendments are effective for all entities for fiscal years, and interim periods within those fiscal years, beginning after December 15, 2016. Early adoption is permitted but all of the guidance must be adopted in the same period. The Company is currently evaluating the impact that the adoption of this guidance will have on its consolidated financial statements.</w:t>
      </w:r>
    </w:p>
    <w:p>
      <w:pPr>
        <w:spacing w:after="0" w:line="83" w:lineRule="exact"/>
        <w:rPr>
          <w:sz w:val="20"/>
          <w:szCs w:val="20"/>
          <w:color w:val="auto"/>
        </w:rPr>
      </w:pPr>
    </w:p>
    <w:p>
      <w:pPr>
        <w:jc w:val="both"/>
        <w:ind w:firstLine="379"/>
        <w:spacing w:after="0" w:line="271" w:lineRule="auto"/>
        <w:rPr>
          <w:sz w:val="20"/>
          <w:szCs w:val="20"/>
          <w:color w:val="auto"/>
        </w:rPr>
      </w:pPr>
      <w:r>
        <w:rPr>
          <w:rFonts w:ascii="Arial" w:cs="Arial" w:eastAsia="Arial" w:hAnsi="Arial"/>
          <w:sz w:val="16"/>
          <w:szCs w:val="16"/>
          <w:color w:val="auto"/>
        </w:rPr>
        <w:t>In June 2016, FASB issued ASU No. 2016-13, Financial Instruments - Credit Losses, which require a financial asset (or a group of financial assets) measured at amortized cost basis to be presented at the net amount expected to be collected. The allowance for credit losses is a valuation account that is to be deducted from the amortized cost basis of the financial asset(s) to present the net carrying value at the amount expected to be collected on the financial asset. The new guidance is effective for fiscal years beginning after December 15, 2019, including interim periods within those fiscal years. The amendment should be applied through a modified retrospective approach. Early adoption as of the fiscal years beginning after December 15, 2018 is permitted. The adoption of ASU No. 2016-13 is not expected to have a material effect on the Company's consolidated financial statements.</w:t>
      </w:r>
    </w:p>
    <w:p>
      <w:pPr>
        <w:spacing w:after="0" w:line="68" w:lineRule="exact"/>
        <w:rPr>
          <w:sz w:val="20"/>
          <w:szCs w:val="20"/>
          <w:color w:val="auto"/>
        </w:rPr>
      </w:pPr>
    </w:p>
    <w:p>
      <w:pPr>
        <w:jc w:val="both"/>
        <w:ind w:firstLine="379"/>
        <w:spacing w:after="0" w:line="273" w:lineRule="auto"/>
        <w:rPr>
          <w:sz w:val="20"/>
          <w:szCs w:val="20"/>
          <w:color w:val="auto"/>
        </w:rPr>
      </w:pPr>
      <w:r>
        <w:rPr>
          <w:rFonts w:ascii="Arial" w:cs="Arial" w:eastAsia="Arial" w:hAnsi="Arial"/>
          <w:sz w:val="16"/>
          <w:szCs w:val="16"/>
          <w:color w:val="auto"/>
        </w:rPr>
        <w:t>In August 2016, FASB issued ASU No. 2016-15, Classification of Certain Cash Receipts and Cash Payments. The amendments apply to all entities that are required to present a statement of cash flows under Topic 230 . The amendments are an improvement to GAAP because they provide guidance for each of the eight issues, thereby reducing the current and potential future diversity in practice. The amendments are effective for fiscal years beginning after December 31, 2017 and interim periods within those annual periods and should be applied using a retrospective transition method to each period presented. The Company is currently evaluating the impact of adoption of this guidance on its consolidated financial statements, including the implementation approach to be used.</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Earnings Per Share</w:t>
      </w:r>
    </w:p>
    <w:p>
      <w:pPr>
        <w:spacing w:after="0" w:line="213" w:lineRule="exact"/>
        <w:rPr>
          <w:sz w:val="20"/>
          <w:szCs w:val="20"/>
          <w:color w:val="auto"/>
        </w:rPr>
      </w:pPr>
    </w:p>
    <w:p>
      <w:pPr>
        <w:jc w:val="both"/>
        <w:ind w:firstLine="379"/>
        <w:spacing w:after="0" w:line="255" w:lineRule="auto"/>
        <w:rPr>
          <w:sz w:val="20"/>
          <w:szCs w:val="20"/>
          <w:color w:val="auto"/>
        </w:rPr>
      </w:pPr>
      <w:r>
        <w:rPr>
          <w:rFonts w:ascii="Arial" w:cs="Arial" w:eastAsia="Arial" w:hAnsi="Arial"/>
          <w:sz w:val="17"/>
          <w:szCs w:val="17"/>
          <w:color w:val="auto"/>
        </w:rPr>
        <w:t>Basic earnings per share is computed by dividing net income to common stockholders by the weighted average number of common shares outstanding during each period. Diluted earnings per share is computed using the weighted average number of common shares plus the potentially dilutive effect of common stock equivalents issued and outstanding at the reporting date, using the treasury stock method. Stock options, restricted stock and restricted stock units that are anti-dilutive are excluded from the computation of weighted average shares outstanding.</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420"/>
          </w:cols>
          <w:pgMar w:left="240" w:top="123" w:right="239" w:bottom="1440" w:gutter="0" w:footer="0" w:header="0"/>
        </w:sectPr>
      </w:pPr>
    </w:p>
    <w:bookmarkStart w:id="10" w:name="page11"/>
    <w:bookmarkEnd w:id="10"/>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23" w:lineRule="exact"/>
        <w:rPr>
          <w:sz w:val="20"/>
          <w:szCs w:val="20"/>
          <w:color w:val="auto"/>
        </w:rPr>
      </w:pPr>
    </w:p>
    <w:p>
      <w:pPr>
        <w:ind w:left="4480"/>
        <w:spacing w:after="0"/>
        <w:rPr>
          <w:sz w:val="20"/>
          <w:szCs w:val="20"/>
          <w:color w:val="auto"/>
        </w:rPr>
      </w:pPr>
      <w:r>
        <w:rPr>
          <w:rFonts w:ascii="Arial" w:cs="Arial" w:eastAsia="Arial" w:hAnsi="Arial"/>
          <w:sz w:val="17"/>
          <w:szCs w:val="17"/>
          <w:b w:val="1"/>
          <w:bCs w:val="1"/>
          <w:color w:val="auto"/>
        </w:rPr>
        <w:t>EXLSERVICE HOLDINGS, INC.</w:t>
      </w:r>
    </w:p>
    <w:p>
      <w:pPr>
        <w:spacing w:after="0" w:line="92" w:lineRule="exact"/>
        <w:rPr>
          <w:sz w:val="20"/>
          <w:szCs w:val="20"/>
          <w:color w:val="auto"/>
        </w:rPr>
      </w:pPr>
    </w:p>
    <w:p>
      <w:pPr>
        <w:ind w:left="2480"/>
        <w:spacing w:after="0"/>
        <w:rPr>
          <w:sz w:val="20"/>
          <w:szCs w:val="20"/>
          <w:color w:val="auto"/>
        </w:rPr>
      </w:pPr>
      <w:r>
        <w:rPr>
          <w:rFonts w:ascii="Arial" w:cs="Arial" w:eastAsia="Arial" w:hAnsi="Arial"/>
          <w:sz w:val="17"/>
          <w:szCs w:val="17"/>
          <w:b w:val="1"/>
          <w:bCs w:val="1"/>
          <w:color w:val="auto"/>
        </w:rPr>
        <w:t>NOTES TO UNAUDITED CONSOLIDATED FINANCIAL STATEMENTS—(continued)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September 30, 2016</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00" w:lineRule="exact"/>
        <w:rPr>
          <w:sz w:val="20"/>
          <w:szCs w:val="20"/>
          <w:color w:val="auto"/>
        </w:rPr>
      </w:pPr>
    </w:p>
    <w:p>
      <w:pPr>
        <w:spacing w:after="0" w:line="32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sets forth the computation of basic and diluted earnings per share:</w:t>
      </w:r>
    </w:p>
    <w:p>
      <w:pPr>
        <w:spacing w:after="0" w:line="256" w:lineRule="exact"/>
        <w:rPr>
          <w:sz w:val="20"/>
          <w:szCs w:val="20"/>
          <w:color w:val="auto"/>
        </w:rPr>
      </w:pPr>
    </w:p>
    <w:tbl>
      <w:tblPr>
        <w:tblLayout w:type="fixed"/>
        <w:tblInd w:w="280" w:type="dxa"/>
        <w:tblCellMar>
          <w:top w:w="0" w:type="dxa"/>
          <w:left w:w="0" w:type="dxa"/>
          <w:bottom w:w="0" w:type="dxa"/>
          <w:right w:w="0" w:type="dxa"/>
        </w:tblCellMar>
      </w:tblPr>
      <w:tr>
        <w:trPr>
          <w:trHeight w:val="218"/>
        </w:trPr>
        <w:tc>
          <w:tcPr>
            <w:tcW w:w="3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0" w:type="dxa"/>
            <w:vAlign w:val="bottom"/>
            <w:gridSpan w:val="5"/>
          </w:tcPr>
          <w:p>
            <w:pPr>
              <w:ind w:left="220"/>
              <w:spacing w:after="0"/>
              <w:rPr>
                <w:sz w:val="20"/>
                <w:szCs w:val="20"/>
                <w:color w:val="auto"/>
              </w:rPr>
            </w:pPr>
            <w:r>
              <w:rPr>
                <w:rFonts w:ascii="Arial" w:cs="Arial" w:eastAsia="Arial" w:hAnsi="Arial"/>
                <w:sz w:val="17"/>
                <w:szCs w:val="17"/>
                <w:b w:val="1"/>
                <w:bCs w:val="1"/>
                <w:color w:val="auto"/>
              </w:rPr>
              <w:t>Three months ended September 30,</w:t>
            </w:r>
          </w:p>
        </w:tc>
        <w:tc>
          <w:tcPr>
            <w:tcW w:w="360" w:type="dxa"/>
            <w:vAlign w:val="bottom"/>
          </w:tcPr>
          <w:p>
            <w:pPr>
              <w:spacing w:after="0"/>
              <w:rPr>
                <w:sz w:val="18"/>
                <w:szCs w:val="18"/>
                <w:color w:val="auto"/>
              </w:rPr>
            </w:pPr>
          </w:p>
        </w:tc>
        <w:tc>
          <w:tcPr>
            <w:tcW w:w="3300" w:type="dxa"/>
            <w:vAlign w:val="bottom"/>
            <w:gridSpan w:val="4"/>
          </w:tcPr>
          <w:p>
            <w:pPr>
              <w:jc w:val="right"/>
              <w:ind w:right="516"/>
              <w:spacing w:after="0"/>
              <w:rPr>
                <w:sz w:val="20"/>
                <w:szCs w:val="20"/>
                <w:color w:val="auto"/>
              </w:rPr>
            </w:pPr>
            <w:r>
              <w:rPr>
                <w:rFonts w:ascii="Arial" w:cs="Arial" w:eastAsia="Arial" w:hAnsi="Arial"/>
                <w:sz w:val="17"/>
                <w:szCs w:val="17"/>
                <w:b w:val="1"/>
                <w:bCs w:val="1"/>
                <w:color w:val="auto"/>
                <w:w w:val="96"/>
              </w:rPr>
              <w:t>Nine months ended September 30,</w:t>
            </w:r>
          </w:p>
        </w:tc>
        <w:tc>
          <w:tcPr>
            <w:tcW w:w="0" w:type="dxa"/>
            <w:vAlign w:val="bottom"/>
          </w:tcPr>
          <w:p>
            <w:pPr>
              <w:spacing w:after="0"/>
              <w:rPr>
                <w:sz w:val="1"/>
                <w:szCs w:val="1"/>
                <w:color w:val="auto"/>
              </w:rPr>
            </w:pPr>
          </w:p>
        </w:tc>
      </w:tr>
      <w:tr>
        <w:trPr>
          <w:trHeight w:val="26"/>
        </w:trPr>
        <w:tc>
          <w:tcPr>
            <w:tcW w:w="34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34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7"/>
                <w:szCs w:val="17"/>
                <w:b w:val="1"/>
                <w:bCs w:val="1"/>
                <w:color w:val="auto"/>
              </w:rPr>
              <w:t>2016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76"/>
              <w:spacing w:after="0"/>
              <w:rPr>
                <w:sz w:val="20"/>
                <w:szCs w:val="20"/>
                <w:color w:val="auto"/>
              </w:rPr>
            </w:pPr>
            <w:r>
              <w:rPr>
                <w:rFonts w:ascii="Arial" w:cs="Arial" w:eastAsia="Arial" w:hAnsi="Arial"/>
                <w:sz w:val="17"/>
                <w:szCs w:val="17"/>
                <w:b w:val="1"/>
                <w:bCs w:val="1"/>
                <w:color w:val="auto"/>
              </w:rPr>
              <w:t>2015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76"/>
              <w:spacing w:after="0"/>
              <w:rPr>
                <w:sz w:val="20"/>
                <w:szCs w:val="20"/>
                <w:color w:val="auto"/>
              </w:rPr>
            </w:pPr>
            <w:r>
              <w:rPr>
                <w:rFonts w:ascii="Arial" w:cs="Arial" w:eastAsia="Arial" w:hAnsi="Arial"/>
                <w:sz w:val="17"/>
                <w:szCs w:val="17"/>
                <w:b w:val="1"/>
                <w:bCs w:val="1"/>
                <w:color w:val="auto"/>
              </w:rPr>
              <w:t>2016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7"/>
                <w:szCs w:val="17"/>
                <w:b w:val="1"/>
                <w:bCs w:val="1"/>
                <w:color w:val="auto"/>
              </w:rPr>
              <w:t>2015</w:t>
            </w:r>
          </w:p>
        </w:tc>
        <w:tc>
          <w:tcPr>
            <w:tcW w:w="0" w:type="dxa"/>
            <w:vAlign w:val="bottom"/>
          </w:tcPr>
          <w:p>
            <w:pPr>
              <w:spacing w:after="0"/>
              <w:rPr>
                <w:sz w:val="1"/>
                <w:szCs w:val="1"/>
                <w:color w:val="auto"/>
              </w:rPr>
            </w:pPr>
          </w:p>
        </w:tc>
      </w:tr>
      <w:tr>
        <w:trPr>
          <w:trHeight w:val="220"/>
        </w:trPr>
        <w:tc>
          <w:tcPr>
            <w:tcW w:w="3480" w:type="dxa"/>
            <w:vAlign w:val="bottom"/>
          </w:tcPr>
          <w:p>
            <w:pPr>
              <w:ind w:left="20"/>
              <w:spacing w:after="0"/>
              <w:rPr>
                <w:sz w:val="20"/>
                <w:szCs w:val="20"/>
                <w:color w:val="auto"/>
              </w:rPr>
            </w:pPr>
            <w:r>
              <w:rPr>
                <w:rFonts w:ascii="Arial" w:cs="Arial" w:eastAsia="Arial" w:hAnsi="Arial"/>
                <w:sz w:val="17"/>
                <w:szCs w:val="17"/>
                <w:color w:val="auto"/>
              </w:rPr>
              <w:t>Numerators:</w:t>
            </w:r>
          </w:p>
        </w:tc>
        <w:tc>
          <w:tcPr>
            <w:tcW w:w="34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3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34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7"/>
                <w:szCs w:val="17"/>
                <w:color w:val="auto"/>
              </w:rPr>
              <w:t>$</w:t>
            </w:r>
          </w:p>
        </w:tc>
        <w:tc>
          <w:tcPr>
            <w:tcW w:w="15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16,050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15,162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46,245</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56"/>
              <w:spacing w:after="0"/>
              <w:rPr>
                <w:sz w:val="20"/>
                <w:szCs w:val="20"/>
                <w:color w:val="auto"/>
              </w:rPr>
            </w:pPr>
            <w:r>
              <w:rPr>
                <w:rFonts w:ascii="Arial" w:cs="Arial" w:eastAsia="Arial" w:hAnsi="Arial"/>
                <w:sz w:val="17"/>
                <w:szCs w:val="17"/>
                <w:color w:val="auto"/>
                <w:w w:val="84"/>
              </w:rPr>
              <w:t>$</w:t>
            </w:r>
          </w:p>
        </w:tc>
        <w:tc>
          <w:tcPr>
            <w:tcW w:w="1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36,803</w:t>
            </w:r>
          </w:p>
        </w:tc>
        <w:tc>
          <w:tcPr>
            <w:tcW w:w="0" w:type="dxa"/>
            <w:vAlign w:val="bottom"/>
          </w:tcPr>
          <w:p>
            <w:pPr>
              <w:spacing w:after="0"/>
              <w:rPr>
                <w:sz w:val="1"/>
                <w:szCs w:val="1"/>
                <w:color w:val="auto"/>
              </w:rPr>
            </w:pPr>
          </w:p>
        </w:tc>
      </w:tr>
      <w:tr>
        <w:trPr>
          <w:trHeight w:val="227"/>
        </w:trPr>
        <w:tc>
          <w:tcPr>
            <w:tcW w:w="3480" w:type="dxa"/>
            <w:vAlign w:val="bottom"/>
          </w:tcPr>
          <w:p>
            <w:pPr>
              <w:ind w:left="20"/>
              <w:spacing w:after="0"/>
              <w:rPr>
                <w:sz w:val="20"/>
                <w:szCs w:val="20"/>
                <w:color w:val="auto"/>
              </w:rPr>
            </w:pPr>
            <w:r>
              <w:rPr>
                <w:rFonts w:ascii="Arial" w:cs="Arial" w:eastAsia="Arial" w:hAnsi="Arial"/>
                <w:sz w:val="17"/>
                <w:szCs w:val="17"/>
                <w:color w:val="auto"/>
              </w:rPr>
              <w:t>Denominators:</w:t>
            </w:r>
          </w:p>
        </w:tc>
        <w:tc>
          <w:tcPr>
            <w:tcW w:w="3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3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3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Basic weighted average common shares</w:t>
            </w:r>
          </w:p>
        </w:tc>
        <w:tc>
          <w:tcPr>
            <w:tcW w:w="3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outstanding</w:t>
            </w:r>
          </w:p>
        </w:tc>
        <w:tc>
          <w:tcPr>
            <w:tcW w:w="34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33,624,401</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33,307,312</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33,542,258</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33,320,477</w:t>
            </w:r>
          </w:p>
        </w:tc>
        <w:tc>
          <w:tcPr>
            <w:tcW w:w="0" w:type="dxa"/>
            <w:vAlign w:val="bottom"/>
          </w:tcPr>
          <w:p>
            <w:pPr>
              <w:spacing w:after="0"/>
              <w:rPr>
                <w:sz w:val="1"/>
                <w:szCs w:val="1"/>
                <w:color w:val="auto"/>
              </w:rPr>
            </w:pPr>
          </w:p>
        </w:tc>
      </w:tr>
      <w:tr>
        <w:trPr>
          <w:trHeight w:val="227"/>
        </w:trPr>
        <w:tc>
          <w:tcPr>
            <w:tcW w:w="3480" w:type="dxa"/>
            <w:vAlign w:val="bottom"/>
          </w:tcPr>
          <w:p>
            <w:pPr>
              <w:ind w:left="20"/>
              <w:spacing w:after="0"/>
              <w:rPr>
                <w:sz w:val="20"/>
                <w:szCs w:val="20"/>
                <w:color w:val="auto"/>
              </w:rPr>
            </w:pPr>
            <w:r>
              <w:rPr>
                <w:rFonts w:ascii="Arial" w:cs="Arial" w:eastAsia="Arial" w:hAnsi="Arial"/>
                <w:sz w:val="17"/>
                <w:szCs w:val="17"/>
                <w:color w:val="auto"/>
              </w:rPr>
              <w:t>Dilutive effect of share based awards</w:t>
            </w:r>
          </w:p>
        </w:tc>
        <w:tc>
          <w:tcPr>
            <w:tcW w:w="340" w:type="dxa"/>
            <w:vAlign w:val="bottom"/>
          </w:tcPr>
          <w:p>
            <w:pPr>
              <w:spacing w:after="0"/>
              <w:rPr>
                <w:sz w:val="19"/>
                <w:szCs w:val="19"/>
                <w:color w:val="auto"/>
              </w:rPr>
            </w:pPr>
          </w:p>
        </w:tc>
        <w:tc>
          <w:tcPr>
            <w:tcW w:w="1560" w:type="dxa"/>
            <w:vAlign w:val="bottom"/>
          </w:tcPr>
          <w:p>
            <w:pPr>
              <w:jc w:val="right"/>
              <w:ind w:right="36"/>
              <w:spacing w:after="0"/>
              <w:rPr>
                <w:sz w:val="20"/>
                <w:szCs w:val="20"/>
                <w:color w:val="auto"/>
              </w:rPr>
            </w:pPr>
            <w:r>
              <w:rPr>
                <w:rFonts w:ascii="Arial" w:cs="Arial" w:eastAsia="Arial" w:hAnsi="Arial"/>
                <w:sz w:val="17"/>
                <w:szCs w:val="17"/>
                <w:color w:val="auto"/>
              </w:rPr>
              <w:t>1,051,084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36"/>
              <w:spacing w:after="0"/>
              <w:rPr>
                <w:sz w:val="20"/>
                <w:szCs w:val="20"/>
                <w:color w:val="auto"/>
              </w:rPr>
            </w:pPr>
            <w:r>
              <w:rPr>
                <w:rFonts w:ascii="Arial" w:cs="Arial" w:eastAsia="Arial" w:hAnsi="Arial"/>
                <w:sz w:val="17"/>
                <w:szCs w:val="17"/>
                <w:color w:val="auto"/>
              </w:rPr>
              <w:t>873,323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ind w:right="36"/>
              <w:spacing w:after="0"/>
              <w:rPr>
                <w:sz w:val="20"/>
                <w:szCs w:val="20"/>
                <w:color w:val="auto"/>
              </w:rPr>
            </w:pPr>
            <w:r>
              <w:rPr>
                <w:rFonts w:ascii="Arial" w:cs="Arial" w:eastAsia="Arial" w:hAnsi="Arial"/>
                <w:sz w:val="17"/>
                <w:szCs w:val="17"/>
                <w:color w:val="auto"/>
              </w:rPr>
              <w:t>970,557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tcPr>
          <w:p>
            <w:pPr>
              <w:jc w:val="right"/>
              <w:ind w:right="16"/>
              <w:spacing w:after="0"/>
              <w:rPr>
                <w:sz w:val="20"/>
                <w:szCs w:val="20"/>
                <w:color w:val="auto"/>
              </w:rPr>
            </w:pPr>
            <w:r>
              <w:rPr>
                <w:rFonts w:ascii="Arial" w:cs="Arial" w:eastAsia="Arial" w:hAnsi="Arial"/>
                <w:sz w:val="17"/>
                <w:szCs w:val="17"/>
                <w:color w:val="auto"/>
              </w:rPr>
              <w:t>826,643</w:t>
            </w:r>
          </w:p>
        </w:tc>
        <w:tc>
          <w:tcPr>
            <w:tcW w:w="0" w:type="dxa"/>
            <w:vAlign w:val="bottom"/>
          </w:tcPr>
          <w:p>
            <w:pPr>
              <w:spacing w:after="0"/>
              <w:rPr>
                <w:sz w:val="1"/>
                <w:szCs w:val="1"/>
                <w:color w:val="auto"/>
              </w:rPr>
            </w:pPr>
          </w:p>
        </w:tc>
      </w:tr>
      <w:tr>
        <w:trPr>
          <w:trHeight w:val="26"/>
        </w:trPr>
        <w:tc>
          <w:tcPr>
            <w:tcW w:w="34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3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Diluted weighted average common shares</w:t>
            </w:r>
          </w:p>
        </w:tc>
        <w:tc>
          <w:tcPr>
            <w:tcW w:w="340" w:type="dxa"/>
            <w:vAlign w:val="bottom"/>
            <w:shd w:val="clear" w:color="auto" w:fill="CCEEFF"/>
          </w:tcPr>
          <w:p>
            <w:pPr>
              <w:spacing w:after="0"/>
              <w:rPr>
                <w:sz w:val="16"/>
                <w:szCs w:val="16"/>
                <w:color w:val="auto"/>
              </w:rPr>
            </w:pPr>
          </w:p>
        </w:tc>
        <w:tc>
          <w:tcPr>
            <w:tcW w:w="1560" w:type="dxa"/>
            <w:vAlign w:val="bottom"/>
            <w:vMerge w:val="restart"/>
            <w:shd w:val="clear" w:color="auto" w:fill="CCEEFF"/>
          </w:tcPr>
          <w:p>
            <w:pPr>
              <w:jc w:val="right"/>
              <w:ind w:right="36"/>
              <w:spacing w:after="0"/>
              <w:rPr>
                <w:sz w:val="20"/>
                <w:szCs w:val="20"/>
                <w:color w:val="auto"/>
              </w:rPr>
            </w:pPr>
            <w:r>
              <w:rPr>
                <w:rFonts w:ascii="Arial" w:cs="Arial" w:eastAsia="Arial" w:hAnsi="Arial"/>
                <w:sz w:val="17"/>
                <w:szCs w:val="17"/>
                <w:color w:val="auto"/>
              </w:rPr>
              <w:t>34,675,485</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vMerge w:val="restart"/>
            <w:shd w:val="clear" w:color="auto" w:fill="CCEEFF"/>
          </w:tcPr>
          <w:p>
            <w:pPr>
              <w:jc w:val="right"/>
              <w:ind w:right="36"/>
              <w:spacing w:after="0"/>
              <w:rPr>
                <w:sz w:val="20"/>
                <w:szCs w:val="20"/>
                <w:color w:val="auto"/>
              </w:rPr>
            </w:pPr>
            <w:r>
              <w:rPr>
                <w:rFonts w:ascii="Arial" w:cs="Arial" w:eastAsia="Arial" w:hAnsi="Arial"/>
                <w:sz w:val="17"/>
                <w:szCs w:val="17"/>
                <w:color w:val="auto"/>
              </w:rPr>
              <w:t>34,180,635</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60" w:type="dxa"/>
            <w:vAlign w:val="bottom"/>
            <w:vMerge w:val="restart"/>
            <w:shd w:val="clear" w:color="auto" w:fill="CCEEFF"/>
          </w:tcPr>
          <w:p>
            <w:pPr>
              <w:jc w:val="right"/>
              <w:ind w:right="36"/>
              <w:spacing w:after="0"/>
              <w:rPr>
                <w:sz w:val="20"/>
                <w:szCs w:val="20"/>
                <w:color w:val="auto"/>
              </w:rPr>
            </w:pPr>
            <w:r>
              <w:rPr>
                <w:rFonts w:ascii="Arial" w:cs="Arial" w:eastAsia="Arial" w:hAnsi="Arial"/>
                <w:sz w:val="17"/>
                <w:szCs w:val="17"/>
                <w:color w:val="auto"/>
              </w:rPr>
              <w:t>34,512,815</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500" w:type="dxa"/>
            <w:vAlign w:val="bottom"/>
            <w:vMerge w:val="restart"/>
            <w:shd w:val="clear" w:color="auto" w:fill="CCEEFF"/>
          </w:tcPr>
          <w:p>
            <w:pPr>
              <w:jc w:val="right"/>
              <w:ind w:right="16"/>
              <w:spacing w:after="0"/>
              <w:rPr>
                <w:sz w:val="20"/>
                <w:szCs w:val="20"/>
                <w:color w:val="auto"/>
              </w:rPr>
            </w:pPr>
            <w:r>
              <w:rPr>
                <w:rFonts w:ascii="Arial" w:cs="Arial" w:eastAsia="Arial" w:hAnsi="Arial"/>
                <w:sz w:val="17"/>
                <w:szCs w:val="17"/>
                <w:color w:val="auto"/>
              </w:rPr>
              <w:t>34,147,120</w:t>
            </w:r>
          </w:p>
        </w:tc>
        <w:tc>
          <w:tcPr>
            <w:tcW w:w="0" w:type="dxa"/>
            <w:vAlign w:val="bottom"/>
          </w:tcPr>
          <w:p>
            <w:pPr>
              <w:spacing w:after="0"/>
              <w:rPr>
                <w:sz w:val="1"/>
                <w:szCs w:val="1"/>
                <w:color w:val="auto"/>
              </w:rPr>
            </w:pPr>
          </w:p>
        </w:tc>
      </w:tr>
      <w:tr>
        <w:trPr>
          <w:trHeight w:val="221"/>
        </w:trPr>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outstanding</w:t>
            </w:r>
          </w:p>
        </w:tc>
        <w:tc>
          <w:tcPr>
            <w:tcW w:w="3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80" w:type="dxa"/>
            <w:vAlign w:val="bottom"/>
            <w:vMerge w:val="restart"/>
          </w:tcPr>
          <w:p>
            <w:pPr>
              <w:ind w:left="20"/>
              <w:spacing w:after="0"/>
              <w:rPr>
                <w:sz w:val="20"/>
                <w:szCs w:val="20"/>
                <w:color w:val="auto"/>
              </w:rPr>
            </w:pPr>
            <w:r>
              <w:rPr>
                <w:rFonts w:ascii="Arial" w:cs="Arial" w:eastAsia="Arial" w:hAnsi="Arial"/>
                <w:sz w:val="17"/>
                <w:szCs w:val="17"/>
                <w:color w:val="auto"/>
              </w:rPr>
              <w:t>Earnings per share:</w:t>
            </w:r>
          </w:p>
        </w:tc>
        <w:tc>
          <w:tcPr>
            <w:tcW w:w="3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48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3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Basic</w:t>
            </w:r>
          </w:p>
        </w:tc>
        <w:tc>
          <w:tcPr>
            <w:tcW w:w="34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7"/>
                <w:szCs w:val="17"/>
                <w:color w:val="auto"/>
              </w:rPr>
              <w:t>$</w:t>
            </w:r>
          </w:p>
        </w:tc>
        <w:tc>
          <w:tcPr>
            <w:tcW w:w="15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0.48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0.46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1.38</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56"/>
              <w:spacing w:after="0"/>
              <w:rPr>
                <w:sz w:val="20"/>
                <w:szCs w:val="20"/>
                <w:color w:val="auto"/>
              </w:rPr>
            </w:pPr>
            <w:r>
              <w:rPr>
                <w:rFonts w:ascii="Arial" w:cs="Arial" w:eastAsia="Arial" w:hAnsi="Arial"/>
                <w:sz w:val="17"/>
                <w:szCs w:val="17"/>
                <w:color w:val="auto"/>
                <w:w w:val="84"/>
              </w:rPr>
              <w:t>$</w:t>
            </w:r>
          </w:p>
        </w:tc>
        <w:tc>
          <w:tcPr>
            <w:tcW w:w="1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1.10</w:t>
            </w:r>
          </w:p>
        </w:tc>
        <w:tc>
          <w:tcPr>
            <w:tcW w:w="0" w:type="dxa"/>
            <w:vAlign w:val="bottom"/>
          </w:tcPr>
          <w:p>
            <w:pPr>
              <w:spacing w:after="0"/>
              <w:rPr>
                <w:sz w:val="1"/>
                <w:szCs w:val="1"/>
                <w:color w:val="auto"/>
              </w:rPr>
            </w:pPr>
          </w:p>
        </w:tc>
      </w:tr>
      <w:tr>
        <w:trPr>
          <w:trHeight w:val="227"/>
        </w:trPr>
        <w:tc>
          <w:tcPr>
            <w:tcW w:w="3480" w:type="dxa"/>
            <w:vAlign w:val="bottom"/>
          </w:tcPr>
          <w:p>
            <w:pPr>
              <w:ind w:left="20"/>
              <w:spacing w:after="0"/>
              <w:rPr>
                <w:sz w:val="20"/>
                <w:szCs w:val="20"/>
                <w:color w:val="auto"/>
              </w:rPr>
            </w:pPr>
            <w:r>
              <w:rPr>
                <w:rFonts w:ascii="Arial" w:cs="Arial" w:eastAsia="Arial" w:hAnsi="Arial"/>
                <w:sz w:val="17"/>
                <w:szCs w:val="17"/>
                <w:color w:val="auto"/>
              </w:rPr>
              <w:t>Diluted</w:t>
            </w:r>
          </w:p>
        </w:tc>
        <w:tc>
          <w:tcPr>
            <w:tcW w:w="340" w:type="dxa"/>
            <w:vAlign w:val="bottom"/>
          </w:tcPr>
          <w:p>
            <w:pPr>
              <w:jc w:val="right"/>
              <w:ind w:right="136"/>
              <w:spacing w:after="0"/>
              <w:rPr>
                <w:sz w:val="20"/>
                <w:szCs w:val="20"/>
                <w:color w:val="auto"/>
              </w:rPr>
            </w:pPr>
            <w:r>
              <w:rPr>
                <w:rFonts w:ascii="Arial" w:cs="Arial" w:eastAsia="Arial" w:hAnsi="Arial"/>
                <w:sz w:val="17"/>
                <w:szCs w:val="17"/>
                <w:color w:val="auto"/>
              </w:rPr>
              <w:t>$</w:t>
            </w:r>
          </w:p>
        </w:tc>
        <w:tc>
          <w:tcPr>
            <w:tcW w:w="1560" w:type="dxa"/>
            <w:vAlign w:val="bottom"/>
          </w:tcPr>
          <w:p>
            <w:pPr>
              <w:jc w:val="right"/>
              <w:ind w:right="36"/>
              <w:spacing w:after="0"/>
              <w:rPr>
                <w:sz w:val="20"/>
                <w:szCs w:val="20"/>
                <w:color w:val="auto"/>
              </w:rPr>
            </w:pPr>
            <w:r>
              <w:rPr>
                <w:rFonts w:ascii="Arial" w:cs="Arial" w:eastAsia="Arial" w:hAnsi="Arial"/>
                <w:sz w:val="17"/>
                <w:szCs w:val="17"/>
                <w:color w:val="auto"/>
              </w:rPr>
              <w:t>0.46</w:t>
            </w:r>
          </w:p>
        </w:tc>
        <w:tc>
          <w:tcPr>
            <w:tcW w:w="100" w:type="dxa"/>
            <w:vAlign w:val="bottom"/>
          </w:tcPr>
          <w:p>
            <w:pPr>
              <w:spacing w:after="0"/>
              <w:rPr>
                <w:sz w:val="19"/>
                <w:szCs w:val="19"/>
                <w:color w:val="auto"/>
              </w:rPr>
            </w:pPr>
          </w:p>
        </w:tc>
        <w:tc>
          <w:tcPr>
            <w:tcW w:w="380" w:type="dxa"/>
            <w:vAlign w:val="bottom"/>
          </w:tcPr>
          <w:p>
            <w:pPr>
              <w:jc w:val="right"/>
              <w:ind w:right="196"/>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ind w:right="36"/>
              <w:spacing w:after="0"/>
              <w:rPr>
                <w:sz w:val="20"/>
                <w:szCs w:val="20"/>
                <w:color w:val="auto"/>
              </w:rPr>
            </w:pPr>
            <w:r>
              <w:rPr>
                <w:rFonts w:ascii="Arial" w:cs="Arial" w:eastAsia="Arial" w:hAnsi="Arial"/>
                <w:sz w:val="17"/>
                <w:szCs w:val="17"/>
                <w:color w:val="auto"/>
              </w:rPr>
              <w:t>0.44</w:t>
            </w:r>
          </w:p>
        </w:tc>
        <w:tc>
          <w:tcPr>
            <w:tcW w:w="100" w:type="dxa"/>
            <w:vAlign w:val="bottom"/>
          </w:tcPr>
          <w:p>
            <w:pPr>
              <w:spacing w:after="0"/>
              <w:rPr>
                <w:sz w:val="19"/>
                <w:szCs w:val="19"/>
                <w:color w:val="auto"/>
              </w:rPr>
            </w:pPr>
          </w:p>
        </w:tc>
        <w:tc>
          <w:tcPr>
            <w:tcW w:w="360" w:type="dxa"/>
            <w:vAlign w:val="bottom"/>
          </w:tcPr>
          <w:p>
            <w:pPr>
              <w:jc w:val="right"/>
              <w:ind w:right="176"/>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ind w:right="36"/>
              <w:spacing w:after="0"/>
              <w:rPr>
                <w:sz w:val="20"/>
                <w:szCs w:val="20"/>
                <w:color w:val="auto"/>
              </w:rPr>
            </w:pPr>
            <w:r>
              <w:rPr>
                <w:rFonts w:ascii="Arial" w:cs="Arial" w:eastAsia="Arial" w:hAnsi="Arial"/>
                <w:sz w:val="17"/>
                <w:szCs w:val="17"/>
                <w:color w:val="auto"/>
              </w:rPr>
              <w:t>1.34</w:t>
            </w:r>
          </w:p>
        </w:tc>
        <w:tc>
          <w:tcPr>
            <w:tcW w:w="100" w:type="dxa"/>
            <w:vAlign w:val="bottom"/>
          </w:tcPr>
          <w:p>
            <w:pPr>
              <w:spacing w:after="0"/>
              <w:rPr>
                <w:sz w:val="19"/>
                <w:szCs w:val="19"/>
                <w:color w:val="auto"/>
              </w:rPr>
            </w:pPr>
          </w:p>
        </w:tc>
        <w:tc>
          <w:tcPr>
            <w:tcW w:w="440" w:type="dxa"/>
            <w:vAlign w:val="bottom"/>
          </w:tcPr>
          <w:p>
            <w:pPr>
              <w:jc w:val="right"/>
              <w:ind w:right="256"/>
              <w:spacing w:after="0"/>
              <w:rPr>
                <w:sz w:val="20"/>
                <w:szCs w:val="20"/>
                <w:color w:val="auto"/>
              </w:rPr>
            </w:pPr>
            <w:r>
              <w:rPr>
                <w:rFonts w:ascii="Arial" w:cs="Arial" w:eastAsia="Arial" w:hAnsi="Arial"/>
                <w:sz w:val="17"/>
                <w:szCs w:val="17"/>
                <w:color w:val="auto"/>
                <w:w w:val="84"/>
              </w:rPr>
              <w:t>$</w:t>
            </w:r>
          </w:p>
        </w:tc>
        <w:tc>
          <w:tcPr>
            <w:tcW w:w="1500" w:type="dxa"/>
            <w:vAlign w:val="bottom"/>
          </w:tcPr>
          <w:p>
            <w:pPr>
              <w:jc w:val="right"/>
              <w:ind w:right="16"/>
              <w:spacing w:after="0"/>
              <w:rPr>
                <w:sz w:val="20"/>
                <w:szCs w:val="20"/>
                <w:color w:val="auto"/>
              </w:rPr>
            </w:pPr>
            <w:r>
              <w:rPr>
                <w:rFonts w:ascii="Arial" w:cs="Arial" w:eastAsia="Arial" w:hAnsi="Arial"/>
                <w:sz w:val="17"/>
                <w:szCs w:val="17"/>
                <w:color w:val="auto"/>
              </w:rPr>
              <w:t>1.08</w:t>
            </w:r>
          </w:p>
        </w:tc>
        <w:tc>
          <w:tcPr>
            <w:tcW w:w="0" w:type="dxa"/>
            <w:vAlign w:val="bottom"/>
          </w:tcPr>
          <w:p>
            <w:pPr>
              <w:spacing w:after="0"/>
              <w:rPr>
                <w:sz w:val="1"/>
                <w:szCs w:val="1"/>
                <w:color w:val="auto"/>
              </w:rPr>
            </w:pPr>
          </w:p>
        </w:tc>
      </w:tr>
      <w:tr>
        <w:trPr>
          <w:trHeight w:val="26"/>
        </w:trPr>
        <w:tc>
          <w:tcPr>
            <w:tcW w:w="3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3480" w:type="dxa"/>
            <w:vAlign w:val="bottom"/>
            <w:shd w:val="clear" w:color="auto" w:fill="CCEEFF"/>
          </w:tcPr>
          <w:p>
            <w:pPr>
              <w:ind w:left="20"/>
              <w:spacing w:after="0"/>
              <w:rPr>
                <w:sz w:val="20"/>
                <w:szCs w:val="20"/>
                <w:color w:val="auto"/>
              </w:rPr>
            </w:pPr>
            <w:r>
              <w:rPr>
                <w:rFonts w:ascii="Arial" w:cs="Arial" w:eastAsia="Arial" w:hAnsi="Arial"/>
                <w:sz w:val="17"/>
                <w:szCs w:val="17"/>
                <w:color w:val="auto"/>
                <w:w w:val="88"/>
              </w:rPr>
              <w:t>Weighted average common shares considered anti-</w:t>
            </w:r>
          </w:p>
        </w:tc>
        <w:tc>
          <w:tcPr>
            <w:tcW w:w="3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480" w:type="dxa"/>
            <w:vAlign w:val="bottom"/>
            <w:shd w:val="clear" w:color="auto" w:fill="CCEEFF"/>
          </w:tcPr>
          <w:p>
            <w:pPr>
              <w:ind w:left="20"/>
              <w:spacing w:after="0"/>
              <w:rPr>
                <w:sz w:val="20"/>
                <w:szCs w:val="20"/>
                <w:color w:val="auto"/>
              </w:rPr>
            </w:pPr>
            <w:r>
              <w:rPr>
                <w:rFonts w:ascii="Arial" w:cs="Arial" w:eastAsia="Arial" w:hAnsi="Arial"/>
                <w:sz w:val="17"/>
                <w:szCs w:val="17"/>
                <w:color w:val="auto"/>
                <w:w w:val="96"/>
              </w:rPr>
              <w:t>dilutive in computing diluted earnings per share</w:t>
            </w:r>
          </w:p>
        </w:tc>
        <w:tc>
          <w:tcPr>
            <w:tcW w:w="34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32,516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61,738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97,574</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98,527</w:t>
            </w:r>
          </w:p>
        </w:tc>
        <w:tc>
          <w:tcPr>
            <w:tcW w:w="0" w:type="dxa"/>
            <w:vAlign w:val="bottom"/>
          </w:tcPr>
          <w:p>
            <w:pPr>
              <w:spacing w:after="0"/>
              <w:rPr>
                <w:sz w:val="1"/>
                <w:szCs w:val="1"/>
                <w:color w:val="auto"/>
              </w:rPr>
            </w:pPr>
          </w:p>
        </w:tc>
      </w:tr>
      <w:tr>
        <w:trPr>
          <w:trHeight w:val="26"/>
        </w:trPr>
        <w:tc>
          <w:tcPr>
            <w:tcW w:w="34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Segment Information</w:t>
      </w:r>
    </w:p>
    <w:p>
      <w:pPr>
        <w:spacing w:after="0" w:line="112" w:lineRule="exact"/>
        <w:rPr>
          <w:sz w:val="20"/>
          <w:szCs w:val="20"/>
          <w:color w:val="auto"/>
        </w:rPr>
      </w:pPr>
    </w:p>
    <w:p>
      <w:pPr>
        <w:jc w:val="both"/>
        <w:ind w:firstLine="379"/>
        <w:spacing w:after="0" w:line="273" w:lineRule="auto"/>
        <w:rPr>
          <w:sz w:val="20"/>
          <w:szCs w:val="20"/>
          <w:color w:val="auto"/>
        </w:rPr>
      </w:pPr>
      <w:r>
        <w:rPr>
          <w:rFonts w:ascii="Arial" w:cs="Arial" w:eastAsia="Arial" w:hAnsi="Arial"/>
          <w:sz w:val="16"/>
          <w:szCs w:val="16"/>
          <w:color w:val="auto"/>
        </w:rPr>
        <w:t>The Company's operating segments are significant strategic business units that align its products and services with how it manages its business, approaches key markets and interacts with its clients. Effective for the quarter and year ended December 31, 2015, the Company merged two of its operating segments (Operations Consulting and Finance Transformation, previously part of the Analytics and Business Transformation reportable segment) into the Consulting operating segment to reflect recent organizational changes. The Company has also revised its reportable segments to reflect management’s focus on the Analytics operating segment. All the other operating segments have been aggregated into the Operations Management reportable segment.</w:t>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Our current reportable segments are as follows:</w:t>
      </w:r>
    </w:p>
    <w:p>
      <w:pPr>
        <w:spacing w:after="0" w:line="19" w:lineRule="exact"/>
        <w:rPr>
          <w:sz w:val="20"/>
          <w:szCs w:val="20"/>
          <w:color w:val="auto"/>
        </w:rPr>
      </w:pPr>
    </w:p>
    <w:p>
      <w:pPr>
        <w:ind w:left="600" w:hanging="296"/>
        <w:spacing w:after="0"/>
        <w:tabs>
          <w:tab w:leader="none" w:pos="600" w:val="left"/>
        </w:tabs>
        <w:numPr>
          <w:ilvl w:val="0"/>
          <w:numId w:val="8"/>
        </w:numPr>
        <w:rPr>
          <w:rFonts w:ascii="Arial" w:cs="Arial" w:eastAsia="Arial" w:hAnsi="Arial"/>
          <w:sz w:val="17"/>
          <w:szCs w:val="17"/>
          <w:color w:val="auto"/>
        </w:rPr>
      </w:pPr>
      <w:r>
        <w:rPr>
          <w:rFonts w:ascii="Arial" w:cs="Arial" w:eastAsia="Arial" w:hAnsi="Arial"/>
          <w:sz w:val="17"/>
          <w:szCs w:val="17"/>
          <w:color w:val="auto"/>
        </w:rPr>
        <w:t>Operations Management</w:t>
      </w:r>
    </w:p>
    <w:p>
      <w:pPr>
        <w:spacing w:after="0" w:line="6" w:lineRule="exact"/>
        <w:rPr>
          <w:rFonts w:ascii="Arial" w:cs="Arial" w:eastAsia="Arial" w:hAnsi="Arial"/>
          <w:sz w:val="17"/>
          <w:szCs w:val="17"/>
          <w:color w:val="auto"/>
        </w:rPr>
      </w:pPr>
    </w:p>
    <w:p>
      <w:pPr>
        <w:ind w:left="600" w:hanging="296"/>
        <w:spacing w:after="0"/>
        <w:tabs>
          <w:tab w:leader="none" w:pos="600" w:val="left"/>
        </w:tabs>
        <w:numPr>
          <w:ilvl w:val="0"/>
          <w:numId w:val="8"/>
        </w:numPr>
        <w:rPr>
          <w:rFonts w:ascii="Arial" w:cs="Arial" w:eastAsia="Arial" w:hAnsi="Arial"/>
          <w:sz w:val="17"/>
          <w:szCs w:val="17"/>
          <w:color w:val="auto"/>
        </w:rPr>
      </w:pPr>
      <w:r>
        <w:rPr>
          <w:rFonts w:ascii="Arial" w:cs="Arial" w:eastAsia="Arial" w:hAnsi="Arial"/>
          <w:sz w:val="17"/>
          <w:szCs w:val="17"/>
          <w:color w:val="auto"/>
        </w:rPr>
        <w:t>Analytics</w:t>
      </w:r>
    </w:p>
    <w:p>
      <w:pPr>
        <w:spacing w:after="0" w:line="96" w:lineRule="exact"/>
        <w:rPr>
          <w:sz w:val="20"/>
          <w:szCs w:val="20"/>
          <w:color w:val="auto"/>
        </w:rPr>
      </w:pPr>
    </w:p>
    <w:p>
      <w:pPr>
        <w:jc w:val="both"/>
        <w:ind w:firstLine="379"/>
        <w:spacing w:after="0" w:line="255" w:lineRule="auto"/>
        <w:rPr>
          <w:sz w:val="20"/>
          <w:szCs w:val="20"/>
          <w:color w:val="auto"/>
        </w:rPr>
      </w:pPr>
      <w:r>
        <w:rPr>
          <w:rFonts w:ascii="Arial" w:cs="Arial" w:eastAsia="Arial" w:hAnsi="Arial"/>
          <w:sz w:val="17"/>
          <w:szCs w:val="17"/>
          <w:color w:val="auto"/>
        </w:rPr>
        <w:t>The Company has restated the segment information for all prior periods presented herein to conform to the current presentation. This change in segment presentation does not affect the Company's consolidated statements of income, balance sheets or statements of cash flows. The Company's recent acquisitions of Liss Systems Limited and IQR Consulting Inc. are classified within the Operations Management and Analytics segments, respectively. (see Note 5 to the unaudited consolidated financial statements contained herein)</w:t>
      </w:r>
    </w:p>
    <w:p>
      <w:pPr>
        <w:spacing w:after="0" w:line="79" w:lineRule="exact"/>
        <w:rPr>
          <w:sz w:val="20"/>
          <w:szCs w:val="20"/>
          <w:color w:val="auto"/>
        </w:rPr>
      </w:pPr>
    </w:p>
    <w:p>
      <w:pPr>
        <w:jc w:val="both"/>
        <w:ind w:firstLine="379"/>
        <w:spacing w:after="0" w:line="255" w:lineRule="auto"/>
        <w:rPr>
          <w:sz w:val="20"/>
          <w:szCs w:val="20"/>
          <w:color w:val="auto"/>
        </w:rPr>
      </w:pPr>
      <w:r>
        <w:rPr>
          <w:rFonts w:ascii="Arial" w:cs="Arial" w:eastAsia="Arial" w:hAnsi="Arial"/>
          <w:sz w:val="17"/>
          <w:szCs w:val="17"/>
          <w:color w:val="auto"/>
        </w:rPr>
        <w:t>The chief operating decision maker (“CODM”) generally reviews operating segment revenues and cost of revenues. The Company does not allocate and therefore the CODM does not evaluate operating expenses, foreign exchange gain/loss and other income/loss, net and income taxes by segment. The Company’s operating assets are shared by multiple segments. The Company manages assets on a total company basis, not by operating segment, and therefore asset information and capital expenditures by operating segment are not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420"/>
          </w:cols>
          <w:pgMar w:left="240" w:top="123" w:right="239" w:bottom="1440" w:gutter="0" w:footer="0" w:header="0"/>
        </w:sectPr>
      </w:pPr>
    </w:p>
    <w:bookmarkStart w:id="11" w:name="page12"/>
    <w:bookmarkEnd w:id="11"/>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23" w:lineRule="exact"/>
        <w:rPr>
          <w:sz w:val="20"/>
          <w:szCs w:val="20"/>
          <w:color w:val="auto"/>
        </w:rPr>
      </w:pPr>
    </w:p>
    <w:p>
      <w:pPr>
        <w:ind w:left="4480"/>
        <w:spacing w:after="0"/>
        <w:rPr>
          <w:sz w:val="20"/>
          <w:szCs w:val="20"/>
          <w:color w:val="auto"/>
        </w:rPr>
      </w:pPr>
      <w:r>
        <w:rPr>
          <w:rFonts w:ascii="Arial" w:cs="Arial" w:eastAsia="Arial" w:hAnsi="Arial"/>
          <w:sz w:val="17"/>
          <w:szCs w:val="17"/>
          <w:b w:val="1"/>
          <w:bCs w:val="1"/>
          <w:color w:val="auto"/>
        </w:rPr>
        <w:t>EXLSERVICE HOLDINGS, INC.</w:t>
      </w:r>
    </w:p>
    <w:p>
      <w:pPr>
        <w:spacing w:after="0" w:line="92" w:lineRule="exact"/>
        <w:rPr>
          <w:sz w:val="20"/>
          <w:szCs w:val="20"/>
          <w:color w:val="auto"/>
        </w:rPr>
      </w:pPr>
    </w:p>
    <w:p>
      <w:pPr>
        <w:ind w:left="2480"/>
        <w:spacing w:after="0"/>
        <w:rPr>
          <w:sz w:val="20"/>
          <w:szCs w:val="20"/>
          <w:color w:val="auto"/>
        </w:rPr>
      </w:pPr>
      <w:r>
        <w:rPr>
          <w:rFonts w:ascii="Arial" w:cs="Arial" w:eastAsia="Arial" w:hAnsi="Arial"/>
          <w:sz w:val="17"/>
          <w:szCs w:val="17"/>
          <w:b w:val="1"/>
          <w:bCs w:val="1"/>
          <w:color w:val="auto"/>
        </w:rPr>
        <w:t>NOTES TO UNAUDITED CONSOLIDATED FINANCIAL STATEMENTS—(continued)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September 30, 2016</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00" w:lineRule="exact"/>
        <w:rPr>
          <w:sz w:val="20"/>
          <w:szCs w:val="20"/>
          <w:color w:val="auto"/>
        </w:rPr>
      </w:pPr>
    </w:p>
    <w:p>
      <w:pPr>
        <w:spacing w:after="0" w:line="326" w:lineRule="exact"/>
        <w:rPr>
          <w:sz w:val="20"/>
          <w:szCs w:val="20"/>
          <w:color w:val="auto"/>
        </w:rPr>
      </w:pPr>
    </w:p>
    <w:p>
      <w:pPr>
        <w:jc w:val="both"/>
        <w:ind w:firstLine="379"/>
        <w:spacing w:after="0" w:line="271" w:lineRule="auto"/>
        <w:rPr>
          <w:sz w:val="20"/>
          <w:szCs w:val="20"/>
          <w:color w:val="auto"/>
        </w:rPr>
      </w:pPr>
      <w:r>
        <w:rPr>
          <w:rFonts w:ascii="Arial" w:cs="Arial" w:eastAsia="Arial" w:hAnsi="Arial"/>
          <w:sz w:val="17"/>
          <w:szCs w:val="17"/>
          <w:color w:val="auto"/>
        </w:rPr>
        <w:t>Revenues and cost of revenues for each of the three months ended September 30, 2016 and 2015 for the Company's Operations Management and Analytics segments, respectively, are as follows:</w:t>
      </w:r>
    </w:p>
    <w:p>
      <w:pPr>
        <w:spacing w:after="0" w:line="111" w:lineRule="exact"/>
        <w:rPr>
          <w:sz w:val="20"/>
          <w:szCs w:val="20"/>
          <w:color w:val="auto"/>
        </w:rPr>
      </w:pPr>
    </w:p>
    <w:tbl>
      <w:tblPr>
        <w:tblLayout w:type="fixed"/>
        <w:tblInd w:w="20" w:type="dxa"/>
        <w:tblCellMar>
          <w:top w:w="0" w:type="dxa"/>
          <w:left w:w="0" w:type="dxa"/>
          <w:bottom w:w="0" w:type="dxa"/>
          <w:right w:w="0" w:type="dxa"/>
        </w:tblCellMar>
      </w:tblPr>
      <w:tr>
        <w:trPr>
          <w:trHeight w:val="218"/>
        </w:trPr>
        <w:tc>
          <w:tcPr>
            <w:tcW w:w="2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40" w:type="dxa"/>
            <w:vAlign w:val="bottom"/>
            <w:gridSpan w:val="7"/>
          </w:tcPr>
          <w:p>
            <w:pPr>
              <w:jc w:val="right"/>
              <w:ind w:right="536"/>
              <w:spacing w:after="0"/>
              <w:rPr>
                <w:sz w:val="20"/>
                <w:szCs w:val="20"/>
                <w:color w:val="auto"/>
              </w:rPr>
            </w:pPr>
            <w:r>
              <w:rPr>
                <w:rFonts w:ascii="Arial" w:cs="Arial" w:eastAsia="Arial" w:hAnsi="Arial"/>
                <w:sz w:val="17"/>
                <w:szCs w:val="17"/>
                <w:b w:val="1"/>
                <w:bCs w:val="1"/>
                <w:color w:val="auto"/>
              </w:rPr>
              <w:t>Three months ended September 30, 2016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20" w:type="dxa"/>
            <w:vAlign w:val="bottom"/>
            <w:gridSpan w:val="7"/>
          </w:tcPr>
          <w:p>
            <w:pPr>
              <w:jc w:val="right"/>
              <w:ind w:right="536"/>
              <w:spacing w:after="0"/>
              <w:rPr>
                <w:sz w:val="20"/>
                <w:szCs w:val="20"/>
                <w:color w:val="auto"/>
              </w:rPr>
            </w:pPr>
            <w:r>
              <w:rPr>
                <w:rFonts w:ascii="Arial" w:cs="Arial" w:eastAsia="Arial" w:hAnsi="Arial"/>
                <w:sz w:val="17"/>
                <w:szCs w:val="17"/>
                <w:b w:val="1"/>
                <w:bCs w:val="1"/>
                <w:color w:val="auto"/>
              </w:rPr>
              <w:t>Three months ended September 30, 2015</w:t>
            </w:r>
          </w:p>
        </w:tc>
      </w:tr>
      <w:tr>
        <w:trPr>
          <w:trHeight w:val="26"/>
        </w:trPr>
        <w:tc>
          <w:tcPr>
            <w:tcW w:w="28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4"/>
        </w:trPr>
        <w:tc>
          <w:tcPr>
            <w:tcW w:w="2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9"/>
              </w:rPr>
              <w:t>Operations</w:t>
            </w: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91"/>
              </w:rPr>
              <w:t>Operations</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8"/>
        </w:trPr>
        <w:tc>
          <w:tcPr>
            <w:tcW w:w="2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90"/>
              </w:rPr>
              <w:t>Management</w:t>
            </w:r>
          </w:p>
        </w:tc>
        <w:tc>
          <w:tcPr>
            <w:tcW w:w="240" w:type="dxa"/>
            <w:vAlign w:val="bottom"/>
          </w:tcPr>
          <w:p>
            <w:pPr>
              <w:spacing w:after="0"/>
              <w:rPr>
                <w:sz w:val="18"/>
                <w:szCs w:val="18"/>
                <w:color w:val="auto"/>
              </w:rPr>
            </w:pPr>
          </w:p>
        </w:tc>
        <w:tc>
          <w:tcPr>
            <w:tcW w:w="1240" w:type="dxa"/>
            <w:vAlign w:val="bottom"/>
            <w:gridSpan w:val="2"/>
          </w:tcPr>
          <w:p>
            <w:pPr>
              <w:ind w:left="120"/>
              <w:spacing w:after="0"/>
              <w:rPr>
                <w:sz w:val="20"/>
                <w:szCs w:val="20"/>
                <w:color w:val="auto"/>
              </w:rPr>
            </w:pPr>
            <w:r>
              <w:rPr>
                <w:rFonts w:ascii="Arial" w:cs="Arial" w:eastAsia="Arial" w:hAnsi="Arial"/>
                <w:sz w:val="17"/>
                <w:szCs w:val="17"/>
                <w:b w:val="1"/>
                <w:bCs w:val="1"/>
                <w:color w:val="auto"/>
              </w:rPr>
              <w:t>Analytics</w:t>
            </w:r>
          </w:p>
        </w:tc>
        <w:tc>
          <w:tcPr>
            <w:tcW w:w="280" w:type="dxa"/>
            <w:vAlign w:val="bottom"/>
          </w:tcPr>
          <w:p>
            <w:pPr>
              <w:spacing w:after="0"/>
              <w:rPr>
                <w:sz w:val="18"/>
                <w:szCs w:val="18"/>
                <w:color w:val="auto"/>
              </w:rPr>
            </w:pPr>
          </w:p>
        </w:tc>
        <w:tc>
          <w:tcPr>
            <w:tcW w:w="980" w:type="dxa"/>
            <w:vAlign w:val="bottom"/>
          </w:tcPr>
          <w:p>
            <w:pPr>
              <w:jc w:val="right"/>
              <w:ind w:right="356"/>
              <w:spacing w:after="0"/>
              <w:rPr>
                <w:sz w:val="20"/>
                <w:szCs w:val="20"/>
                <w:color w:val="auto"/>
              </w:rPr>
            </w:pPr>
            <w:r>
              <w:rPr>
                <w:rFonts w:ascii="Arial" w:cs="Arial" w:eastAsia="Arial" w:hAnsi="Arial"/>
                <w:sz w:val="17"/>
                <w:szCs w:val="17"/>
                <w:b w:val="1"/>
                <w:bCs w:val="1"/>
                <w:color w:val="auto"/>
              </w:rPr>
              <w:t>Total</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90"/>
              </w:rPr>
              <w:t>Management</w:t>
            </w:r>
          </w:p>
        </w:tc>
        <w:tc>
          <w:tcPr>
            <w:tcW w:w="200" w:type="dxa"/>
            <w:vAlign w:val="bottom"/>
          </w:tcPr>
          <w:p>
            <w:pPr>
              <w:spacing w:after="0"/>
              <w:rPr>
                <w:sz w:val="18"/>
                <w:szCs w:val="18"/>
                <w:color w:val="auto"/>
              </w:rPr>
            </w:pPr>
          </w:p>
        </w:tc>
        <w:tc>
          <w:tcPr>
            <w:tcW w:w="1180" w:type="dxa"/>
            <w:vAlign w:val="bottom"/>
            <w:gridSpan w:val="2"/>
          </w:tcPr>
          <w:p>
            <w:pPr>
              <w:ind w:left="100"/>
              <w:spacing w:after="0"/>
              <w:rPr>
                <w:sz w:val="20"/>
                <w:szCs w:val="20"/>
                <w:color w:val="auto"/>
              </w:rPr>
            </w:pPr>
            <w:r>
              <w:rPr>
                <w:rFonts w:ascii="Arial" w:cs="Arial" w:eastAsia="Arial" w:hAnsi="Arial"/>
                <w:sz w:val="17"/>
                <w:szCs w:val="17"/>
                <w:b w:val="1"/>
                <w:bCs w:val="1"/>
                <w:color w:val="auto"/>
              </w:rPr>
              <w:t>Analytics</w:t>
            </w:r>
          </w:p>
        </w:tc>
        <w:tc>
          <w:tcPr>
            <w:tcW w:w="260" w:type="dxa"/>
            <w:vAlign w:val="bottom"/>
          </w:tcPr>
          <w:p>
            <w:pPr>
              <w:spacing w:after="0"/>
              <w:rPr>
                <w:sz w:val="18"/>
                <w:szCs w:val="18"/>
                <w:color w:val="auto"/>
              </w:rPr>
            </w:pPr>
          </w:p>
        </w:tc>
        <w:tc>
          <w:tcPr>
            <w:tcW w:w="980" w:type="dxa"/>
            <w:vAlign w:val="bottom"/>
          </w:tcPr>
          <w:p>
            <w:pPr>
              <w:jc w:val="right"/>
              <w:ind w:right="356"/>
              <w:spacing w:after="0"/>
              <w:rPr>
                <w:sz w:val="20"/>
                <w:szCs w:val="20"/>
                <w:color w:val="auto"/>
              </w:rPr>
            </w:pPr>
            <w:r>
              <w:rPr>
                <w:rFonts w:ascii="Arial" w:cs="Arial" w:eastAsia="Arial" w:hAnsi="Arial"/>
                <w:sz w:val="17"/>
                <w:szCs w:val="17"/>
                <w:b w:val="1"/>
                <w:bCs w:val="1"/>
                <w:color w:val="auto"/>
              </w:rPr>
              <w:t>Total</w:t>
            </w:r>
          </w:p>
        </w:tc>
      </w:tr>
      <w:tr>
        <w:trPr>
          <w:trHeight w:val="26"/>
        </w:trPr>
        <w:tc>
          <w:tcPr>
            <w:tcW w:w="28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5"/>
        </w:trPr>
        <w:tc>
          <w:tcPr>
            <w:tcW w:w="28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r>
      <w:tr>
        <w:trPr>
          <w:trHeight w:val="227"/>
        </w:trPr>
        <w:tc>
          <w:tcPr>
            <w:tcW w:w="2860" w:type="dxa"/>
            <w:vAlign w:val="bottom"/>
          </w:tcPr>
          <w:p>
            <w:pPr>
              <w:ind w:left="40"/>
              <w:spacing w:after="0"/>
              <w:rPr>
                <w:sz w:val="20"/>
                <w:szCs w:val="20"/>
                <w:color w:val="auto"/>
              </w:rPr>
            </w:pPr>
            <w:r>
              <w:rPr>
                <w:rFonts w:ascii="Arial" w:cs="Arial" w:eastAsia="Arial" w:hAnsi="Arial"/>
                <w:sz w:val="17"/>
                <w:szCs w:val="17"/>
                <w:color w:val="auto"/>
              </w:rPr>
              <w:t>Revenues, net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ind w:right="36"/>
              <w:spacing w:after="0"/>
              <w:rPr>
                <w:sz w:val="20"/>
                <w:szCs w:val="20"/>
                <w:color w:val="auto"/>
              </w:rPr>
            </w:pPr>
            <w:r>
              <w:rPr>
                <w:rFonts w:ascii="Arial" w:cs="Arial" w:eastAsia="Arial" w:hAnsi="Arial"/>
                <w:sz w:val="17"/>
                <w:szCs w:val="17"/>
                <w:color w:val="auto"/>
              </w:rPr>
              <w:t>129,563</w:t>
            </w:r>
          </w:p>
        </w:tc>
        <w:tc>
          <w:tcPr>
            <w:tcW w:w="100" w:type="dxa"/>
            <w:vAlign w:val="bottom"/>
          </w:tcPr>
          <w:p>
            <w:pPr>
              <w:spacing w:after="0"/>
              <w:rPr>
                <w:sz w:val="19"/>
                <w:szCs w:val="19"/>
                <w:color w:val="auto"/>
              </w:rPr>
            </w:pPr>
          </w:p>
        </w:tc>
        <w:tc>
          <w:tcPr>
            <w:tcW w:w="24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36"/>
              <w:spacing w:after="0"/>
              <w:rPr>
                <w:sz w:val="20"/>
                <w:szCs w:val="20"/>
                <w:color w:val="auto"/>
              </w:rPr>
            </w:pPr>
            <w:r>
              <w:rPr>
                <w:rFonts w:ascii="Arial" w:cs="Arial" w:eastAsia="Arial" w:hAnsi="Arial"/>
                <w:sz w:val="17"/>
                <w:szCs w:val="17"/>
                <w:color w:val="auto"/>
              </w:rPr>
              <w:t>41,637</w:t>
            </w:r>
          </w:p>
        </w:tc>
        <w:tc>
          <w:tcPr>
            <w:tcW w:w="100" w:type="dxa"/>
            <w:vAlign w:val="bottom"/>
          </w:tcPr>
          <w:p>
            <w:pPr>
              <w:spacing w:after="0"/>
              <w:rPr>
                <w:sz w:val="19"/>
                <w:szCs w:val="19"/>
                <w:color w:val="auto"/>
              </w:rPr>
            </w:pPr>
          </w:p>
        </w:tc>
        <w:tc>
          <w:tcPr>
            <w:tcW w:w="280" w:type="dxa"/>
            <w:vAlign w:val="bottom"/>
          </w:tcPr>
          <w:p>
            <w:pPr>
              <w:jc w:val="right"/>
              <w:ind w:right="76"/>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36"/>
              <w:spacing w:after="0"/>
              <w:rPr>
                <w:sz w:val="20"/>
                <w:szCs w:val="20"/>
                <w:color w:val="auto"/>
              </w:rPr>
            </w:pPr>
            <w:r>
              <w:rPr>
                <w:rFonts w:ascii="Arial" w:cs="Arial" w:eastAsia="Arial" w:hAnsi="Arial"/>
                <w:sz w:val="17"/>
                <w:szCs w:val="17"/>
                <w:color w:val="auto"/>
              </w:rPr>
              <w:t>171,200</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36"/>
              <w:spacing w:after="0"/>
              <w:rPr>
                <w:sz w:val="20"/>
                <w:szCs w:val="20"/>
                <w:color w:val="auto"/>
              </w:rPr>
            </w:pPr>
            <w:r>
              <w:rPr>
                <w:rFonts w:ascii="Arial" w:cs="Arial" w:eastAsia="Arial" w:hAnsi="Arial"/>
                <w:sz w:val="17"/>
                <w:szCs w:val="17"/>
                <w:color w:val="auto"/>
              </w:rPr>
              <w:t>128,043</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36"/>
              <w:spacing w:after="0"/>
              <w:rPr>
                <w:sz w:val="20"/>
                <w:szCs w:val="20"/>
                <w:color w:val="auto"/>
              </w:rPr>
            </w:pPr>
            <w:r>
              <w:rPr>
                <w:rFonts w:ascii="Arial" w:cs="Arial" w:eastAsia="Arial" w:hAnsi="Arial"/>
                <w:sz w:val="17"/>
                <w:szCs w:val="17"/>
                <w:color w:val="auto"/>
              </w:rPr>
              <w:t>35,460</w:t>
            </w:r>
          </w:p>
        </w:tc>
        <w:tc>
          <w:tcPr>
            <w:tcW w:w="120" w:type="dxa"/>
            <w:vAlign w:val="bottom"/>
          </w:tcPr>
          <w:p>
            <w:pPr>
              <w:spacing w:after="0"/>
              <w:rPr>
                <w:sz w:val="19"/>
                <w:szCs w:val="19"/>
                <w:color w:val="auto"/>
              </w:rPr>
            </w:pPr>
          </w:p>
        </w:tc>
        <w:tc>
          <w:tcPr>
            <w:tcW w:w="260" w:type="dxa"/>
            <w:vAlign w:val="bottom"/>
          </w:tcPr>
          <w:p>
            <w:pPr>
              <w:jc w:val="right"/>
              <w:ind w:right="76"/>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ind w:right="36"/>
              <w:spacing w:after="0"/>
              <w:rPr>
                <w:sz w:val="20"/>
                <w:szCs w:val="20"/>
                <w:color w:val="auto"/>
              </w:rPr>
            </w:pPr>
            <w:r>
              <w:rPr>
                <w:rFonts w:ascii="Arial" w:cs="Arial" w:eastAsia="Arial" w:hAnsi="Arial"/>
                <w:sz w:val="17"/>
                <w:szCs w:val="17"/>
                <w:color w:val="auto"/>
              </w:rPr>
              <w:t>163,503</w:t>
            </w:r>
          </w:p>
        </w:tc>
      </w:tr>
      <w:tr>
        <w:trPr>
          <w:trHeight w:val="26"/>
        </w:trPr>
        <w:tc>
          <w:tcPr>
            <w:tcW w:w="2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15"/>
        </w:trPr>
        <w:tc>
          <w:tcPr>
            <w:tcW w:w="2860" w:type="dxa"/>
            <w:vAlign w:val="bottom"/>
            <w:shd w:val="clear" w:color="auto" w:fill="CCEEFF"/>
          </w:tcPr>
          <w:p>
            <w:pPr>
              <w:ind w:left="40"/>
              <w:spacing w:after="0"/>
              <w:rPr>
                <w:sz w:val="20"/>
                <w:szCs w:val="20"/>
                <w:color w:val="auto"/>
              </w:rPr>
            </w:pPr>
            <w:r>
              <w:rPr>
                <w:rFonts w:ascii="Arial" w:cs="Arial" w:eastAsia="Arial" w:hAnsi="Arial"/>
                <w:sz w:val="17"/>
                <w:szCs w:val="17"/>
                <w:color w:val="auto"/>
              </w:rPr>
              <w:t>Cost of revenues (exclusive of</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40"/>
        </w:trPr>
        <w:tc>
          <w:tcPr>
            <w:tcW w:w="2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depreciation and amortization)</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85,988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25,779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111,767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81,477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21,721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103,198</w:t>
            </w:r>
          </w:p>
        </w:tc>
      </w:tr>
      <w:tr>
        <w:trPr>
          <w:trHeight w:val="279"/>
        </w:trPr>
        <w:tc>
          <w:tcPr>
            <w:tcW w:w="2860" w:type="dxa"/>
            <w:vAlign w:val="bottom"/>
            <w:tcBorders>
              <w:bottom w:val="single" w:sz="8" w:color="CCEEFF"/>
            </w:tcBorders>
          </w:tcPr>
          <w:p>
            <w:pPr>
              <w:ind w:left="40"/>
              <w:spacing w:after="0"/>
              <w:rPr>
                <w:sz w:val="20"/>
                <w:szCs w:val="20"/>
                <w:color w:val="auto"/>
              </w:rPr>
            </w:pPr>
            <w:r>
              <w:rPr>
                <w:rFonts w:ascii="Arial" w:cs="Arial" w:eastAsia="Arial" w:hAnsi="Arial"/>
                <w:sz w:val="17"/>
                <w:szCs w:val="17"/>
                <w:color w:val="auto"/>
              </w:rPr>
              <w:t>Gross profit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7"/>
                <w:szCs w:val="17"/>
                <w:color w:val="auto"/>
              </w:rPr>
              <w:t>43,575</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7"/>
                <w:szCs w:val="17"/>
                <w:color w:val="auto"/>
              </w:rPr>
              <w:t>15,858</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7"/>
                <w:szCs w:val="17"/>
                <w:color w:val="auto"/>
              </w:rPr>
              <w:t>59,433</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7"/>
                <w:szCs w:val="17"/>
                <w:color w:val="auto"/>
              </w:rPr>
              <w:t>46,566</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7"/>
                <w:szCs w:val="17"/>
                <w:color w:val="auto"/>
              </w:rPr>
              <w:t>13,739</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7"/>
                <w:szCs w:val="17"/>
                <w:color w:val="auto"/>
              </w:rPr>
              <w:t>60,305</w:t>
            </w:r>
          </w:p>
        </w:tc>
      </w:tr>
      <w:tr>
        <w:trPr>
          <w:trHeight w:val="217"/>
        </w:trPr>
        <w:tc>
          <w:tcPr>
            <w:tcW w:w="2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Operating expenses</w:t>
            </w:r>
          </w:p>
        </w:tc>
        <w:tc>
          <w:tcPr>
            <w:tcW w:w="1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42,074</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39,556</w:t>
            </w:r>
          </w:p>
        </w:tc>
      </w:tr>
      <w:tr>
        <w:trPr>
          <w:trHeight w:val="215"/>
        </w:trPr>
        <w:tc>
          <w:tcPr>
            <w:tcW w:w="2860" w:type="dxa"/>
            <w:vAlign w:val="bottom"/>
          </w:tcPr>
          <w:p>
            <w:pPr>
              <w:ind w:left="40"/>
              <w:spacing w:after="0"/>
              <w:rPr>
                <w:sz w:val="20"/>
                <w:szCs w:val="20"/>
                <w:color w:val="auto"/>
              </w:rPr>
            </w:pPr>
            <w:r>
              <w:rPr>
                <w:rFonts w:ascii="Arial" w:cs="Arial" w:eastAsia="Arial" w:hAnsi="Arial"/>
                <w:sz w:val="17"/>
                <w:szCs w:val="17"/>
                <w:color w:val="auto"/>
              </w:rPr>
              <w:t>Foreign exchange gain and Other</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4"/>
        </w:trPr>
        <w:tc>
          <w:tcPr>
            <w:tcW w:w="2860" w:type="dxa"/>
            <w:vAlign w:val="bottom"/>
          </w:tcPr>
          <w:p>
            <w:pPr>
              <w:ind w:left="40"/>
              <w:spacing w:after="0"/>
              <w:rPr>
                <w:sz w:val="20"/>
                <w:szCs w:val="20"/>
                <w:color w:val="auto"/>
              </w:rPr>
            </w:pPr>
            <w:r>
              <w:rPr>
                <w:rFonts w:ascii="Arial" w:cs="Arial" w:eastAsia="Arial" w:hAnsi="Arial"/>
                <w:sz w:val="17"/>
                <w:szCs w:val="17"/>
                <w:color w:val="auto"/>
              </w:rPr>
              <w:t>income, net</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6"/>
              <w:spacing w:after="0"/>
              <w:rPr>
                <w:sz w:val="20"/>
                <w:szCs w:val="20"/>
                <w:color w:val="auto"/>
              </w:rPr>
            </w:pPr>
            <w:r>
              <w:rPr>
                <w:rFonts w:ascii="Arial" w:cs="Arial" w:eastAsia="Arial" w:hAnsi="Arial"/>
                <w:sz w:val="17"/>
                <w:szCs w:val="17"/>
                <w:color w:val="auto"/>
              </w:rPr>
              <w:t>4,337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6"/>
              <w:spacing w:after="0"/>
              <w:rPr>
                <w:sz w:val="20"/>
                <w:szCs w:val="20"/>
                <w:color w:val="auto"/>
              </w:rPr>
            </w:pPr>
            <w:r>
              <w:rPr>
                <w:rFonts w:ascii="Arial" w:cs="Arial" w:eastAsia="Arial" w:hAnsi="Arial"/>
                <w:sz w:val="17"/>
                <w:szCs w:val="17"/>
                <w:color w:val="auto"/>
              </w:rPr>
              <w:t>1,978</w:t>
            </w:r>
          </w:p>
        </w:tc>
      </w:tr>
      <w:tr>
        <w:trPr>
          <w:trHeight w:val="26"/>
        </w:trPr>
        <w:tc>
          <w:tcPr>
            <w:tcW w:w="2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3"/>
        </w:trPr>
        <w:tc>
          <w:tcPr>
            <w:tcW w:w="2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Income tax expense</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5,646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7,565</w:t>
            </w:r>
          </w:p>
        </w:tc>
      </w:tr>
      <w:tr>
        <w:trPr>
          <w:trHeight w:val="239"/>
        </w:trPr>
        <w:tc>
          <w:tcPr>
            <w:tcW w:w="2860" w:type="dxa"/>
            <w:vAlign w:val="bottom"/>
          </w:tcPr>
          <w:p>
            <w:pPr>
              <w:ind w:left="40"/>
              <w:spacing w:after="0"/>
              <w:rPr>
                <w:sz w:val="20"/>
                <w:szCs w:val="20"/>
                <w:color w:val="auto"/>
              </w:rPr>
            </w:pPr>
            <w:r>
              <w:rPr>
                <w:rFonts w:ascii="Arial" w:cs="Arial" w:eastAsia="Arial" w:hAnsi="Arial"/>
                <w:sz w:val="17"/>
                <w:szCs w:val="17"/>
                <w:color w:val="auto"/>
              </w:rPr>
              <w:t>Net income</w:t>
            </w: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7"/>
                <w:szCs w:val="17"/>
                <w:color w:val="auto"/>
              </w:rPr>
              <w:t>16,050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7"/>
                <w:szCs w:val="17"/>
                <w:color w:val="auto"/>
              </w:rPr>
              <w:t>15,162</w:t>
            </w:r>
          </w:p>
        </w:tc>
      </w:tr>
      <w:tr>
        <w:trPr>
          <w:trHeight w:val="20"/>
        </w:trPr>
        <w:tc>
          <w:tcPr>
            <w:tcW w:w="2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91" w:lineRule="exact"/>
        <w:rPr>
          <w:sz w:val="20"/>
          <w:szCs w:val="20"/>
          <w:color w:val="auto"/>
        </w:rPr>
      </w:pPr>
    </w:p>
    <w:p>
      <w:pPr>
        <w:jc w:val="both"/>
        <w:ind w:firstLine="379"/>
        <w:spacing w:after="0" w:line="271" w:lineRule="auto"/>
        <w:rPr>
          <w:sz w:val="20"/>
          <w:szCs w:val="20"/>
          <w:color w:val="auto"/>
        </w:rPr>
      </w:pPr>
      <w:r>
        <w:rPr>
          <w:rFonts w:ascii="Arial" w:cs="Arial" w:eastAsia="Arial" w:hAnsi="Arial"/>
          <w:sz w:val="17"/>
          <w:szCs w:val="17"/>
          <w:color w:val="auto"/>
        </w:rPr>
        <w:t>Revenues and cost of revenues for each of the nine months ended September 30, 2016 and 2015 for the Company's Operations Management and Analytics segments, respectively, are as follows:</w:t>
      </w:r>
    </w:p>
    <w:p>
      <w:pPr>
        <w:spacing w:after="0" w:line="111" w:lineRule="exact"/>
        <w:rPr>
          <w:sz w:val="20"/>
          <w:szCs w:val="20"/>
          <w:color w:val="auto"/>
        </w:rPr>
      </w:pPr>
    </w:p>
    <w:tbl>
      <w:tblPr>
        <w:tblLayout w:type="fixed"/>
        <w:tblInd w:w="40" w:type="dxa"/>
        <w:tblCellMar>
          <w:top w:w="0" w:type="dxa"/>
          <w:left w:w="0" w:type="dxa"/>
          <w:bottom w:w="0" w:type="dxa"/>
          <w:right w:w="0" w:type="dxa"/>
        </w:tblCellMar>
      </w:tblPr>
      <w:tr>
        <w:trPr>
          <w:trHeight w:val="218"/>
        </w:trPr>
        <w:tc>
          <w:tcPr>
            <w:tcW w:w="2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960" w:type="dxa"/>
            <w:vAlign w:val="bottom"/>
            <w:gridSpan w:val="7"/>
          </w:tcPr>
          <w:p>
            <w:pPr>
              <w:jc w:val="right"/>
              <w:ind w:right="536"/>
              <w:spacing w:after="0"/>
              <w:rPr>
                <w:sz w:val="20"/>
                <w:szCs w:val="20"/>
                <w:color w:val="auto"/>
              </w:rPr>
            </w:pPr>
            <w:r>
              <w:rPr>
                <w:rFonts w:ascii="Arial" w:cs="Arial" w:eastAsia="Arial" w:hAnsi="Arial"/>
                <w:sz w:val="17"/>
                <w:szCs w:val="17"/>
                <w:b w:val="1"/>
                <w:bCs w:val="1"/>
                <w:color w:val="auto"/>
              </w:rPr>
              <w:t>Nine months ended September 30, 2016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940" w:type="dxa"/>
            <w:vAlign w:val="bottom"/>
            <w:gridSpan w:val="7"/>
          </w:tcPr>
          <w:p>
            <w:pPr>
              <w:jc w:val="right"/>
              <w:ind w:right="556"/>
              <w:spacing w:after="0"/>
              <w:rPr>
                <w:sz w:val="20"/>
                <w:szCs w:val="20"/>
                <w:color w:val="auto"/>
              </w:rPr>
            </w:pPr>
            <w:r>
              <w:rPr>
                <w:rFonts w:ascii="Arial" w:cs="Arial" w:eastAsia="Arial" w:hAnsi="Arial"/>
                <w:sz w:val="17"/>
                <w:szCs w:val="17"/>
                <w:b w:val="1"/>
                <w:bCs w:val="1"/>
                <w:color w:val="auto"/>
              </w:rPr>
              <w:t>Nine months ended September 30, 2015</w:t>
            </w:r>
          </w:p>
        </w:tc>
      </w:tr>
      <w:tr>
        <w:trPr>
          <w:trHeight w:val="26"/>
        </w:trPr>
        <w:tc>
          <w:tcPr>
            <w:tcW w:w="29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4"/>
        </w:trPr>
        <w:tc>
          <w:tcPr>
            <w:tcW w:w="2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89"/>
              </w:rPr>
              <w:t>Operations</w:t>
            </w: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91"/>
              </w:rPr>
              <w:t>Operations</w:t>
            </w: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8"/>
        </w:trPr>
        <w:tc>
          <w:tcPr>
            <w:tcW w:w="2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0"/>
              </w:rPr>
              <w:t>Management</w:t>
            </w:r>
          </w:p>
        </w:tc>
        <w:tc>
          <w:tcPr>
            <w:tcW w:w="220" w:type="dxa"/>
            <w:vAlign w:val="bottom"/>
          </w:tcPr>
          <w:p>
            <w:pPr>
              <w:spacing w:after="0"/>
              <w:rPr>
                <w:sz w:val="18"/>
                <w:szCs w:val="18"/>
                <w:color w:val="auto"/>
              </w:rPr>
            </w:pPr>
          </w:p>
        </w:tc>
        <w:tc>
          <w:tcPr>
            <w:tcW w:w="1160" w:type="dxa"/>
            <w:vAlign w:val="bottom"/>
            <w:gridSpan w:val="2"/>
          </w:tcPr>
          <w:p>
            <w:pPr>
              <w:ind w:left="80"/>
              <w:spacing w:after="0"/>
              <w:rPr>
                <w:sz w:val="20"/>
                <w:szCs w:val="20"/>
                <w:color w:val="auto"/>
              </w:rPr>
            </w:pPr>
            <w:r>
              <w:rPr>
                <w:rFonts w:ascii="Arial" w:cs="Arial" w:eastAsia="Arial" w:hAnsi="Arial"/>
                <w:sz w:val="17"/>
                <w:szCs w:val="17"/>
                <w:b w:val="1"/>
                <w:bCs w:val="1"/>
                <w:color w:val="auto"/>
              </w:rPr>
              <w:t>Analytics</w:t>
            </w:r>
          </w:p>
        </w:tc>
        <w:tc>
          <w:tcPr>
            <w:tcW w:w="280" w:type="dxa"/>
            <w:vAlign w:val="bottom"/>
          </w:tcPr>
          <w:p>
            <w:pPr>
              <w:spacing w:after="0"/>
              <w:rPr>
                <w:sz w:val="18"/>
                <w:szCs w:val="18"/>
                <w:color w:val="auto"/>
              </w:rPr>
            </w:pPr>
          </w:p>
        </w:tc>
        <w:tc>
          <w:tcPr>
            <w:tcW w:w="980" w:type="dxa"/>
            <w:vAlign w:val="bottom"/>
          </w:tcPr>
          <w:p>
            <w:pPr>
              <w:jc w:val="right"/>
              <w:ind w:right="356"/>
              <w:spacing w:after="0"/>
              <w:rPr>
                <w:sz w:val="20"/>
                <w:szCs w:val="20"/>
                <w:color w:val="auto"/>
              </w:rPr>
            </w:pPr>
            <w:r>
              <w:rPr>
                <w:rFonts w:ascii="Arial" w:cs="Arial" w:eastAsia="Arial" w:hAnsi="Arial"/>
                <w:sz w:val="17"/>
                <w:szCs w:val="17"/>
                <w:b w:val="1"/>
                <w:bCs w:val="1"/>
                <w:color w:val="auto"/>
              </w:rPr>
              <w:t>Total</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90"/>
              </w:rPr>
              <w:t>Management</w:t>
            </w:r>
          </w:p>
        </w:tc>
        <w:tc>
          <w:tcPr>
            <w:tcW w:w="180" w:type="dxa"/>
            <w:vAlign w:val="bottom"/>
          </w:tcPr>
          <w:p>
            <w:pPr>
              <w:spacing w:after="0"/>
              <w:rPr>
                <w:sz w:val="18"/>
                <w:szCs w:val="18"/>
                <w:color w:val="auto"/>
              </w:rPr>
            </w:pPr>
          </w:p>
        </w:tc>
        <w:tc>
          <w:tcPr>
            <w:tcW w:w="1140" w:type="dxa"/>
            <w:vAlign w:val="bottom"/>
            <w:gridSpan w:val="2"/>
          </w:tcPr>
          <w:p>
            <w:pPr>
              <w:ind w:left="100"/>
              <w:spacing w:after="0"/>
              <w:rPr>
                <w:sz w:val="20"/>
                <w:szCs w:val="20"/>
                <w:color w:val="auto"/>
              </w:rPr>
            </w:pPr>
            <w:r>
              <w:rPr>
                <w:rFonts w:ascii="Arial" w:cs="Arial" w:eastAsia="Arial" w:hAnsi="Arial"/>
                <w:sz w:val="17"/>
                <w:szCs w:val="17"/>
                <w:b w:val="1"/>
                <w:bCs w:val="1"/>
                <w:color w:val="auto"/>
              </w:rPr>
              <w:t>Analytics</w:t>
            </w:r>
          </w:p>
        </w:tc>
        <w:tc>
          <w:tcPr>
            <w:tcW w:w="280" w:type="dxa"/>
            <w:vAlign w:val="bottom"/>
          </w:tcPr>
          <w:p>
            <w:pPr>
              <w:spacing w:after="0"/>
              <w:rPr>
                <w:sz w:val="18"/>
                <w:szCs w:val="18"/>
                <w:color w:val="auto"/>
              </w:rPr>
            </w:pPr>
          </w:p>
        </w:tc>
        <w:tc>
          <w:tcPr>
            <w:tcW w:w="940" w:type="dxa"/>
            <w:vAlign w:val="bottom"/>
          </w:tcPr>
          <w:p>
            <w:pPr>
              <w:jc w:val="right"/>
              <w:ind w:right="336"/>
              <w:spacing w:after="0"/>
              <w:rPr>
                <w:sz w:val="20"/>
                <w:szCs w:val="20"/>
                <w:color w:val="auto"/>
              </w:rPr>
            </w:pPr>
            <w:r>
              <w:rPr>
                <w:rFonts w:ascii="Arial" w:cs="Arial" w:eastAsia="Arial" w:hAnsi="Arial"/>
                <w:sz w:val="17"/>
                <w:szCs w:val="17"/>
                <w:b w:val="1"/>
                <w:bCs w:val="1"/>
                <w:color w:val="auto"/>
              </w:rPr>
              <w:t>Total</w:t>
            </w:r>
          </w:p>
        </w:tc>
      </w:tr>
      <w:tr>
        <w:trPr>
          <w:trHeight w:val="26"/>
        </w:trPr>
        <w:tc>
          <w:tcPr>
            <w:tcW w:w="29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5"/>
        </w:trPr>
        <w:tc>
          <w:tcPr>
            <w:tcW w:w="29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r>
      <w:tr>
        <w:trPr>
          <w:trHeight w:val="227"/>
        </w:trPr>
        <w:tc>
          <w:tcPr>
            <w:tcW w:w="2960" w:type="dxa"/>
            <w:vAlign w:val="bottom"/>
          </w:tcPr>
          <w:p>
            <w:pPr>
              <w:ind w:left="20"/>
              <w:spacing w:after="0"/>
              <w:rPr>
                <w:sz w:val="20"/>
                <w:szCs w:val="20"/>
                <w:color w:val="auto"/>
              </w:rPr>
            </w:pPr>
            <w:r>
              <w:rPr>
                <w:rFonts w:ascii="Arial" w:cs="Arial" w:eastAsia="Arial" w:hAnsi="Arial"/>
                <w:sz w:val="17"/>
                <w:szCs w:val="17"/>
                <w:color w:val="auto"/>
              </w:rPr>
              <w:t>Revenues, net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ind w:right="36"/>
              <w:spacing w:after="0"/>
              <w:rPr>
                <w:sz w:val="20"/>
                <w:szCs w:val="20"/>
                <w:color w:val="auto"/>
              </w:rPr>
            </w:pPr>
            <w:r>
              <w:rPr>
                <w:rFonts w:ascii="Arial" w:cs="Arial" w:eastAsia="Arial" w:hAnsi="Arial"/>
                <w:sz w:val="17"/>
                <w:szCs w:val="17"/>
                <w:color w:val="auto"/>
              </w:rPr>
              <w:t>388,502</w:t>
            </w:r>
          </w:p>
        </w:tc>
        <w:tc>
          <w:tcPr>
            <w:tcW w:w="100" w:type="dxa"/>
            <w:vAlign w:val="bottom"/>
          </w:tcPr>
          <w:p>
            <w:pPr>
              <w:spacing w:after="0"/>
              <w:rPr>
                <w:sz w:val="19"/>
                <w:szCs w:val="19"/>
                <w:color w:val="auto"/>
              </w:rPr>
            </w:pPr>
          </w:p>
        </w:tc>
        <w:tc>
          <w:tcPr>
            <w:tcW w:w="22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36"/>
              <w:spacing w:after="0"/>
              <w:rPr>
                <w:sz w:val="20"/>
                <w:szCs w:val="20"/>
                <w:color w:val="auto"/>
              </w:rPr>
            </w:pPr>
            <w:r>
              <w:rPr>
                <w:rFonts w:ascii="Arial" w:cs="Arial" w:eastAsia="Arial" w:hAnsi="Arial"/>
                <w:sz w:val="17"/>
                <w:szCs w:val="17"/>
                <w:color w:val="auto"/>
              </w:rPr>
              <w:t>120,212</w:t>
            </w:r>
          </w:p>
        </w:tc>
        <w:tc>
          <w:tcPr>
            <w:tcW w:w="100" w:type="dxa"/>
            <w:vAlign w:val="bottom"/>
          </w:tcPr>
          <w:p>
            <w:pPr>
              <w:spacing w:after="0"/>
              <w:rPr>
                <w:sz w:val="19"/>
                <w:szCs w:val="19"/>
                <w:color w:val="auto"/>
              </w:rPr>
            </w:pPr>
          </w:p>
        </w:tc>
        <w:tc>
          <w:tcPr>
            <w:tcW w:w="280" w:type="dxa"/>
            <w:vAlign w:val="bottom"/>
          </w:tcPr>
          <w:p>
            <w:pPr>
              <w:jc w:val="right"/>
              <w:ind w:right="76"/>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16"/>
              <w:spacing w:after="0"/>
              <w:rPr>
                <w:sz w:val="20"/>
                <w:szCs w:val="20"/>
                <w:color w:val="auto"/>
              </w:rPr>
            </w:pPr>
            <w:r>
              <w:rPr>
                <w:rFonts w:ascii="Arial" w:cs="Arial" w:eastAsia="Arial" w:hAnsi="Arial"/>
                <w:sz w:val="17"/>
                <w:szCs w:val="17"/>
                <w:color w:val="auto"/>
              </w:rPr>
              <w:t>508,714</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36"/>
              <w:spacing w:after="0"/>
              <w:rPr>
                <w:sz w:val="20"/>
                <w:szCs w:val="20"/>
                <w:color w:val="auto"/>
              </w:rPr>
            </w:pPr>
            <w:r>
              <w:rPr>
                <w:rFonts w:ascii="Arial" w:cs="Arial" w:eastAsia="Arial" w:hAnsi="Arial"/>
                <w:sz w:val="17"/>
                <w:szCs w:val="17"/>
                <w:color w:val="auto"/>
              </w:rPr>
              <w:t>376,943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ind w:right="16"/>
              <w:spacing w:after="0"/>
              <w:rPr>
                <w:sz w:val="20"/>
                <w:szCs w:val="20"/>
                <w:color w:val="auto"/>
              </w:rPr>
            </w:pPr>
            <w:r>
              <w:rPr>
                <w:rFonts w:ascii="Arial" w:cs="Arial" w:eastAsia="Arial" w:hAnsi="Arial"/>
                <w:sz w:val="17"/>
                <w:szCs w:val="17"/>
                <w:color w:val="auto"/>
              </w:rPr>
              <w:t>85,691</w:t>
            </w:r>
          </w:p>
        </w:tc>
        <w:tc>
          <w:tcPr>
            <w:tcW w:w="100" w:type="dxa"/>
            <w:vAlign w:val="bottom"/>
          </w:tcPr>
          <w:p>
            <w:pPr>
              <w:spacing w:after="0"/>
              <w:rPr>
                <w:sz w:val="19"/>
                <w:szCs w:val="19"/>
                <w:color w:val="auto"/>
              </w:rPr>
            </w:pPr>
          </w:p>
        </w:tc>
        <w:tc>
          <w:tcPr>
            <w:tcW w:w="280" w:type="dxa"/>
            <w:vAlign w:val="bottom"/>
          </w:tcPr>
          <w:p>
            <w:pPr>
              <w:jc w:val="right"/>
              <w:ind w:right="76"/>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16"/>
              <w:spacing w:after="0"/>
              <w:rPr>
                <w:sz w:val="20"/>
                <w:szCs w:val="20"/>
                <w:color w:val="auto"/>
              </w:rPr>
            </w:pPr>
            <w:r>
              <w:rPr>
                <w:rFonts w:ascii="Arial" w:cs="Arial" w:eastAsia="Arial" w:hAnsi="Arial"/>
                <w:sz w:val="17"/>
                <w:szCs w:val="17"/>
                <w:color w:val="auto"/>
              </w:rPr>
              <w:t>462,634</w:t>
            </w:r>
          </w:p>
        </w:tc>
      </w:tr>
      <w:tr>
        <w:trPr>
          <w:trHeight w:val="26"/>
        </w:trPr>
        <w:tc>
          <w:tcPr>
            <w:tcW w:w="2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15"/>
        </w:trPr>
        <w:tc>
          <w:tcPr>
            <w:tcW w:w="2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 of revenues (exclusive of</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40"/>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depreciation and amortization)</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256,078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76,094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332,172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242,014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54,787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296,801</w:t>
            </w:r>
          </w:p>
        </w:tc>
      </w:tr>
      <w:tr>
        <w:trPr>
          <w:trHeight w:val="279"/>
        </w:trPr>
        <w:tc>
          <w:tcPr>
            <w:tcW w:w="29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Gross profit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7"/>
                <w:szCs w:val="17"/>
                <w:color w:val="auto"/>
              </w:rPr>
              <w:t>132,424</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7"/>
                <w:szCs w:val="17"/>
                <w:color w:val="auto"/>
              </w:rPr>
              <w:t>$</w:t>
            </w:r>
          </w:p>
        </w:tc>
        <w:tc>
          <w:tcPr>
            <w:tcW w:w="10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7"/>
                <w:szCs w:val="17"/>
                <w:color w:val="auto"/>
              </w:rPr>
              <w:t>44,118</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7"/>
                <w:szCs w:val="17"/>
                <w:color w:val="auto"/>
              </w:rPr>
              <w:t>176,542</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7"/>
                <w:szCs w:val="17"/>
                <w:color w:val="auto"/>
              </w:rPr>
              <w:t>134,929</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7"/>
                <w:szCs w:val="17"/>
                <w:color w:val="auto"/>
              </w:rPr>
              <w:t>30,904</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7"/>
                <w:szCs w:val="17"/>
                <w:color w:val="auto"/>
              </w:rPr>
              <w:t>$</w:t>
            </w:r>
          </w:p>
        </w:tc>
        <w:tc>
          <w:tcPr>
            <w:tcW w:w="9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7"/>
                <w:szCs w:val="17"/>
                <w:color w:val="auto"/>
              </w:rPr>
              <w:t>165,833</w:t>
            </w:r>
          </w:p>
        </w:tc>
      </w:tr>
      <w:tr>
        <w:trPr>
          <w:trHeight w:val="217"/>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Operating expenses</w:t>
            </w:r>
          </w:p>
        </w:tc>
        <w:tc>
          <w:tcPr>
            <w:tcW w:w="1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126,495</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116,368</w:t>
            </w:r>
          </w:p>
        </w:tc>
      </w:tr>
      <w:tr>
        <w:trPr>
          <w:trHeight w:val="215"/>
        </w:trPr>
        <w:tc>
          <w:tcPr>
            <w:tcW w:w="2960" w:type="dxa"/>
            <w:vAlign w:val="bottom"/>
          </w:tcPr>
          <w:p>
            <w:pPr>
              <w:ind w:left="20"/>
              <w:spacing w:after="0"/>
              <w:rPr>
                <w:sz w:val="20"/>
                <w:szCs w:val="20"/>
                <w:color w:val="auto"/>
              </w:rPr>
            </w:pPr>
            <w:r>
              <w:rPr>
                <w:rFonts w:ascii="Arial" w:cs="Arial" w:eastAsia="Arial" w:hAnsi="Arial"/>
                <w:sz w:val="17"/>
                <w:szCs w:val="17"/>
                <w:color w:val="auto"/>
                <w:w w:val="91"/>
              </w:rPr>
              <w:t>Foreign exchange gain and Other income,</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4"/>
        </w:trPr>
        <w:tc>
          <w:tcPr>
            <w:tcW w:w="2960" w:type="dxa"/>
            <w:vAlign w:val="bottom"/>
          </w:tcPr>
          <w:p>
            <w:pPr>
              <w:ind w:left="20"/>
              <w:spacing w:after="0"/>
              <w:rPr>
                <w:sz w:val="20"/>
                <w:szCs w:val="20"/>
                <w:color w:val="auto"/>
              </w:rPr>
            </w:pPr>
            <w:r>
              <w:rPr>
                <w:rFonts w:ascii="Arial" w:cs="Arial" w:eastAsia="Arial" w:hAnsi="Arial"/>
                <w:sz w:val="17"/>
                <w:szCs w:val="17"/>
                <w:color w:val="auto"/>
              </w:rPr>
              <w:t>net</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16"/>
              <w:spacing w:after="0"/>
              <w:rPr>
                <w:sz w:val="20"/>
                <w:szCs w:val="20"/>
                <w:color w:val="auto"/>
              </w:rPr>
            </w:pPr>
            <w:r>
              <w:rPr>
                <w:rFonts w:ascii="Arial" w:cs="Arial" w:eastAsia="Arial" w:hAnsi="Arial"/>
                <w:sz w:val="17"/>
                <w:szCs w:val="17"/>
                <w:color w:val="auto"/>
              </w:rPr>
              <w:t>14,747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16"/>
              <w:spacing w:after="0"/>
              <w:rPr>
                <w:sz w:val="20"/>
                <w:szCs w:val="20"/>
                <w:color w:val="auto"/>
              </w:rPr>
            </w:pPr>
            <w:r>
              <w:rPr>
                <w:rFonts w:ascii="Arial" w:cs="Arial" w:eastAsia="Arial" w:hAnsi="Arial"/>
                <w:sz w:val="17"/>
                <w:szCs w:val="17"/>
                <w:color w:val="auto"/>
              </w:rPr>
              <w:t>6,647</w:t>
            </w:r>
          </w:p>
        </w:tc>
      </w:tr>
      <w:tr>
        <w:trPr>
          <w:trHeight w:val="26"/>
        </w:trPr>
        <w:tc>
          <w:tcPr>
            <w:tcW w:w="2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3"/>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Income tax expense</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18,549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19,309</w:t>
            </w:r>
          </w:p>
        </w:tc>
      </w:tr>
      <w:tr>
        <w:trPr>
          <w:trHeight w:val="239"/>
        </w:trPr>
        <w:tc>
          <w:tcPr>
            <w:tcW w:w="2960" w:type="dxa"/>
            <w:vAlign w:val="bottom"/>
          </w:tcPr>
          <w:p>
            <w:pPr>
              <w:ind w:left="20"/>
              <w:spacing w:after="0"/>
              <w:rPr>
                <w:sz w:val="20"/>
                <w:szCs w:val="20"/>
                <w:color w:val="auto"/>
              </w:rPr>
            </w:pPr>
            <w:r>
              <w:rPr>
                <w:rFonts w:ascii="Arial" w:cs="Arial" w:eastAsia="Arial" w:hAnsi="Arial"/>
                <w:sz w:val="17"/>
                <w:szCs w:val="17"/>
                <w:color w:val="auto"/>
              </w:rPr>
              <w:t>Net income</w:t>
            </w: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7"/>
                <w:szCs w:val="17"/>
                <w:color w:val="auto"/>
              </w:rPr>
              <w:t>46,245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7"/>
                <w:szCs w:val="17"/>
                <w:color w:val="auto"/>
              </w:rPr>
              <w:t>$</w:t>
            </w:r>
          </w:p>
        </w:tc>
        <w:tc>
          <w:tcPr>
            <w:tcW w:w="9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7"/>
                <w:szCs w:val="17"/>
                <w:color w:val="auto"/>
              </w:rPr>
              <w:t>36,803</w:t>
            </w:r>
          </w:p>
        </w:tc>
      </w:tr>
      <w:tr>
        <w:trPr>
          <w:trHeight w:val="20"/>
        </w:trPr>
        <w:tc>
          <w:tcPr>
            <w:tcW w:w="2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Business Combination, Goodwill and Intangible Assets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 Liss Systems Limited</w:t>
      </w:r>
    </w:p>
    <w:p>
      <w:pPr>
        <w:spacing w:after="0" w:line="108" w:lineRule="exact"/>
        <w:rPr>
          <w:sz w:val="20"/>
          <w:szCs w:val="20"/>
          <w:color w:val="auto"/>
        </w:rPr>
      </w:pPr>
    </w:p>
    <w:p>
      <w:pPr>
        <w:jc w:val="both"/>
        <w:ind w:firstLine="379"/>
        <w:spacing w:after="0" w:line="271" w:lineRule="auto"/>
        <w:rPr>
          <w:sz w:val="20"/>
          <w:szCs w:val="20"/>
          <w:color w:val="auto"/>
        </w:rPr>
      </w:pPr>
      <w:r>
        <w:rPr>
          <w:rFonts w:ascii="Arial" w:cs="Arial" w:eastAsia="Arial" w:hAnsi="Arial"/>
          <w:sz w:val="17"/>
          <w:szCs w:val="17"/>
          <w:color w:val="auto"/>
        </w:rPr>
        <w:t>On July 1, 2016, the Company together with its subsidiary ExlService (UK) Limited ("Exl UK"), entered into a share purchase agreement (the “Liss Agreement”) for the purchase of Liss Systems Limited ("Liss").</w:t>
      </w:r>
    </w:p>
    <w:p>
      <w:pPr>
        <w:spacing w:after="0" w:line="64" w:lineRule="exact"/>
        <w:rPr>
          <w:sz w:val="20"/>
          <w:szCs w:val="20"/>
          <w:color w:val="auto"/>
        </w:rPr>
      </w:pPr>
    </w:p>
    <w:p>
      <w:pPr>
        <w:jc w:val="both"/>
        <w:ind w:firstLine="379"/>
        <w:spacing w:after="0" w:line="259" w:lineRule="auto"/>
        <w:rPr>
          <w:sz w:val="20"/>
          <w:szCs w:val="20"/>
          <w:color w:val="auto"/>
        </w:rPr>
      </w:pPr>
      <w:r>
        <w:rPr>
          <w:rFonts w:ascii="Arial" w:cs="Arial" w:eastAsia="Arial" w:hAnsi="Arial"/>
          <w:sz w:val="17"/>
          <w:szCs w:val="17"/>
          <w:color w:val="auto"/>
        </w:rPr>
        <w:t>Pursuant to the Liss Agreement, Exl UK purchased all of the issued and outstanding share capital of Liss from the Liss shareholders for cash consideration of $5,202, including negative working capital adjustments of $603. A portion of the purchase consideration otherwise payable was placed into escrow as security for the post-closing indemnification obligations under the Liss Agreement.</w:t>
      </w:r>
    </w:p>
    <w:p>
      <w:pPr>
        <w:spacing w:after="0" w:line="75" w:lineRule="exact"/>
        <w:rPr>
          <w:sz w:val="20"/>
          <w:szCs w:val="20"/>
          <w:color w:val="auto"/>
        </w:rPr>
      </w:pPr>
    </w:p>
    <w:p>
      <w:pPr>
        <w:jc w:val="both"/>
        <w:ind w:firstLine="379"/>
        <w:spacing w:after="0" w:line="259" w:lineRule="auto"/>
        <w:rPr>
          <w:sz w:val="20"/>
          <w:szCs w:val="20"/>
          <w:color w:val="auto"/>
        </w:rPr>
      </w:pPr>
      <w:r>
        <w:rPr>
          <w:rFonts w:ascii="Arial" w:cs="Arial" w:eastAsia="Arial" w:hAnsi="Arial"/>
          <w:sz w:val="17"/>
          <w:szCs w:val="17"/>
          <w:color w:val="auto"/>
        </w:rPr>
        <w:t>The Company also issued 33,459 shares of restricted common stock with an aggregate fair value of $1,754 to certain key employees of Liss, each of whom accepted employment positions with the Company upon consummation of the combination. The fair value of these grants will be recognized as compensation expense over the vesting period.</w:t>
      </w:r>
    </w:p>
    <w:p>
      <w:pPr>
        <w:spacing w:after="0" w:line="75" w:lineRule="exact"/>
        <w:rPr>
          <w:sz w:val="20"/>
          <w:szCs w:val="20"/>
          <w:color w:val="auto"/>
        </w:rPr>
      </w:pPr>
    </w:p>
    <w:p>
      <w:pPr>
        <w:jc w:val="both"/>
        <w:ind w:firstLine="379"/>
        <w:spacing w:after="0" w:line="259" w:lineRule="auto"/>
        <w:rPr>
          <w:sz w:val="20"/>
          <w:szCs w:val="20"/>
          <w:color w:val="auto"/>
        </w:rPr>
      </w:pPr>
      <w:r>
        <w:rPr>
          <w:rFonts w:ascii="Arial" w:cs="Arial" w:eastAsia="Arial" w:hAnsi="Arial"/>
          <w:sz w:val="17"/>
          <w:szCs w:val="17"/>
          <w:color w:val="auto"/>
        </w:rPr>
        <w:t>Liss, now a subsidiary of the Company, is a provider of policy administration solutions for the life and pensions industry, combining both depth of life industry knowledge with expertise in the design and delivery of core system solutions. Liss’s flagship "LISSIA" platform includes multi-channel interfaces, underwriting, workflow engines, and document production modules to</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420"/>
          </w:cols>
          <w:pgMar w:left="240" w:top="123" w:right="239" w:bottom="1440" w:gutter="0" w:footer="0" w:header="0"/>
        </w:sectPr>
      </w:pPr>
    </w:p>
    <w:bookmarkStart w:id="12" w:name="page13"/>
    <w:bookmarkEnd w:id="12"/>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23" w:lineRule="exact"/>
        <w:rPr>
          <w:sz w:val="20"/>
          <w:szCs w:val="20"/>
          <w:color w:val="auto"/>
        </w:rPr>
      </w:pPr>
    </w:p>
    <w:p>
      <w:pPr>
        <w:ind w:left="4480"/>
        <w:spacing w:after="0"/>
        <w:rPr>
          <w:sz w:val="20"/>
          <w:szCs w:val="20"/>
          <w:color w:val="auto"/>
        </w:rPr>
      </w:pPr>
      <w:r>
        <w:rPr>
          <w:rFonts w:ascii="Arial" w:cs="Arial" w:eastAsia="Arial" w:hAnsi="Arial"/>
          <w:sz w:val="17"/>
          <w:szCs w:val="17"/>
          <w:b w:val="1"/>
          <w:bCs w:val="1"/>
          <w:color w:val="auto"/>
        </w:rPr>
        <w:t>EXLSERVICE HOLDINGS, INC.</w:t>
      </w:r>
    </w:p>
    <w:p>
      <w:pPr>
        <w:spacing w:after="0" w:line="92" w:lineRule="exact"/>
        <w:rPr>
          <w:sz w:val="20"/>
          <w:szCs w:val="20"/>
          <w:color w:val="auto"/>
        </w:rPr>
      </w:pPr>
    </w:p>
    <w:p>
      <w:pPr>
        <w:ind w:left="2480"/>
        <w:spacing w:after="0"/>
        <w:rPr>
          <w:sz w:val="20"/>
          <w:szCs w:val="20"/>
          <w:color w:val="auto"/>
        </w:rPr>
      </w:pPr>
      <w:r>
        <w:rPr>
          <w:rFonts w:ascii="Arial" w:cs="Arial" w:eastAsia="Arial" w:hAnsi="Arial"/>
          <w:sz w:val="17"/>
          <w:szCs w:val="17"/>
          <w:b w:val="1"/>
          <w:bCs w:val="1"/>
          <w:color w:val="auto"/>
        </w:rPr>
        <w:t>NOTES TO UNAUDITED CONSOLIDATED FINANCIAL STATEMENTS—(continued)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September 30, 2016</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00" w:lineRule="exact"/>
        <w:rPr>
          <w:sz w:val="20"/>
          <w:szCs w:val="20"/>
          <w:color w:val="auto"/>
        </w:rPr>
      </w:pPr>
    </w:p>
    <w:p>
      <w:pPr>
        <w:spacing w:after="0" w:line="33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automate new policy issuance and simplify policy administration. With its flexible architecture, LISSIA is used for both traditional and unit-linked life and investment products.</w:t>
      </w:r>
    </w:p>
    <w:p>
      <w:pPr>
        <w:spacing w:after="0" w:line="51" w:lineRule="exact"/>
        <w:rPr>
          <w:sz w:val="20"/>
          <w:szCs w:val="20"/>
          <w:color w:val="auto"/>
        </w:rPr>
      </w:pPr>
    </w:p>
    <w:p>
      <w:pPr>
        <w:jc w:val="both"/>
        <w:ind w:firstLine="379"/>
        <w:spacing w:after="0" w:line="246" w:lineRule="auto"/>
        <w:rPr>
          <w:sz w:val="20"/>
          <w:szCs w:val="20"/>
          <w:color w:val="auto"/>
        </w:rPr>
      </w:pPr>
      <w:r>
        <w:rPr>
          <w:rFonts w:ascii="Arial" w:cs="Arial" w:eastAsia="Arial" w:hAnsi="Arial"/>
          <w:sz w:val="16"/>
          <w:szCs w:val="16"/>
          <w:color w:val="auto"/>
        </w:rPr>
        <w:t>Liss’s technology platform combined with EXL platforms’ such as LifePRO</w:t>
      </w:r>
      <w:r>
        <w:rPr>
          <w:rFonts w:ascii="Arial" w:cs="Arial" w:eastAsia="Arial" w:hAnsi="Arial"/>
          <w:sz w:val="22"/>
          <w:szCs w:val="22"/>
          <w:color w:val="auto"/>
          <w:vertAlign w:val="superscript"/>
        </w:rPr>
        <w:t>®</w:t>
      </w:r>
      <w:r>
        <w:rPr>
          <w:rFonts w:ascii="Arial" w:cs="Arial" w:eastAsia="Arial" w:hAnsi="Arial"/>
          <w:sz w:val="16"/>
          <w:szCs w:val="16"/>
          <w:color w:val="auto"/>
        </w:rPr>
        <w:t xml:space="preserve"> will automate key customer processes from new business to policy administration with very little human interactions. The acquisition enables expansion of the Company’s solution set for the insurance market, and is expected to strengthen EXL’s end-to-end offering and bolster its position as a leader in the insurance industry. Accordingly, the Company paid a premium for the acquisition which is being reflected in the goodwill recognized from the purchase price allocation of the total consideration paid by the Company.</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Company has preliminarily allocated the purchase price to the net tangible and intangible assets based on their fair values as set forth below:</w:t>
      </w:r>
    </w:p>
    <w:p>
      <w:pPr>
        <w:spacing w:after="0" w:line="247" w:lineRule="exact"/>
        <w:rPr>
          <w:sz w:val="20"/>
          <w:szCs w:val="20"/>
          <w:color w:val="auto"/>
        </w:rPr>
      </w:pPr>
    </w:p>
    <w:tbl>
      <w:tblPr>
        <w:tblLayout w:type="fixed"/>
        <w:tblInd w:w="2980" w:type="dxa"/>
        <w:tblCellMar>
          <w:top w:w="0" w:type="dxa"/>
          <w:left w:w="0" w:type="dxa"/>
          <w:bottom w:w="0" w:type="dxa"/>
          <w:right w:w="0" w:type="dxa"/>
        </w:tblCellMar>
      </w:tblPr>
      <w:tr>
        <w:trPr>
          <w:trHeight w:val="245"/>
        </w:trPr>
        <w:tc>
          <w:tcPr>
            <w:tcW w:w="376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7"/>
                <w:szCs w:val="17"/>
                <w:b w:val="1"/>
                <w:bCs w:val="1"/>
                <w:color w:val="auto"/>
              </w:rPr>
              <w:t>Amount</w:t>
            </w:r>
          </w:p>
        </w:tc>
      </w:tr>
      <w:tr>
        <w:trPr>
          <w:trHeight w:val="227"/>
        </w:trPr>
        <w:tc>
          <w:tcPr>
            <w:tcW w:w="3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ind w:right="236"/>
              <w:spacing w:after="0"/>
              <w:rPr>
                <w:sz w:val="20"/>
                <w:szCs w:val="20"/>
                <w:color w:val="auto"/>
              </w:rPr>
            </w:pPr>
            <w:r>
              <w:rPr>
                <w:rFonts w:ascii="Arial" w:cs="Arial" w:eastAsia="Arial" w:hAnsi="Arial"/>
                <w:sz w:val="17"/>
                <w:szCs w:val="17"/>
                <w:b w:val="1"/>
                <w:bCs w:val="1"/>
                <w:color w:val="auto"/>
                <w:w w:val="97"/>
              </w:rPr>
              <w:t>(In thousands)</w:t>
            </w:r>
          </w:p>
        </w:tc>
      </w:tr>
      <w:tr>
        <w:trPr>
          <w:trHeight w:val="26"/>
        </w:trPr>
        <w:tc>
          <w:tcPr>
            <w:tcW w:w="3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3"/>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Tangible assets</w:t>
            </w:r>
          </w:p>
        </w:tc>
        <w:tc>
          <w:tcPr>
            <w:tcW w:w="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w w:val="84"/>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498</w:t>
            </w:r>
          </w:p>
        </w:tc>
      </w:tr>
      <w:tr>
        <w:trPr>
          <w:trHeight w:val="227"/>
        </w:trPr>
        <w:tc>
          <w:tcPr>
            <w:tcW w:w="3760" w:type="dxa"/>
            <w:vAlign w:val="bottom"/>
          </w:tcPr>
          <w:p>
            <w:pPr>
              <w:ind w:left="20"/>
              <w:spacing w:after="0"/>
              <w:rPr>
                <w:sz w:val="20"/>
                <w:szCs w:val="20"/>
                <w:color w:val="auto"/>
              </w:rPr>
            </w:pPr>
            <w:r>
              <w:rPr>
                <w:rFonts w:ascii="Arial" w:cs="Arial" w:eastAsia="Arial" w:hAnsi="Arial"/>
                <w:sz w:val="17"/>
                <w:szCs w:val="17"/>
                <w:color w:val="auto"/>
              </w:rPr>
              <w:t>Tangible liabilities</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(993)</w:t>
            </w:r>
          </w:p>
        </w:tc>
      </w:tr>
      <w:tr>
        <w:trPr>
          <w:trHeight w:val="26"/>
        </w:trPr>
        <w:tc>
          <w:tcPr>
            <w:tcW w:w="3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3"/>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Deferred tax liability</w:t>
            </w:r>
          </w:p>
        </w:tc>
        <w:tc>
          <w:tcPr>
            <w:tcW w:w="2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(643)</w:t>
            </w:r>
          </w:p>
        </w:tc>
      </w:tr>
      <w:tr>
        <w:trPr>
          <w:trHeight w:val="227"/>
        </w:trPr>
        <w:tc>
          <w:tcPr>
            <w:tcW w:w="3760" w:type="dxa"/>
            <w:vAlign w:val="bottom"/>
          </w:tcPr>
          <w:p>
            <w:pPr>
              <w:ind w:left="20"/>
              <w:spacing w:after="0"/>
              <w:rPr>
                <w:sz w:val="20"/>
                <w:szCs w:val="20"/>
                <w:color w:val="auto"/>
              </w:rPr>
            </w:pPr>
            <w:r>
              <w:rPr>
                <w:rFonts w:ascii="Arial" w:cs="Arial" w:eastAsia="Arial" w:hAnsi="Arial"/>
                <w:sz w:val="17"/>
                <w:szCs w:val="17"/>
                <w:color w:val="auto"/>
              </w:rPr>
              <w:t>Identifiable intangible assets:</w:t>
            </w: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6"/>
        </w:trPr>
        <w:tc>
          <w:tcPr>
            <w:tcW w:w="3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3"/>
        </w:trPr>
        <w:tc>
          <w:tcPr>
            <w:tcW w:w="3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Customer relationships</w:t>
            </w:r>
          </w:p>
        </w:tc>
        <w:tc>
          <w:tcPr>
            <w:tcW w:w="2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1,918</w:t>
            </w:r>
          </w:p>
        </w:tc>
      </w:tr>
      <w:tr>
        <w:trPr>
          <w:trHeight w:val="227"/>
        </w:trPr>
        <w:tc>
          <w:tcPr>
            <w:tcW w:w="3760" w:type="dxa"/>
            <w:vAlign w:val="bottom"/>
          </w:tcPr>
          <w:p>
            <w:pPr>
              <w:ind w:left="160"/>
              <w:spacing w:after="0"/>
              <w:rPr>
                <w:sz w:val="20"/>
                <w:szCs w:val="20"/>
                <w:color w:val="auto"/>
              </w:rPr>
            </w:pPr>
            <w:r>
              <w:rPr>
                <w:rFonts w:ascii="Arial" w:cs="Arial" w:eastAsia="Arial" w:hAnsi="Arial"/>
                <w:sz w:val="17"/>
                <w:szCs w:val="17"/>
                <w:color w:val="auto"/>
              </w:rPr>
              <w:t>Developed technology</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1,571</w:t>
            </w:r>
          </w:p>
        </w:tc>
      </w:tr>
      <w:tr>
        <w:trPr>
          <w:trHeight w:val="26"/>
        </w:trPr>
        <w:tc>
          <w:tcPr>
            <w:tcW w:w="3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3"/>
        </w:trPr>
        <w:tc>
          <w:tcPr>
            <w:tcW w:w="3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Trade names and trademarks</w:t>
            </w:r>
          </w:p>
        </w:tc>
        <w:tc>
          <w:tcPr>
            <w:tcW w:w="2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231</w:t>
            </w:r>
          </w:p>
        </w:tc>
      </w:tr>
      <w:tr>
        <w:trPr>
          <w:trHeight w:val="227"/>
        </w:trPr>
        <w:tc>
          <w:tcPr>
            <w:tcW w:w="3760" w:type="dxa"/>
            <w:vAlign w:val="bottom"/>
          </w:tcPr>
          <w:p>
            <w:pPr>
              <w:ind w:left="20"/>
              <w:spacing w:after="0"/>
              <w:rPr>
                <w:sz w:val="20"/>
                <w:szCs w:val="20"/>
                <w:color w:val="auto"/>
              </w:rPr>
            </w:pPr>
            <w:r>
              <w:rPr>
                <w:rFonts w:ascii="Arial" w:cs="Arial" w:eastAsia="Arial" w:hAnsi="Arial"/>
                <w:sz w:val="17"/>
                <w:szCs w:val="17"/>
                <w:color w:val="auto"/>
              </w:rPr>
              <w:t>Goodwill</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2,620</w:t>
            </w:r>
          </w:p>
        </w:tc>
      </w:tr>
      <w:tr>
        <w:trPr>
          <w:trHeight w:val="26"/>
        </w:trPr>
        <w:tc>
          <w:tcPr>
            <w:tcW w:w="37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9"/>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purchase price</w:t>
            </w:r>
          </w:p>
        </w:tc>
        <w:tc>
          <w:tcPr>
            <w:tcW w:w="2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w w:val="84"/>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5,202</w:t>
            </w:r>
          </w:p>
        </w:tc>
      </w:tr>
      <w:tr>
        <w:trPr>
          <w:trHeight w:val="20"/>
        </w:trPr>
        <w:tc>
          <w:tcPr>
            <w:tcW w:w="3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amount of goodwill recognized from the Liss acquisition is not deductible for tax purposes.</w:t>
      </w:r>
    </w:p>
    <w:p>
      <w:pPr>
        <w:spacing w:after="0" w:line="108" w:lineRule="exact"/>
        <w:rPr>
          <w:sz w:val="20"/>
          <w:szCs w:val="20"/>
          <w:color w:val="auto"/>
        </w:rPr>
      </w:pPr>
    </w:p>
    <w:p>
      <w:pPr>
        <w:jc w:val="both"/>
        <w:ind w:firstLine="379"/>
        <w:spacing w:after="0" w:line="271" w:lineRule="auto"/>
        <w:rPr>
          <w:sz w:val="20"/>
          <w:szCs w:val="20"/>
          <w:color w:val="auto"/>
        </w:rPr>
      </w:pPr>
      <w:r>
        <w:rPr>
          <w:rFonts w:ascii="Arial" w:cs="Arial" w:eastAsia="Arial" w:hAnsi="Arial"/>
          <w:sz w:val="17"/>
          <w:szCs w:val="17"/>
          <w:color w:val="auto"/>
        </w:rPr>
        <w:t>The customer relationships, developed technology and trade names and trademarks intangibles from the Liss acquisition are being amortized over a useful life of eight, ten and five years, respectively.</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 IQR Consulting Inc.</w:t>
      </w:r>
    </w:p>
    <w:p>
      <w:pPr>
        <w:spacing w:after="0" w:line="108" w:lineRule="exact"/>
        <w:rPr>
          <w:sz w:val="20"/>
          <w:szCs w:val="20"/>
          <w:color w:val="auto"/>
        </w:rPr>
      </w:pPr>
    </w:p>
    <w:p>
      <w:pPr>
        <w:jc w:val="both"/>
        <w:ind w:firstLine="379"/>
        <w:spacing w:after="0" w:line="271" w:lineRule="auto"/>
        <w:rPr>
          <w:sz w:val="20"/>
          <w:szCs w:val="20"/>
          <w:color w:val="auto"/>
        </w:rPr>
      </w:pPr>
      <w:r>
        <w:rPr>
          <w:rFonts w:ascii="Arial" w:cs="Arial" w:eastAsia="Arial" w:hAnsi="Arial"/>
          <w:sz w:val="17"/>
          <w:szCs w:val="17"/>
          <w:color w:val="auto"/>
        </w:rPr>
        <w:t>On September 1, 2016, the Company's subsidiary, ExlService.com, LLC ("EXL LLC"), entered into a share purchase agreement (the “IQR Agreement”) for the purchase of IQR Consulting Inc. ("IQR").</w:t>
      </w:r>
    </w:p>
    <w:p>
      <w:pPr>
        <w:spacing w:after="0" w:line="64" w:lineRule="exact"/>
        <w:rPr>
          <w:sz w:val="20"/>
          <w:szCs w:val="20"/>
          <w:color w:val="auto"/>
        </w:rPr>
      </w:pPr>
    </w:p>
    <w:p>
      <w:pPr>
        <w:jc w:val="both"/>
        <w:ind w:firstLine="379"/>
        <w:spacing w:after="0" w:line="255" w:lineRule="auto"/>
        <w:rPr>
          <w:sz w:val="20"/>
          <w:szCs w:val="20"/>
          <w:color w:val="auto"/>
        </w:rPr>
      </w:pPr>
      <w:r>
        <w:rPr>
          <w:rFonts w:ascii="Arial" w:cs="Arial" w:eastAsia="Arial" w:hAnsi="Arial"/>
          <w:sz w:val="17"/>
          <w:szCs w:val="17"/>
          <w:color w:val="auto"/>
        </w:rPr>
        <w:t>Pursuant to the IQR Agreement, Exl LLC has purchased all of the issued and outstanding share capital of IQR from the IQR shareholders for an initial cash consideration of $5,052 (including a working capital adjustment of $652) and contingent cash consideration of $500 to be paid in the event of the renewal of a key client contract. A portion of the purchase consideration otherwise payable was placed into escrow as security for post-closing working capital adjustments and the indemnification obligations under the IQR Agreement.</w:t>
      </w:r>
    </w:p>
    <w:p>
      <w:pPr>
        <w:spacing w:after="0" w:line="79" w:lineRule="exact"/>
        <w:rPr>
          <w:sz w:val="20"/>
          <w:szCs w:val="20"/>
          <w:color w:val="auto"/>
        </w:rPr>
      </w:pPr>
    </w:p>
    <w:p>
      <w:pPr>
        <w:jc w:val="both"/>
        <w:ind w:firstLine="379"/>
        <w:spacing w:after="0" w:line="259" w:lineRule="auto"/>
        <w:rPr>
          <w:sz w:val="20"/>
          <w:szCs w:val="20"/>
          <w:color w:val="auto"/>
        </w:rPr>
      </w:pPr>
      <w:r>
        <w:rPr>
          <w:rFonts w:ascii="Arial" w:cs="Arial" w:eastAsia="Arial" w:hAnsi="Arial"/>
          <w:sz w:val="17"/>
          <w:szCs w:val="17"/>
          <w:color w:val="auto"/>
        </w:rPr>
        <w:t>The Company also issued 21,987 restricted stock units with an aggregate fair value of $1,125 to certain key employees of IQR, each of whom accepted employment positions with the Company upon consummation of the combination. The fair value of these grants will be recognized as compensation expense over the vesting period.</w:t>
      </w:r>
    </w:p>
    <w:p>
      <w:pPr>
        <w:spacing w:after="0" w:line="75" w:lineRule="exact"/>
        <w:rPr>
          <w:sz w:val="20"/>
          <w:szCs w:val="20"/>
          <w:color w:val="auto"/>
        </w:rPr>
      </w:pPr>
    </w:p>
    <w:p>
      <w:pPr>
        <w:jc w:val="both"/>
        <w:ind w:firstLine="379"/>
        <w:spacing w:after="0" w:line="252" w:lineRule="auto"/>
        <w:rPr>
          <w:sz w:val="20"/>
          <w:szCs w:val="20"/>
          <w:color w:val="auto"/>
        </w:rPr>
      </w:pPr>
      <w:r>
        <w:rPr>
          <w:rFonts w:ascii="Arial" w:cs="Arial" w:eastAsia="Arial" w:hAnsi="Arial"/>
          <w:sz w:val="17"/>
          <w:szCs w:val="17"/>
          <w:color w:val="auto"/>
        </w:rPr>
        <w:t>IQR, now a subsidiary of the Company, is a U.S.-based provider of marketing and risk analytics solutions to super-regional banks and credit unions. IQR specializes in data analytics and strategic consulting services. IQR’s industry focus aligns well with the Company's Analytics strengths and the Company anticipates the acquisition will bring even more value to its clients by enhancing customer satisfaction, increasing revenue growth and minimizing risk. The acquisition furthers penetration into super-regional banks, as well as the underserved credit union market, which we expect will increase the amount of business impact that is delivered to the Company's clients. Accordingly, the Company paid a premium for the acquisition, which is reflected in the goodwill recognized from the purchase price allocation of the total consideration paid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420"/>
          </w:cols>
          <w:pgMar w:left="240" w:top="123" w:right="239" w:bottom="1440" w:gutter="0" w:footer="0" w:header="0"/>
        </w:sectPr>
      </w:pPr>
    </w:p>
    <w:bookmarkStart w:id="13" w:name="page14"/>
    <w:bookmarkEnd w:id="13"/>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23" w:lineRule="exact"/>
        <w:rPr>
          <w:sz w:val="20"/>
          <w:szCs w:val="20"/>
          <w:color w:val="auto"/>
        </w:rPr>
      </w:pPr>
    </w:p>
    <w:p>
      <w:pPr>
        <w:ind w:left="4480"/>
        <w:spacing w:after="0"/>
        <w:rPr>
          <w:sz w:val="20"/>
          <w:szCs w:val="20"/>
          <w:color w:val="auto"/>
        </w:rPr>
      </w:pPr>
      <w:r>
        <w:rPr>
          <w:rFonts w:ascii="Arial" w:cs="Arial" w:eastAsia="Arial" w:hAnsi="Arial"/>
          <w:sz w:val="17"/>
          <w:szCs w:val="17"/>
          <w:b w:val="1"/>
          <w:bCs w:val="1"/>
          <w:color w:val="auto"/>
        </w:rPr>
        <w:t>EXLSERVICE HOLDINGS, INC.</w:t>
      </w:r>
    </w:p>
    <w:p>
      <w:pPr>
        <w:spacing w:after="0" w:line="92" w:lineRule="exact"/>
        <w:rPr>
          <w:sz w:val="20"/>
          <w:szCs w:val="20"/>
          <w:color w:val="auto"/>
        </w:rPr>
      </w:pPr>
    </w:p>
    <w:p>
      <w:pPr>
        <w:ind w:left="2480"/>
        <w:spacing w:after="0"/>
        <w:rPr>
          <w:sz w:val="20"/>
          <w:szCs w:val="20"/>
          <w:color w:val="auto"/>
        </w:rPr>
      </w:pPr>
      <w:r>
        <w:rPr>
          <w:rFonts w:ascii="Arial" w:cs="Arial" w:eastAsia="Arial" w:hAnsi="Arial"/>
          <w:sz w:val="17"/>
          <w:szCs w:val="17"/>
          <w:b w:val="1"/>
          <w:bCs w:val="1"/>
          <w:color w:val="auto"/>
        </w:rPr>
        <w:t>NOTES TO UNAUDITED CONSOLIDATED FINANCIAL STATEMENTS—(continued)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September 30, 2016</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00" w:lineRule="exact"/>
        <w:rPr>
          <w:sz w:val="20"/>
          <w:szCs w:val="20"/>
          <w:color w:val="auto"/>
        </w:rPr>
      </w:pPr>
    </w:p>
    <w:p>
      <w:pPr>
        <w:spacing w:after="0" w:line="32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Company has preliminarily allocated the purchase price to the net tangible and intangible assets based on their fair values as set forth below:</w:t>
      </w:r>
    </w:p>
    <w:p>
      <w:pPr>
        <w:spacing w:after="0" w:line="247" w:lineRule="exact"/>
        <w:rPr>
          <w:sz w:val="20"/>
          <w:szCs w:val="20"/>
          <w:color w:val="auto"/>
        </w:rPr>
      </w:pPr>
    </w:p>
    <w:tbl>
      <w:tblPr>
        <w:tblLayout w:type="fixed"/>
        <w:tblInd w:w="2980" w:type="dxa"/>
        <w:tblCellMar>
          <w:top w:w="0" w:type="dxa"/>
          <w:left w:w="0" w:type="dxa"/>
          <w:bottom w:w="0" w:type="dxa"/>
          <w:right w:w="0" w:type="dxa"/>
        </w:tblCellMar>
      </w:tblPr>
      <w:tr>
        <w:trPr>
          <w:trHeight w:val="245"/>
        </w:trPr>
        <w:tc>
          <w:tcPr>
            <w:tcW w:w="376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7"/>
                <w:szCs w:val="17"/>
                <w:b w:val="1"/>
                <w:bCs w:val="1"/>
                <w:color w:val="auto"/>
              </w:rPr>
              <w:t>Amount</w:t>
            </w:r>
          </w:p>
        </w:tc>
      </w:tr>
      <w:tr>
        <w:trPr>
          <w:trHeight w:val="227"/>
        </w:trPr>
        <w:tc>
          <w:tcPr>
            <w:tcW w:w="3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ind w:right="236"/>
              <w:spacing w:after="0"/>
              <w:rPr>
                <w:sz w:val="20"/>
                <w:szCs w:val="20"/>
                <w:color w:val="auto"/>
              </w:rPr>
            </w:pPr>
            <w:r>
              <w:rPr>
                <w:rFonts w:ascii="Arial" w:cs="Arial" w:eastAsia="Arial" w:hAnsi="Arial"/>
                <w:sz w:val="17"/>
                <w:szCs w:val="17"/>
                <w:b w:val="1"/>
                <w:bCs w:val="1"/>
                <w:color w:val="auto"/>
                <w:w w:val="97"/>
              </w:rPr>
              <w:t>(In thousands)</w:t>
            </w:r>
          </w:p>
        </w:tc>
      </w:tr>
      <w:tr>
        <w:trPr>
          <w:trHeight w:val="26"/>
        </w:trPr>
        <w:tc>
          <w:tcPr>
            <w:tcW w:w="3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3"/>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Tangible assets</w:t>
            </w:r>
          </w:p>
        </w:tc>
        <w:tc>
          <w:tcPr>
            <w:tcW w:w="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w w:val="84"/>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1,438</w:t>
            </w:r>
          </w:p>
        </w:tc>
      </w:tr>
      <w:tr>
        <w:trPr>
          <w:trHeight w:val="227"/>
        </w:trPr>
        <w:tc>
          <w:tcPr>
            <w:tcW w:w="3760" w:type="dxa"/>
            <w:vAlign w:val="bottom"/>
          </w:tcPr>
          <w:p>
            <w:pPr>
              <w:ind w:left="20"/>
              <w:spacing w:after="0"/>
              <w:rPr>
                <w:sz w:val="20"/>
                <w:szCs w:val="20"/>
                <w:color w:val="auto"/>
              </w:rPr>
            </w:pPr>
            <w:r>
              <w:rPr>
                <w:rFonts w:ascii="Arial" w:cs="Arial" w:eastAsia="Arial" w:hAnsi="Arial"/>
                <w:sz w:val="17"/>
                <w:szCs w:val="17"/>
                <w:color w:val="auto"/>
              </w:rPr>
              <w:t>Tangible liabilities</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(527)</w:t>
            </w:r>
          </w:p>
        </w:tc>
      </w:tr>
      <w:tr>
        <w:trPr>
          <w:trHeight w:val="26"/>
        </w:trPr>
        <w:tc>
          <w:tcPr>
            <w:tcW w:w="3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3"/>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Deferred tax liability</w:t>
            </w:r>
          </w:p>
        </w:tc>
        <w:tc>
          <w:tcPr>
            <w:tcW w:w="2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(865)</w:t>
            </w:r>
          </w:p>
        </w:tc>
      </w:tr>
      <w:tr>
        <w:trPr>
          <w:trHeight w:val="227"/>
        </w:trPr>
        <w:tc>
          <w:tcPr>
            <w:tcW w:w="3760" w:type="dxa"/>
            <w:vAlign w:val="bottom"/>
          </w:tcPr>
          <w:p>
            <w:pPr>
              <w:ind w:left="20"/>
              <w:spacing w:after="0"/>
              <w:rPr>
                <w:sz w:val="20"/>
                <w:szCs w:val="20"/>
                <w:color w:val="auto"/>
              </w:rPr>
            </w:pPr>
            <w:r>
              <w:rPr>
                <w:rFonts w:ascii="Arial" w:cs="Arial" w:eastAsia="Arial" w:hAnsi="Arial"/>
                <w:sz w:val="17"/>
                <w:szCs w:val="17"/>
                <w:color w:val="auto"/>
              </w:rPr>
              <w:t>Identifiable intangible assets:</w:t>
            </w: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6"/>
        </w:trPr>
        <w:tc>
          <w:tcPr>
            <w:tcW w:w="3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3"/>
        </w:trPr>
        <w:tc>
          <w:tcPr>
            <w:tcW w:w="3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Customer relationships</w:t>
            </w:r>
          </w:p>
        </w:tc>
        <w:tc>
          <w:tcPr>
            <w:tcW w:w="2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2,300</w:t>
            </w:r>
          </w:p>
        </w:tc>
      </w:tr>
      <w:tr>
        <w:trPr>
          <w:trHeight w:val="227"/>
        </w:trPr>
        <w:tc>
          <w:tcPr>
            <w:tcW w:w="3760" w:type="dxa"/>
            <w:vAlign w:val="bottom"/>
          </w:tcPr>
          <w:p>
            <w:pPr>
              <w:ind w:left="20"/>
              <w:spacing w:after="0"/>
              <w:rPr>
                <w:sz w:val="20"/>
                <w:szCs w:val="20"/>
                <w:color w:val="auto"/>
              </w:rPr>
            </w:pPr>
            <w:r>
              <w:rPr>
                <w:rFonts w:ascii="Arial" w:cs="Arial" w:eastAsia="Arial" w:hAnsi="Arial"/>
                <w:sz w:val="17"/>
                <w:szCs w:val="17"/>
                <w:color w:val="auto"/>
              </w:rPr>
              <w:t>Goodwill</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3,206</w:t>
            </w:r>
          </w:p>
        </w:tc>
      </w:tr>
      <w:tr>
        <w:trPr>
          <w:trHeight w:val="26"/>
        </w:trPr>
        <w:tc>
          <w:tcPr>
            <w:tcW w:w="37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9"/>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purchase price</w:t>
            </w:r>
          </w:p>
        </w:tc>
        <w:tc>
          <w:tcPr>
            <w:tcW w:w="2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w w:val="84"/>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5,552</w:t>
            </w:r>
          </w:p>
        </w:tc>
      </w:tr>
      <w:tr>
        <w:trPr>
          <w:trHeight w:val="20"/>
        </w:trPr>
        <w:tc>
          <w:tcPr>
            <w:tcW w:w="3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amount of goodwill recognized from the IQR acquisition is not deductible for tax purposes.</w:t>
      </w:r>
    </w:p>
    <w:p>
      <w:pPr>
        <w:spacing w:after="0" w:line="108"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customer relationships from the IQR acquisition are being amortized over the weighted average useful life of eight years.</w:t>
      </w:r>
    </w:p>
    <w:p>
      <w:pPr>
        <w:spacing w:after="0" w:line="108" w:lineRule="exact"/>
        <w:rPr>
          <w:sz w:val="20"/>
          <w:szCs w:val="20"/>
          <w:color w:val="auto"/>
        </w:rPr>
      </w:pPr>
    </w:p>
    <w:p>
      <w:pPr>
        <w:jc w:val="both"/>
        <w:ind w:firstLine="379"/>
        <w:spacing w:after="0" w:line="300" w:lineRule="auto"/>
        <w:rPr>
          <w:sz w:val="20"/>
          <w:szCs w:val="20"/>
          <w:color w:val="auto"/>
        </w:rPr>
      </w:pPr>
      <w:r>
        <w:rPr>
          <w:rFonts w:ascii="Arial" w:cs="Arial" w:eastAsia="Arial" w:hAnsi="Arial"/>
          <w:sz w:val="15"/>
          <w:szCs w:val="15"/>
          <w:color w:val="auto"/>
        </w:rPr>
        <w:t>During the three months ended September 30, 2016, the Company recognized $403 of acquisition related costs for its Liss and IQR acquisitions. Such amounts are included in general and administrative expenses in the unaudited consolidated statements of income. The Company’s results of operations for the three and nine months ended September 30, 2016 includes revenues of $1,098 from its Liss and IQR acquisitions, since the date on which these acquisitions were consummated. It is not practicable to disclose the net earnings since management does not allocate or evaluate operating expenses and income taxes to its subsidiaries.</w:t>
      </w:r>
    </w:p>
    <w:p>
      <w:pPr>
        <w:spacing w:after="0" w:line="48" w:lineRule="exact"/>
        <w:rPr>
          <w:sz w:val="20"/>
          <w:szCs w:val="20"/>
          <w:color w:val="auto"/>
        </w:rPr>
      </w:pPr>
    </w:p>
    <w:p>
      <w:pPr>
        <w:jc w:val="both"/>
        <w:ind w:firstLine="379"/>
        <w:spacing w:after="0" w:line="300" w:lineRule="auto"/>
        <w:rPr>
          <w:sz w:val="20"/>
          <w:szCs w:val="20"/>
          <w:color w:val="auto"/>
        </w:rPr>
      </w:pPr>
      <w:r>
        <w:rPr>
          <w:rFonts w:ascii="Arial" w:cs="Arial" w:eastAsia="Arial" w:hAnsi="Arial"/>
          <w:sz w:val="15"/>
          <w:szCs w:val="15"/>
          <w:color w:val="auto"/>
        </w:rPr>
        <w:t>Under ASC topic 805, “Business Combinations,” the preliminary allocation of the purchase price to the tangible and intangible assets and liabilities acquired may change for a period of up to one year from the date of the acquisition. The Company’s purchase accounting as of September 30, 2016 was incomplete and the Company expects to complete its valuation of the tangible assets, intangible assets and liabilities assumed as of the acquisition date during the fourth quarter of 2016. Accordingly, the Company may adjust the amounts recorded as of September 30, 2016 to reflect the final valuations of the assets acquired or liabilities assumed.</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Goodwill</w:t>
      </w:r>
    </w:p>
    <w:p>
      <w:pPr>
        <w:spacing w:after="0" w:line="108"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sets forth details of the Company’s goodwill balance as of September 30, 2016:</w:t>
      </w:r>
    </w:p>
    <w:p>
      <w:pPr>
        <w:spacing w:after="0" w:line="256" w:lineRule="exact"/>
        <w:rPr>
          <w:sz w:val="20"/>
          <w:szCs w:val="20"/>
          <w:color w:val="auto"/>
        </w:rPr>
      </w:pPr>
    </w:p>
    <w:tbl>
      <w:tblPr>
        <w:tblLayout w:type="fixed"/>
        <w:tblInd w:w="500" w:type="dxa"/>
        <w:tblCellMar>
          <w:top w:w="0" w:type="dxa"/>
          <w:left w:w="0" w:type="dxa"/>
          <w:bottom w:w="0" w:type="dxa"/>
          <w:right w:w="0" w:type="dxa"/>
        </w:tblCellMar>
      </w:tblPr>
      <w:tr>
        <w:trPr>
          <w:trHeight w:val="218"/>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gridSpan w:val="2"/>
          </w:tcPr>
          <w:p>
            <w:pPr>
              <w:ind w:left="20"/>
              <w:spacing w:after="0"/>
              <w:rPr>
                <w:sz w:val="20"/>
                <w:szCs w:val="20"/>
                <w:color w:val="auto"/>
              </w:rPr>
            </w:pPr>
            <w:r>
              <w:rPr>
                <w:rFonts w:ascii="Arial" w:cs="Arial" w:eastAsia="Arial" w:hAnsi="Arial"/>
                <w:sz w:val="17"/>
                <w:szCs w:val="17"/>
                <w:b w:val="1"/>
                <w:bCs w:val="1"/>
                <w:color w:val="auto"/>
              </w:rPr>
              <w:t>Operations Management</w:t>
            </w:r>
          </w:p>
        </w:tc>
        <w:tc>
          <w:tcPr>
            <w:tcW w:w="280" w:type="dxa"/>
            <w:vAlign w:val="bottom"/>
          </w:tcPr>
          <w:p>
            <w:pPr>
              <w:spacing w:after="0"/>
              <w:rPr>
                <w:sz w:val="18"/>
                <w:szCs w:val="18"/>
                <w:color w:val="auto"/>
              </w:rPr>
            </w:pPr>
          </w:p>
        </w:tc>
        <w:tc>
          <w:tcPr>
            <w:tcW w:w="1380" w:type="dxa"/>
            <w:vAlign w:val="bottom"/>
            <w:gridSpan w:val="2"/>
          </w:tcPr>
          <w:p>
            <w:pPr>
              <w:ind w:left="160"/>
              <w:spacing w:after="0"/>
              <w:rPr>
                <w:sz w:val="20"/>
                <w:szCs w:val="20"/>
                <w:color w:val="auto"/>
              </w:rPr>
            </w:pPr>
            <w:r>
              <w:rPr>
                <w:rFonts w:ascii="Arial" w:cs="Arial" w:eastAsia="Arial" w:hAnsi="Arial"/>
                <w:sz w:val="17"/>
                <w:szCs w:val="17"/>
                <w:b w:val="1"/>
                <w:bCs w:val="1"/>
                <w:color w:val="auto"/>
              </w:rPr>
              <w:t>Analytics</w:t>
            </w:r>
          </w:p>
        </w:tc>
        <w:tc>
          <w:tcPr>
            <w:tcW w:w="500" w:type="dxa"/>
            <w:vAlign w:val="bottom"/>
          </w:tcPr>
          <w:p>
            <w:pPr>
              <w:spacing w:after="0"/>
              <w:rPr>
                <w:sz w:val="18"/>
                <w:szCs w:val="18"/>
                <w:color w:val="auto"/>
              </w:rPr>
            </w:pPr>
          </w:p>
        </w:tc>
        <w:tc>
          <w:tcPr>
            <w:tcW w:w="1600" w:type="dxa"/>
            <w:vAlign w:val="bottom"/>
          </w:tcPr>
          <w:p>
            <w:pPr>
              <w:jc w:val="right"/>
              <w:ind w:right="776"/>
              <w:spacing w:after="0"/>
              <w:rPr>
                <w:sz w:val="20"/>
                <w:szCs w:val="20"/>
                <w:color w:val="auto"/>
              </w:rPr>
            </w:pPr>
            <w:r>
              <w:rPr>
                <w:rFonts w:ascii="Arial" w:cs="Arial" w:eastAsia="Arial" w:hAnsi="Arial"/>
                <w:sz w:val="17"/>
                <w:szCs w:val="17"/>
                <w:b w:val="1"/>
                <w:bCs w:val="1"/>
                <w:color w:val="auto"/>
              </w:rPr>
              <w:t>Total</w:t>
            </w:r>
          </w:p>
        </w:tc>
      </w:tr>
      <w:tr>
        <w:trPr>
          <w:trHeight w:val="26"/>
        </w:trPr>
        <w:tc>
          <w:tcPr>
            <w:tcW w:w="45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25"/>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January 1, 2015</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122,814</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16,785</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ind w:right="296"/>
              <w:spacing w:after="0"/>
              <w:rPr>
                <w:sz w:val="20"/>
                <w:szCs w:val="20"/>
                <w:color w:val="auto"/>
              </w:rPr>
            </w:pPr>
            <w:r>
              <w:rPr>
                <w:rFonts w:ascii="Arial" w:cs="Arial" w:eastAsia="Arial" w:hAnsi="Arial"/>
                <w:sz w:val="17"/>
                <w:szCs w:val="17"/>
                <w:color w:val="auto"/>
              </w:rPr>
              <w:t>$</w:t>
            </w:r>
          </w:p>
        </w:tc>
        <w:tc>
          <w:tcPr>
            <w:tcW w:w="16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139,599</w:t>
            </w:r>
          </w:p>
        </w:tc>
      </w:tr>
      <w:tr>
        <w:trPr>
          <w:trHeight w:val="227"/>
        </w:trPr>
        <w:tc>
          <w:tcPr>
            <w:tcW w:w="4500" w:type="dxa"/>
            <w:vAlign w:val="bottom"/>
          </w:tcPr>
          <w:p>
            <w:pPr>
              <w:ind w:left="340"/>
              <w:spacing w:after="0"/>
              <w:rPr>
                <w:sz w:val="20"/>
                <w:szCs w:val="20"/>
                <w:color w:val="auto"/>
              </w:rPr>
            </w:pPr>
            <w:r>
              <w:rPr>
                <w:rFonts w:ascii="Arial" w:cs="Arial" w:eastAsia="Arial" w:hAnsi="Arial"/>
                <w:sz w:val="17"/>
                <w:szCs w:val="17"/>
                <w:color w:val="auto"/>
              </w:rPr>
              <w:t>Goodwill arising from RPM acquisition</w:t>
            </w:r>
          </w:p>
        </w:tc>
        <w:tc>
          <w:tcPr>
            <w:tcW w:w="120" w:type="dxa"/>
            <w:vAlign w:val="bottom"/>
          </w:tcPr>
          <w:p>
            <w:pPr>
              <w:spacing w:after="0"/>
              <w:rPr>
                <w:sz w:val="19"/>
                <w:szCs w:val="19"/>
                <w:color w:val="auto"/>
              </w:rPr>
            </w:pPr>
          </w:p>
        </w:tc>
        <w:tc>
          <w:tcPr>
            <w:tcW w:w="20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1280" w:type="dxa"/>
            <w:vAlign w:val="bottom"/>
          </w:tcPr>
          <w:p>
            <w:pPr>
              <w:jc w:val="right"/>
              <w:ind w:right="16"/>
              <w:spacing w:after="0"/>
              <w:rPr>
                <w:sz w:val="20"/>
                <w:szCs w:val="20"/>
                <w:color w:val="auto"/>
              </w:rPr>
            </w:pPr>
            <w:r>
              <w:rPr>
                <w:rFonts w:ascii="Arial" w:cs="Arial" w:eastAsia="Arial" w:hAnsi="Arial"/>
                <w:sz w:val="17"/>
                <w:szCs w:val="17"/>
                <w:color w:val="auto"/>
              </w:rPr>
              <w:t>33,155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0" w:type="dxa"/>
            <w:vAlign w:val="bottom"/>
          </w:tcPr>
          <w:p>
            <w:pPr>
              <w:jc w:val="right"/>
              <w:ind w:right="16"/>
              <w:spacing w:after="0"/>
              <w:rPr>
                <w:sz w:val="20"/>
                <w:szCs w:val="20"/>
                <w:color w:val="auto"/>
              </w:rPr>
            </w:pPr>
            <w:r>
              <w:rPr>
                <w:rFonts w:ascii="Arial" w:cs="Arial" w:eastAsia="Arial" w:hAnsi="Arial"/>
                <w:sz w:val="17"/>
                <w:szCs w:val="17"/>
                <w:color w:val="auto"/>
              </w:rPr>
              <w:t>33,155</w:t>
            </w:r>
          </w:p>
        </w:tc>
      </w:tr>
      <w:tr>
        <w:trPr>
          <w:trHeight w:val="26"/>
        </w:trPr>
        <w:tc>
          <w:tcPr>
            <w:tcW w:w="4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3"/>
        </w:trPr>
        <w:tc>
          <w:tcPr>
            <w:tcW w:w="45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Currency translation adjustments</w:t>
            </w:r>
          </w:p>
        </w:tc>
        <w:tc>
          <w:tcPr>
            <w:tcW w:w="1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(1,219)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(1,219)</w:t>
            </w:r>
          </w:p>
        </w:tc>
      </w:tr>
      <w:tr>
        <w:trPr>
          <w:trHeight w:val="220"/>
        </w:trPr>
        <w:tc>
          <w:tcPr>
            <w:tcW w:w="4500" w:type="dxa"/>
            <w:vAlign w:val="bottom"/>
          </w:tcPr>
          <w:p>
            <w:pPr>
              <w:ind w:left="20"/>
              <w:spacing w:after="0"/>
              <w:rPr>
                <w:sz w:val="20"/>
                <w:szCs w:val="20"/>
                <w:color w:val="auto"/>
              </w:rPr>
            </w:pPr>
            <w:r>
              <w:rPr>
                <w:rFonts w:ascii="Arial" w:cs="Arial" w:eastAsia="Arial" w:hAnsi="Arial"/>
                <w:sz w:val="17"/>
                <w:szCs w:val="17"/>
                <w:color w:val="auto"/>
              </w:rPr>
              <w:t>Balance at December 31, 2015</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96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121,595</w:t>
            </w:r>
          </w:p>
        </w:tc>
        <w:tc>
          <w:tcPr>
            <w:tcW w:w="100" w:type="dxa"/>
            <w:vAlign w:val="bottom"/>
          </w:tcPr>
          <w:p>
            <w:pPr>
              <w:spacing w:after="0"/>
              <w:rPr>
                <w:sz w:val="19"/>
                <w:szCs w:val="19"/>
                <w:color w:val="auto"/>
              </w:rPr>
            </w:pPr>
          </w:p>
        </w:tc>
        <w:tc>
          <w:tcPr>
            <w:tcW w:w="280" w:type="dxa"/>
            <w:vAlign w:val="bottom"/>
            <w:tcBorders>
              <w:top w:val="single" w:sz="8" w:color="auto"/>
            </w:tcBorders>
          </w:tcPr>
          <w:p>
            <w:pPr>
              <w:jc w:val="right"/>
              <w:ind w:right="96"/>
              <w:spacing w:after="0"/>
              <w:rPr>
                <w:sz w:val="20"/>
                <w:szCs w:val="20"/>
                <w:color w:val="auto"/>
              </w:rPr>
            </w:pPr>
            <w:r>
              <w:rPr>
                <w:rFonts w:ascii="Arial" w:cs="Arial" w:eastAsia="Arial" w:hAnsi="Arial"/>
                <w:sz w:val="17"/>
                <w:szCs w:val="17"/>
                <w:color w:val="auto"/>
                <w:w w:val="84"/>
              </w:rPr>
              <w:t>$</w:t>
            </w:r>
          </w:p>
        </w:tc>
        <w:tc>
          <w:tcPr>
            <w:tcW w:w="128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49,940</w:t>
            </w:r>
          </w:p>
        </w:tc>
        <w:tc>
          <w:tcPr>
            <w:tcW w:w="100" w:type="dxa"/>
            <w:vAlign w:val="bottom"/>
          </w:tcPr>
          <w:p>
            <w:pPr>
              <w:spacing w:after="0"/>
              <w:rPr>
                <w:sz w:val="19"/>
                <w:szCs w:val="19"/>
                <w:color w:val="auto"/>
              </w:rPr>
            </w:pPr>
          </w:p>
        </w:tc>
        <w:tc>
          <w:tcPr>
            <w:tcW w:w="500" w:type="dxa"/>
            <w:vAlign w:val="bottom"/>
            <w:tcBorders>
              <w:top w:val="single" w:sz="8" w:color="auto"/>
            </w:tcBorders>
          </w:tcPr>
          <w:p>
            <w:pPr>
              <w:jc w:val="right"/>
              <w:ind w:right="296"/>
              <w:spacing w:after="0"/>
              <w:rPr>
                <w:sz w:val="20"/>
                <w:szCs w:val="20"/>
                <w:color w:val="auto"/>
              </w:rPr>
            </w:pPr>
            <w:r>
              <w:rPr>
                <w:rFonts w:ascii="Arial" w:cs="Arial" w:eastAsia="Arial" w:hAnsi="Arial"/>
                <w:sz w:val="17"/>
                <w:szCs w:val="17"/>
                <w:color w:val="auto"/>
              </w:rPr>
              <w:t>$</w:t>
            </w:r>
          </w:p>
        </w:tc>
        <w:tc>
          <w:tcPr>
            <w:tcW w:w="160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171,535</w:t>
            </w:r>
          </w:p>
        </w:tc>
      </w:tr>
      <w:tr>
        <w:trPr>
          <w:trHeight w:val="26"/>
        </w:trPr>
        <w:tc>
          <w:tcPr>
            <w:tcW w:w="4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33"/>
        </w:trPr>
        <w:tc>
          <w:tcPr>
            <w:tcW w:w="45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Goodwill arising from Liss acquisition</w:t>
            </w:r>
          </w:p>
        </w:tc>
        <w:tc>
          <w:tcPr>
            <w:tcW w:w="120" w:type="dxa"/>
            <w:vAlign w:val="bottom"/>
            <w:tcBorders>
              <w:bottom w:val="single" w:sz="8" w:color="CCEEFF"/>
            </w:tcBorders>
            <w:shd w:val="clear" w:color="auto" w:fill="CCEEFF"/>
          </w:tcPr>
          <w:p>
            <w:pPr>
              <w:spacing w:after="0"/>
              <w:rPr>
                <w:sz w:val="20"/>
                <w:szCs w:val="20"/>
                <w:color w:val="auto"/>
              </w:rPr>
            </w:pPr>
          </w:p>
        </w:tc>
        <w:tc>
          <w:tcPr>
            <w:tcW w:w="1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2,620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5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2,620</w:t>
            </w:r>
          </w:p>
        </w:tc>
      </w:tr>
      <w:tr>
        <w:trPr>
          <w:trHeight w:val="227"/>
        </w:trPr>
        <w:tc>
          <w:tcPr>
            <w:tcW w:w="4500" w:type="dxa"/>
            <w:vAlign w:val="bottom"/>
          </w:tcPr>
          <w:p>
            <w:pPr>
              <w:ind w:left="340"/>
              <w:spacing w:after="0"/>
              <w:rPr>
                <w:sz w:val="20"/>
                <w:szCs w:val="20"/>
                <w:color w:val="auto"/>
              </w:rPr>
            </w:pPr>
            <w:r>
              <w:rPr>
                <w:rFonts w:ascii="Arial" w:cs="Arial" w:eastAsia="Arial" w:hAnsi="Arial"/>
                <w:sz w:val="17"/>
                <w:szCs w:val="17"/>
                <w:color w:val="auto"/>
              </w:rPr>
              <w:t>Goodwill arising from IQR acquisition</w:t>
            </w:r>
          </w:p>
        </w:tc>
        <w:tc>
          <w:tcPr>
            <w:tcW w:w="120" w:type="dxa"/>
            <w:vAlign w:val="bottom"/>
          </w:tcPr>
          <w:p>
            <w:pPr>
              <w:spacing w:after="0"/>
              <w:rPr>
                <w:sz w:val="19"/>
                <w:szCs w:val="19"/>
                <w:color w:val="auto"/>
              </w:rPr>
            </w:pPr>
          </w:p>
        </w:tc>
        <w:tc>
          <w:tcPr>
            <w:tcW w:w="20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1280" w:type="dxa"/>
            <w:vAlign w:val="bottom"/>
          </w:tcPr>
          <w:p>
            <w:pPr>
              <w:jc w:val="right"/>
              <w:ind w:right="16"/>
              <w:spacing w:after="0"/>
              <w:rPr>
                <w:sz w:val="20"/>
                <w:szCs w:val="20"/>
                <w:color w:val="auto"/>
              </w:rPr>
            </w:pPr>
            <w:r>
              <w:rPr>
                <w:rFonts w:ascii="Arial" w:cs="Arial" w:eastAsia="Arial" w:hAnsi="Arial"/>
                <w:sz w:val="17"/>
                <w:szCs w:val="17"/>
                <w:color w:val="auto"/>
              </w:rPr>
              <w:t>3,206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0" w:type="dxa"/>
            <w:vAlign w:val="bottom"/>
          </w:tcPr>
          <w:p>
            <w:pPr>
              <w:jc w:val="right"/>
              <w:ind w:right="16"/>
              <w:spacing w:after="0"/>
              <w:rPr>
                <w:sz w:val="20"/>
                <w:szCs w:val="20"/>
                <w:color w:val="auto"/>
              </w:rPr>
            </w:pPr>
            <w:r>
              <w:rPr>
                <w:rFonts w:ascii="Arial" w:cs="Arial" w:eastAsia="Arial" w:hAnsi="Arial"/>
                <w:sz w:val="17"/>
                <w:szCs w:val="17"/>
                <w:color w:val="auto"/>
              </w:rPr>
              <w:t>3,206</w:t>
            </w:r>
          </w:p>
        </w:tc>
      </w:tr>
      <w:tr>
        <w:trPr>
          <w:trHeight w:val="26"/>
        </w:trPr>
        <w:tc>
          <w:tcPr>
            <w:tcW w:w="4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3"/>
        </w:trPr>
        <w:tc>
          <w:tcPr>
            <w:tcW w:w="45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Currency translation adjustments</w:t>
            </w:r>
          </w:p>
        </w:tc>
        <w:tc>
          <w:tcPr>
            <w:tcW w:w="1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(268)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(268)</w:t>
            </w:r>
          </w:p>
        </w:tc>
      </w:tr>
      <w:tr>
        <w:trPr>
          <w:trHeight w:val="220"/>
        </w:trPr>
        <w:tc>
          <w:tcPr>
            <w:tcW w:w="4500" w:type="dxa"/>
            <w:vAlign w:val="bottom"/>
          </w:tcPr>
          <w:p>
            <w:pPr>
              <w:ind w:left="20"/>
              <w:spacing w:after="0"/>
              <w:rPr>
                <w:sz w:val="20"/>
                <w:szCs w:val="20"/>
                <w:color w:val="auto"/>
              </w:rPr>
            </w:pPr>
            <w:r>
              <w:rPr>
                <w:rFonts w:ascii="Arial" w:cs="Arial" w:eastAsia="Arial" w:hAnsi="Arial"/>
                <w:sz w:val="17"/>
                <w:szCs w:val="17"/>
                <w:color w:val="auto"/>
              </w:rPr>
              <w:t>Balance at September 30, 2016</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96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123,947</w:t>
            </w:r>
          </w:p>
        </w:tc>
        <w:tc>
          <w:tcPr>
            <w:tcW w:w="100" w:type="dxa"/>
            <w:vAlign w:val="bottom"/>
          </w:tcPr>
          <w:p>
            <w:pPr>
              <w:spacing w:after="0"/>
              <w:rPr>
                <w:sz w:val="19"/>
                <w:szCs w:val="19"/>
                <w:color w:val="auto"/>
              </w:rPr>
            </w:pPr>
          </w:p>
        </w:tc>
        <w:tc>
          <w:tcPr>
            <w:tcW w:w="280" w:type="dxa"/>
            <w:vAlign w:val="bottom"/>
            <w:tcBorders>
              <w:top w:val="single" w:sz="8" w:color="auto"/>
            </w:tcBorders>
          </w:tcPr>
          <w:p>
            <w:pPr>
              <w:jc w:val="right"/>
              <w:ind w:right="96"/>
              <w:spacing w:after="0"/>
              <w:rPr>
                <w:sz w:val="20"/>
                <w:szCs w:val="20"/>
                <w:color w:val="auto"/>
              </w:rPr>
            </w:pPr>
            <w:r>
              <w:rPr>
                <w:rFonts w:ascii="Arial" w:cs="Arial" w:eastAsia="Arial" w:hAnsi="Arial"/>
                <w:sz w:val="17"/>
                <w:szCs w:val="17"/>
                <w:color w:val="auto"/>
                <w:w w:val="84"/>
              </w:rPr>
              <w:t>$</w:t>
            </w:r>
          </w:p>
        </w:tc>
        <w:tc>
          <w:tcPr>
            <w:tcW w:w="128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53,146</w:t>
            </w:r>
          </w:p>
        </w:tc>
        <w:tc>
          <w:tcPr>
            <w:tcW w:w="100" w:type="dxa"/>
            <w:vAlign w:val="bottom"/>
          </w:tcPr>
          <w:p>
            <w:pPr>
              <w:spacing w:after="0"/>
              <w:rPr>
                <w:sz w:val="19"/>
                <w:szCs w:val="19"/>
                <w:color w:val="auto"/>
              </w:rPr>
            </w:pPr>
          </w:p>
        </w:tc>
        <w:tc>
          <w:tcPr>
            <w:tcW w:w="500" w:type="dxa"/>
            <w:vAlign w:val="bottom"/>
            <w:tcBorders>
              <w:top w:val="single" w:sz="8" w:color="auto"/>
            </w:tcBorders>
          </w:tcPr>
          <w:p>
            <w:pPr>
              <w:jc w:val="right"/>
              <w:ind w:right="296"/>
              <w:spacing w:after="0"/>
              <w:rPr>
                <w:sz w:val="20"/>
                <w:szCs w:val="20"/>
                <w:color w:val="auto"/>
              </w:rPr>
            </w:pPr>
            <w:r>
              <w:rPr>
                <w:rFonts w:ascii="Arial" w:cs="Arial" w:eastAsia="Arial" w:hAnsi="Arial"/>
                <w:sz w:val="17"/>
                <w:szCs w:val="17"/>
                <w:color w:val="auto"/>
              </w:rPr>
              <w:t>$</w:t>
            </w:r>
          </w:p>
        </w:tc>
        <w:tc>
          <w:tcPr>
            <w:tcW w:w="160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177,093</w:t>
            </w:r>
          </w:p>
        </w:tc>
      </w:tr>
      <w:tr>
        <w:trPr>
          <w:trHeight w:val="26"/>
        </w:trPr>
        <w:tc>
          <w:tcPr>
            <w:tcW w:w="45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0"/>
        </w:trPr>
        <w:tc>
          <w:tcPr>
            <w:tcW w:w="4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420"/>
          </w:cols>
          <w:pgMar w:left="240" w:top="123" w:right="239" w:bottom="1440" w:gutter="0" w:footer="0" w:header="0"/>
        </w:sectPr>
      </w:pPr>
    </w:p>
    <w:bookmarkStart w:id="14" w:name="page15"/>
    <w:bookmarkEnd w:id="14"/>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23" w:lineRule="exact"/>
        <w:rPr>
          <w:sz w:val="20"/>
          <w:szCs w:val="20"/>
          <w:color w:val="auto"/>
        </w:rPr>
      </w:pPr>
    </w:p>
    <w:p>
      <w:pPr>
        <w:ind w:left="4480"/>
        <w:spacing w:after="0"/>
        <w:rPr>
          <w:sz w:val="20"/>
          <w:szCs w:val="20"/>
          <w:color w:val="auto"/>
        </w:rPr>
      </w:pPr>
      <w:r>
        <w:rPr>
          <w:rFonts w:ascii="Arial" w:cs="Arial" w:eastAsia="Arial" w:hAnsi="Arial"/>
          <w:sz w:val="17"/>
          <w:szCs w:val="17"/>
          <w:b w:val="1"/>
          <w:bCs w:val="1"/>
          <w:color w:val="auto"/>
        </w:rPr>
        <w:t>EXLSERVICE HOLDINGS, INC.</w:t>
      </w:r>
    </w:p>
    <w:p>
      <w:pPr>
        <w:spacing w:after="0" w:line="92" w:lineRule="exact"/>
        <w:rPr>
          <w:sz w:val="20"/>
          <w:szCs w:val="20"/>
          <w:color w:val="auto"/>
        </w:rPr>
      </w:pPr>
    </w:p>
    <w:p>
      <w:pPr>
        <w:ind w:left="2480"/>
        <w:spacing w:after="0"/>
        <w:rPr>
          <w:sz w:val="20"/>
          <w:szCs w:val="20"/>
          <w:color w:val="auto"/>
        </w:rPr>
      </w:pPr>
      <w:r>
        <w:rPr>
          <w:rFonts w:ascii="Arial" w:cs="Arial" w:eastAsia="Arial" w:hAnsi="Arial"/>
          <w:sz w:val="17"/>
          <w:szCs w:val="17"/>
          <w:b w:val="1"/>
          <w:bCs w:val="1"/>
          <w:color w:val="auto"/>
        </w:rPr>
        <w:t>NOTES TO UNAUDITED CONSOLIDATED FINANCIAL STATEMENTS—(continued)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September 30, 2016</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920" w:type="dxa"/>
            <w:vAlign w:val="bottom"/>
            <w:gridSpan w:val="2"/>
          </w:tcPr>
          <w:p>
            <w:pPr>
              <w:spacing w:after="0"/>
              <w:rPr>
                <w:sz w:val="20"/>
                <w:szCs w:val="20"/>
                <w:color w:val="auto"/>
              </w:rPr>
            </w:pPr>
            <w:r>
              <w:rPr>
                <w:rFonts w:ascii="Arial" w:cs="Arial" w:eastAsia="Arial" w:hAnsi="Arial"/>
                <w:sz w:val="17"/>
                <w:szCs w:val="17"/>
                <w:b w:val="1"/>
                <w:bCs w:val="1"/>
                <w:i w:val="1"/>
                <w:iCs w:val="1"/>
                <w:color w:val="auto"/>
              </w:rPr>
              <w:t>Intangible Assets</w:t>
            </w: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303"/>
        </w:trPr>
        <w:tc>
          <w:tcPr>
            <w:tcW w:w="5920" w:type="dxa"/>
            <w:vAlign w:val="bottom"/>
            <w:gridSpan w:val="2"/>
          </w:tcPr>
          <w:p>
            <w:pPr>
              <w:ind w:left="400"/>
              <w:spacing w:after="0"/>
              <w:rPr>
                <w:sz w:val="20"/>
                <w:szCs w:val="20"/>
                <w:color w:val="auto"/>
              </w:rPr>
            </w:pPr>
            <w:r>
              <w:rPr>
                <w:rFonts w:ascii="Arial" w:cs="Arial" w:eastAsia="Arial" w:hAnsi="Arial"/>
                <w:sz w:val="17"/>
                <w:szCs w:val="17"/>
                <w:color w:val="auto"/>
              </w:rPr>
              <w:t>Information regarding the Company’s intangible assets is set forth below:</w:t>
            </w:r>
          </w:p>
        </w:tc>
        <w:tc>
          <w:tcPr>
            <w:tcW w:w="2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54"/>
        </w:trPr>
        <w:tc>
          <w:tcPr>
            <w:tcW w:w="54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320" w:type="dxa"/>
            <w:vAlign w:val="bottom"/>
            <w:gridSpan w:val="5"/>
          </w:tcPr>
          <w:p>
            <w:pPr>
              <w:jc w:val="center"/>
              <w:ind w:left="1176"/>
              <w:spacing w:after="0"/>
              <w:rPr>
                <w:sz w:val="20"/>
                <w:szCs w:val="20"/>
                <w:color w:val="auto"/>
              </w:rPr>
            </w:pPr>
            <w:r>
              <w:rPr>
                <w:rFonts w:ascii="Arial" w:cs="Arial" w:eastAsia="Arial" w:hAnsi="Arial"/>
                <w:sz w:val="17"/>
                <w:szCs w:val="17"/>
                <w:b w:val="1"/>
                <w:bCs w:val="1"/>
                <w:color w:val="auto"/>
                <w:w w:val="88"/>
              </w:rPr>
              <w:t>As of September 30, 2016</w:t>
            </w: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6"/>
        </w:trPr>
        <w:tc>
          <w:tcPr>
            <w:tcW w:w="540" w:type="dxa"/>
            <w:vAlign w:val="bottom"/>
          </w:tcPr>
          <w:p>
            <w:pPr>
              <w:spacing w:after="0"/>
              <w:rPr>
                <w:sz w:val="2"/>
                <w:szCs w:val="2"/>
                <w:color w:val="auto"/>
              </w:rPr>
            </w:pPr>
          </w:p>
        </w:tc>
        <w:tc>
          <w:tcPr>
            <w:tcW w:w="53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4"/>
        </w:trPr>
        <w:tc>
          <w:tcPr>
            <w:tcW w:w="540" w:type="dxa"/>
            <w:vAlign w:val="bottom"/>
          </w:tcPr>
          <w:p>
            <w:pPr>
              <w:spacing w:after="0"/>
              <w:rPr>
                <w:sz w:val="17"/>
                <w:szCs w:val="17"/>
                <w:color w:val="auto"/>
              </w:rPr>
            </w:pPr>
          </w:p>
        </w:tc>
        <w:tc>
          <w:tcPr>
            <w:tcW w:w="5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6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85"/>
              </w:rPr>
              <w:t>Gross</w:t>
            </w:r>
          </w:p>
        </w:tc>
        <w:tc>
          <w:tcPr>
            <w:tcW w:w="180" w:type="dxa"/>
            <w:vAlign w:val="bottom"/>
          </w:tcPr>
          <w:p>
            <w:pPr>
              <w:spacing w:after="0"/>
              <w:rPr>
                <w:sz w:val="17"/>
                <w:szCs w:val="17"/>
                <w:color w:val="auto"/>
              </w:rPr>
            </w:pPr>
          </w:p>
        </w:tc>
        <w:tc>
          <w:tcPr>
            <w:tcW w:w="1380" w:type="dxa"/>
            <w:vAlign w:val="bottom"/>
            <w:gridSpan w:val="2"/>
          </w:tcPr>
          <w:p>
            <w:pPr>
              <w:ind w:left="80"/>
              <w:spacing w:after="0"/>
              <w:rPr>
                <w:sz w:val="20"/>
                <w:szCs w:val="20"/>
                <w:color w:val="auto"/>
              </w:rPr>
            </w:pPr>
            <w:r>
              <w:rPr>
                <w:rFonts w:ascii="Arial" w:cs="Arial" w:eastAsia="Arial" w:hAnsi="Arial"/>
                <w:sz w:val="17"/>
                <w:szCs w:val="17"/>
                <w:b w:val="1"/>
                <w:bCs w:val="1"/>
                <w:color w:val="auto"/>
              </w:rPr>
              <w:t>Accumulated</w:t>
            </w:r>
          </w:p>
        </w:tc>
        <w:tc>
          <w:tcPr>
            <w:tcW w:w="180" w:type="dxa"/>
            <w:vAlign w:val="bottom"/>
          </w:tcPr>
          <w:p>
            <w:pPr>
              <w:spacing w:after="0"/>
              <w:rPr>
                <w:sz w:val="17"/>
                <w:szCs w:val="17"/>
                <w:color w:val="auto"/>
              </w:rPr>
            </w:pPr>
          </w:p>
        </w:tc>
        <w:tc>
          <w:tcPr>
            <w:tcW w:w="1280" w:type="dxa"/>
            <w:vAlign w:val="bottom"/>
          </w:tcPr>
          <w:p>
            <w:pPr>
              <w:jc w:val="center"/>
              <w:ind w:right="116"/>
              <w:spacing w:after="0"/>
              <w:rPr>
                <w:sz w:val="20"/>
                <w:szCs w:val="20"/>
                <w:color w:val="auto"/>
              </w:rPr>
            </w:pPr>
            <w:r>
              <w:rPr>
                <w:rFonts w:ascii="Arial" w:cs="Arial" w:eastAsia="Arial" w:hAnsi="Arial"/>
                <w:sz w:val="17"/>
                <w:szCs w:val="17"/>
                <w:b w:val="1"/>
                <w:bCs w:val="1"/>
                <w:color w:val="auto"/>
                <w:w w:val="94"/>
              </w:rPr>
              <w:t>Net Carrying</w:t>
            </w:r>
          </w:p>
        </w:tc>
      </w:tr>
      <w:tr>
        <w:trPr>
          <w:trHeight w:val="218"/>
        </w:trPr>
        <w:tc>
          <w:tcPr>
            <w:tcW w:w="54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92"/>
              </w:rPr>
              <w:t>Carrying Amount</w:t>
            </w:r>
          </w:p>
        </w:tc>
        <w:tc>
          <w:tcPr>
            <w:tcW w:w="180" w:type="dxa"/>
            <w:vAlign w:val="bottom"/>
          </w:tcPr>
          <w:p>
            <w:pPr>
              <w:spacing w:after="0"/>
              <w:rPr>
                <w:sz w:val="18"/>
                <w:szCs w:val="18"/>
                <w:color w:val="auto"/>
              </w:rPr>
            </w:pPr>
          </w:p>
        </w:tc>
        <w:tc>
          <w:tcPr>
            <w:tcW w:w="1380" w:type="dxa"/>
            <w:vAlign w:val="bottom"/>
            <w:gridSpan w:val="2"/>
          </w:tcPr>
          <w:p>
            <w:pPr>
              <w:ind w:left="60"/>
              <w:spacing w:after="0"/>
              <w:rPr>
                <w:sz w:val="20"/>
                <w:szCs w:val="20"/>
                <w:color w:val="auto"/>
              </w:rPr>
            </w:pPr>
            <w:r>
              <w:rPr>
                <w:rFonts w:ascii="Arial" w:cs="Arial" w:eastAsia="Arial" w:hAnsi="Arial"/>
                <w:sz w:val="17"/>
                <w:szCs w:val="17"/>
                <w:b w:val="1"/>
                <w:bCs w:val="1"/>
                <w:color w:val="auto"/>
              </w:rPr>
              <w:t>Amortization</w:t>
            </w:r>
          </w:p>
        </w:tc>
        <w:tc>
          <w:tcPr>
            <w:tcW w:w="180" w:type="dxa"/>
            <w:vAlign w:val="bottom"/>
          </w:tcPr>
          <w:p>
            <w:pPr>
              <w:spacing w:after="0"/>
              <w:rPr>
                <w:sz w:val="18"/>
                <w:szCs w:val="18"/>
                <w:color w:val="auto"/>
              </w:rPr>
            </w:pPr>
          </w:p>
        </w:tc>
        <w:tc>
          <w:tcPr>
            <w:tcW w:w="1280" w:type="dxa"/>
            <w:vAlign w:val="bottom"/>
          </w:tcPr>
          <w:p>
            <w:pPr>
              <w:jc w:val="center"/>
              <w:ind w:right="116"/>
              <w:spacing w:after="0"/>
              <w:rPr>
                <w:sz w:val="20"/>
                <w:szCs w:val="20"/>
                <w:color w:val="auto"/>
              </w:rPr>
            </w:pPr>
            <w:r>
              <w:rPr>
                <w:rFonts w:ascii="Arial" w:cs="Arial" w:eastAsia="Arial" w:hAnsi="Arial"/>
                <w:sz w:val="17"/>
                <w:szCs w:val="17"/>
                <w:b w:val="1"/>
                <w:bCs w:val="1"/>
                <w:color w:val="auto"/>
                <w:w w:val="93"/>
              </w:rPr>
              <w:t>Amount</w:t>
            </w:r>
          </w:p>
        </w:tc>
      </w:tr>
      <w:tr>
        <w:trPr>
          <w:trHeight w:val="26"/>
        </w:trPr>
        <w:tc>
          <w:tcPr>
            <w:tcW w:w="540" w:type="dxa"/>
            <w:vAlign w:val="bottom"/>
          </w:tcPr>
          <w:p>
            <w:pPr>
              <w:spacing w:after="0"/>
              <w:rPr>
                <w:sz w:val="2"/>
                <w:szCs w:val="2"/>
                <w:color w:val="auto"/>
              </w:rPr>
            </w:pPr>
          </w:p>
        </w:tc>
        <w:tc>
          <w:tcPr>
            <w:tcW w:w="53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25"/>
        </w:trPr>
        <w:tc>
          <w:tcPr>
            <w:tcW w:w="540" w:type="dxa"/>
            <w:vAlign w:val="bottom"/>
          </w:tcPr>
          <w:p>
            <w:pPr>
              <w:spacing w:after="0"/>
              <w:rPr>
                <w:sz w:val="19"/>
                <w:szCs w:val="19"/>
                <w:color w:val="auto"/>
              </w:rPr>
            </w:pPr>
          </w:p>
        </w:tc>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Customer relationships</w:t>
            </w:r>
          </w:p>
        </w:tc>
        <w:tc>
          <w:tcPr>
            <w:tcW w:w="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w w:val="84"/>
              </w:rPr>
              <w:t>$</w:t>
            </w:r>
          </w:p>
        </w:tc>
        <w:tc>
          <w:tcPr>
            <w:tcW w:w="16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68,957</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(30,230)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38,727</w:t>
            </w:r>
          </w:p>
        </w:tc>
      </w:tr>
      <w:tr>
        <w:trPr>
          <w:trHeight w:val="227"/>
        </w:trPr>
        <w:tc>
          <w:tcPr>
            <w:tcW w:w="540" w:type="dxa"/>
            <w:vAlign w:val="bottom"/>
          </w:tcPr>
          <w:p>
            <w:pPr>
              <w:spacing w:after="0"/>
              <w:rPr>
                <w:sz w:val="19"/>
                <w:szCs w:val="19"/>
                <w:color w:val="auto"/>
              </w:rPr>
            </w:pPr>
          </w:p>
        </w:tc>
        <w:tc>
          <w:tcPr>
            <w:tcW w:w="5380" w:type="dxa"/>
            <w:vAlign w:val="bottom"/>
          </w:tcPr>
          <w:p>
            <w:pPr>
              <w:ind w:left="20"/>
              <w:spacing w:after="0"/>
              <w:rPr>
                <w:sz w:val="20"/>
                <w:szCs w:val="20"/>
                <w:color w:val="auto"/>
              </w:rPr>
            </w:pPr>
            <w:r>
              <w:rPr>
                <w:rFonts w:ascii="Arial" w:cs="Arial" w:eastAsia="Arial" w:hAnsi="Arial"/>
                <w:sz w:val="17"/>
                <w:szCs w:val="17"/>
                <w:color w:val="auto"/>
              </w:rPr>
              <w:t>Developed technology</w:t>
            </w:r>
          </w:p>
        </w:tc>
        <w:tc>
          <w:tcPr>
            <w:tcW w:w="200" w:type="dxa"/>
            <w:vAlign w:val="bottom"/>
          </w:tcPr>
          <w:p>
            <w:pPr>
              <w:spacing w:after="0"/>
              <w:rPr>
                <w:sz w:val="19"/>
                <w:szCs w:val="19"/>
                <w:color w:val="auto"/>
              </w:rPr>
            </w:pPr>
          </w:p>
        </w:tc>
        <w:tc>
          <w:tcPr>
            <w:tcW w:w="1660" w:type="dxa"/>
            <w:vAlign w:val="bottom"/>
          </w:tcPr>
          <w:p>
            <w:pPr>
              <w:jc w:val="right"/>
              <w:ind w:right="16"/>
              <w:spacing w:after="0"/>
              <w:rPr>
                <w:sz w:val="20"/>
                <w:szCs w:val="20"/>
                <w:color w:val="auto"/>
              </w:rPr>
            </w:pPr>
            <w:r>
              <w:rPr>
                <w:rFonts w:ascii="Arial" w:cs="Arial" w:eastAsia="Arial" w:hAnsi="Arial"/>
                <w:sz w:val="17"/>
                <w:szCs w:val="17"/>
                <w:color w:val="auto"/>
              </w:rPr>
              <w:t>13,747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(5,911)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36"/>
              <w:spacing w:after="0"/>
              <w:rPr>
                <w:sz w:val="20"/>
                <w:szCs w:val="20"/>
                <w:color w:val="auto"/>
              </w:rPr>
            </w:pPr>
            <w:r>
              <w:rPr>
                <w:rFonts w:ascii="Arial" w:cs="Arial" w:eastAsia="Arial" w:hAnsi="Arial"/>
                <w:sz w:val="17"/>
                <w:szCs w:val="17"/>
                <w:color w:val="auto"/>
              </w:rPr>
              <w:t>7,836</w:t>
            </w:r>
          </w:p>
        </w:tc>
      </w:tr>
      <w:tr>
        <w:trPr>
          <w:trHeight w:val="26"/>
        </w:trPr>
        <w:tc>
          <w:tcPr>
            <w:tcW w:w="540" w:type="dxa"/>
            <w:vAlign w:val="bottom"/>
          </w:tcPr>
          <w:p>
            <w:pPr>
              <w:spacing w:after="0"/>
              <w:rPr>
                <w:sz w:val="2"/>
                <w:szCs w:val="2"/>
                <w:color w:val="auto"/>
              </w:rPr>
            </w:pPr>
          </w:p>
        </w:tc>
        <w:tc>
          <w:tcPr>
            <w:tcW w:w="5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3"/>
        </w:trPr>
        <w:tc>
          <w:tcPr>
            <w:tcW w:w="540" w:type="dxa"/>
            <w:vAlign w:val="bottom"/>
          </w:tcPr>
          <w:p>
            <w:pPr>
              <w:spacing w:after="0"/>
              <w:rPr>
                <w:sz w:val="20"/>
                <w:szCs w:val="20"/>
                <w:color w:val="auto"/>
              </w:rPr>
            </w:pPr>
          </w:p>
        </w:tc>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Trade names and trademarks</w:t>
            </w:r>
          </w:p>
        </w:tc>
        <w:tc>
          <w:tcPr>
            <w:tcW w:w="20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5,892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(3,129)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2,763</w:t>
            </w:r>
          </w:p>
        </w:tc>
      </w:tr>
      <w:tr>
        <w:trPr>
          <w:trHeight w:val="227"/>
        </w:trPr>
        <w:tc>
          <w:tcPr>
            <w:tcW w:w="540" w:type="dxa"/>
            <w:vAlign w:val="bottom"/>
          </w:tcPr>
          <w:p>
            <w:pPr>
              <w:spacing w:after="0"/>
              <w:rPr>
                <w:sz w:val="19"/>
                <w:szCs w:val="19"/>
                <w:color w:val="auto"/>
              </w:rPr>
            </w:pPr>
          </w:p>
        </w:tc>
        <w:tc>
          <w:tcPr>
            <w:tcW w:w="5380" w:type="dxa"/>
            <w:vAlign w:val="bottom"/>
          </w:tcPr>
          <w:p>
            <w:pPr>
              <w:ind w:left="20"/>
              <w:spacing w:after="0"/>
              <w:rPr>
                <w:sz w:val="20"/>
                <w:szCs w:val="20"/>
                <w:color w:val="auto"/>
              </w:rPr>
            </w:pPr>
            <w:r>
              <w:rPr>
                <w:rFonts w:ascii="Arial" w:cs="Arial" w:eastAsia="Arial" w:hAnsi="Arial"/>
                <w:sz w:val="17"/>
                <w:szCs w:val="17"/>
                <w:color w:val="auto"/>
              </w:rPr>
              <w:t>Leasehold benefits</w:t>
            </w:r>
          </w:p>
        </w:tc>
        <w:tc>
          <w:tcPr>
            <w:tcW w:w="200" w:type="dxa"/>
            <w:vAlign w:val="bottom"/>
          </w:tcPr>
          <w:p>
            <w:pPr>
              <w:spacing w:after="0"/>
              <w:rPr>
                <w:sz w:val="19"/>
                <w:szCs w:val="19"/>
                <w:color w:val="auto"/>
              </w:rPr>
            </w:pPr>
          </w:p>
        </w:tc>
        <w:tc>
          <w:tcPr>
            <w:tcW w:w="1660" w:type="dxa"/>
            <w:vAlign w:val="bottom"/>
          </w:tcPr>
          <w:p>
            <w:pPr>
              <w:jc w:val="right"/>
              <w:ind w:right="16"/>
              <w:spacing w:after="0"/>
              <w:rPr>
                <w:sz w:val="20"/>
                <w:szCs w:val="20"/>
                <w:color w:val="auto"/>
              </w:rPr>
            </w:pPr>
            <w:r>
              <w:rPr>
                <w:rFonts w:ascii="Arial" w:cs="Arial" w:eastAsia="Arial" w:hAnsi="Arial"/>
                <w:sz w:val="17"/>
                <w:szCs w:val="17"/>
                <w:color w:val="auto"/>
              </w:rPr>
              <w:t>2,770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(2,243)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36"/>
              <w:spacing w:after="0"/>
              <w:rPr>
                <w:sz w:val="20"/>
                <w:szCs w:val="20"/>
                <w:color w:val="auto"/>
              </w:rPr>
            </w:pPr>
            <w:r>
              <w:rPr>
                <w:rFonts w:ascii="Arial" w:cs="Arial" w:eastAsia="Arial" w:hAnsi="Arial"/>
                <w:sz w:val="17"/>
                <w:szCs w:val="17"/>
                <w:color w:val="auto"/>
              </w:rPr>
              <w:t>527</w:t>
            </w:r>
          </w:p>
        </w:tc>
      </w:tr>
      <w:tr>
        <w:trPr>
          <w:trHeight w:val="26"/>
        </w:trPr>
        <w:tc>
          <w:tcPr>
            <w:tcW w:w="540" w:type="dxa"/>
            <w:vAlign w:val="bottom"/>
          </w:tcPr>
          <w:p>
            <w:pPr>
              <w:spacing w:after="0"/>
              <w:rPr>
                <w:sz w:val="2"/>
                <w:szCs w:val="2"/>
                <w:color w:val="auto"/>
              </w:rPr>
            </w:pPr>
          </w:p>
        </w:tc>
        <w:tc>
          <w:tcPr>
            <w:tcW w:w="5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3"/>
        </w:trPr>
        <w:tc>
          <w:tcPr>
            <w:tcW w:w="540" w:type="dxa"/>
            <w:vAlign w:val="bottom"/>
          </w:tcPr>
          <w:p>
            <w:pPr>
              <w:spacing w:after="0"/>
              <w:rPr>
                <w:sz w:val="21"/>
                <w:szCs w:val="21"/>
                <w:color w:val="auto"/>
              </w:rPr>
            </w:pPr>
          </w:p>
        </w:tc>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Non-compete agreements</w:t>
            </w:r>
          </w:p>
        </w:tc>
        <w:tc>
          <w:tcPr>
            <w:tcW w:w="2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2,045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473</w:t>
            </w:r>
          </w:p>
        </w:tc>
      </w:tr>
      <w:tr>
        <w:trPr>
          <w:trHeight w:val="220"/>
        </w:trPr>
        <w:tc>
          <w:tcPr>
            <w:tcW w:w="54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20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w w:val="84"/>
              </w:rPr>
              <w:t>$</w:t>
            </w:r>
          </w:p>
        </w:tc>
        <w:tc>
          <w:tcPr>
            <w:tcW w:w="166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93,411</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(43,085)</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color w:val="auto"/>
              </w:rPr>
              <w:t>50,326</w:t>
            </w:r>
          </w:p>
        </w:tc>
      </w:tr>
      <w:tr>
        <w:trPr>
          <w:trHeight w:val="26"/>
        </w:trPr>
        <w:tc>
          <w:tcPr>
            <w:tcW w:w="540" w:type="dxa"/>
            <w:vAlign w:val="bottom"/>
          </w:tcPr>
          <w:p>
            <w:pPr>
              <w:spacing w:after="0"/>
              <w:rPr>
                <w:sz w:val="2"/>
                <w:szCs w:val="2"/>
                <w:color w:val="auto"/>
              </w:rPr>
            </w:pPr>
          </w:p>
        </w:tc>
        <w:tc>
          <w:tcPr>
            <w:tcW w:w="53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
        </w:trPr>
        <w:tc>
          <w:tcPr>
            <w:tcW w:w="54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571"/>
        </w:trPr>
        <w:tc>
          <w:tcPr>
            <w:tcW w:w="54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320" w:type="dxa"/>
            <w:vAlign w:val="bottom"/>
            <w:gridSpan w:val="5"/>
          </w:tcPr>
          <w:p>
            <w:pPr>
              <w:jc w:val="center"/>
              <w:ind w:left="1176"/>
              <w:spacing w:after="0"/>
              <w:rPr>
                <w:sz w:val="20"/>
                <w:szCs w:val="20"/>
                <w:color w:val="auto"/>
              </w:rPr>
            </w:pPr>
            <w:r>
              <w:rPr>
                <w:rFonts w:ascii="Arial" w:cs="Arial" w:eastAsia="Arial" w:hAnsi="Arial"/>
                <w:sz w:val="17"/>
                <w:szCs w:val="17"/>
                <w:b w:val="1"/>
                <w:bCs w:val="1"/>
                <w:color w:val="auto"/>
                <w:w w:val="88"/>
              </w:rPr>
              <w:t>As of December 31, 2015</w:t>
            </w: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6"/>
        </w:trPr>
        <w:tc>
          <w:tcPr>
            <w:tcW w:w="540" w:type="dxa"/>
            <w:vAlign w:val="bottom"/>
          </w:tcPr>
          <w:p>
            <w:pPr>
              <w:spacing w:after="0"/>
              <w:rPr>
                <w:sz w:val="2"/>
                <w:szCs w:val="2"/>
                <w:color w:val="auto"/>
              </w:rPr>
            </w:pPr>
          </w:p>
        </w:tc>
        <w:tc>
          <w:tcPr>
            <w:tcW w:w="53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4"/>
        </w:trPr>
        <w:tc>
          <w:tcPr>
            <w:tcW w:w="540" w:type="dxa"/>
            <w:vAlign w:val="bottom"/>
          </w:tcPr>
          <w:p>
            <w:pPr>
              <w:spacing w:after="0"/>
              <w:rPr>
                <w:sz w:val="17"/>
                <w:szCs w:val="17"/>
                <w:color w:val="auto"/>
              </w:rPr>
            </w:pPr>
          </w:p>
        </w:tc>
        <w:tc>
          <w:tcPr>
            <w:tcW w:w="5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6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85"/>
              </w:rPr>
              <w:t>Gross</w:t>
            </w:r>
          </w:p>
        </w:tc>
        <w:tc>
          <w:tcPr>
            <w:tcW w:w="180" w:type="dxa"/>
            <w:vAlign w:val="bottom"/>
          </w:tcPr>
          <w:p>
            <w:pPr>
              <w:spacing w:after="0"/>
              <w:rPr>
                <w:sz w:val="17"/>
                <w:szCs w:val="17"/>
                <w:color w:val="auto"/>
              </w:rPr>
            </w:pPr>
          </w:p>
        </w:tc>
        <w:tc>
          <w:tcPr>
            <w:tcW w:w="1380" w:type="dxa"/>
            <w:vAlign w:val="bottom"/>
            <w:gridSpan w:val="2"/>
          </w:tcPr>
          <w:p>
            <w:pPr>
              <w:ind w:left="80"/>
              <w:spacing w:after="0"/>
              <w:rPr>
                <w:sz w:val="20"/>
                <w:szCs w:val="20"/>
                <w:color w:val="auto"/>
              </w:rPr>
            </w:pPr>
            <w:r>
              <w:rPr>
                <w:rFonts w:ascii="Arial" w:cs="Arial" w:eastAsia="Arial" w:hAnsi="Arial"/>
                <w:sz w:val="17"/>
                <w:szCs w:val="17"/>
                <w:b w:val="1"/>
                <w:bCs w:val="1"/>
                <w:color w:val="auto"/>
              </w:rPr>
              <w:t>Accumulated</w:t>
            </w:r>
          </w:p>
        </w:tc>
        <w:tc>
          <w:tcPr>
            <w:tcW w:w="180" w:type="dxa"/>
            <w:vAlign w:val="bottom"/>
          </w:tcPr>
          <w:p>
            <w:pPr>
              <w:spacing w:after="0"/>
              <w:rPr>
                <w:sz w:val="17"/>
                <w:szCs w:val="17"/>
                <w:color w:val="auto"/>
              </w:rPr>
            </w:pPr>
          </w:p>
        </w:tc>
        <w:tc>
          <w:tcPr>
            <w:tcW w:w="1280" w:type="dxa"/>
            <w:vAlign w:val="bottom"/>
          </w:tcPr>
          <w:p>
            <w:pPr>
              <w:jc w:val="center"/>
              <w:ind w:right="116"/>
              <w:spacing w:after="0"/>
              <w:rPr>
                <w:sz w:val="20"/>
                <w:szCs w:val="20"/>
                <w:color w:val="auto"/>
              </w:rPr>
            </w:pPr>
            <w:r>
              <w:rPr>
                <w:rFonts w:ascii="Arial" w:cs="Arial" w:eastAsia="Arial" w:hAnsi="Arial"/>
                <w:sz w:val="17"/>
                <w:szCs w:val="17"/>
                <w:b w:val="1"/>
                <w:bCs w:val="1"/>
                <w:color w:val="auto"/>
                <w:w w:val="94"/>
              </w:rPr>
              <w:t>Net Carrying</w:t>
            </w:r>
          </w:p>
        </w:tc>
      </w:tr>
      <w:tr>
        <w:trPr>
          <w:trHeight w:val="218"/>
        </w:trPr>
        <w:tc>
          <w:tcPr>
            <w:tcW w:w="54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92"/>
              </w:rPr>
              <w:t>Carrying Amount</w:t>
            </w:r>
          </w:p>
        </w:tc>
        <w:tc>
          <w:tcPr>
            <w:tcW w:w="180" w:type="dxa"/>
            <w:vAlign w:val="bottom"/>
          </w:tcPr>
          <w:p>
            <w:pPr>
              <w:spacing w:after="0"/>
              <w:rPr>
                <w:sz w:val="18"/>
                <w:szCs w:val="18"/>
                <w:color w:val="auto"/>
              </w:rPr>
            </w:pPr>
          </w:p>
        </w:tc>
        <w:tc>
          <w:tcPr>
            <w:tcW w:w="1380" w:type="dxa"/>
            <w:vAlign w:val="bottom"/>
            <w:gridSpan w:val="2"/>
          </w:tcPr>
          <w:p>
            <w:pPr>
              <w:ind w:left="60"/>
              <w:spacing w:after="0"/>
              <w:rPr>
                <w:sz w:val="20"/>
                <w:szCs w:val="20"/>
                <w:color w:val="auto"/>
              </w:rPr>
            </w:pPr>
            <w:r>
              <w:rPr>
                <w:rFonts w:ascii="Arial" w:cs="Arial" w:eastAsia="Arial" w:hAnsi="Arial"/>
                <w:sz w:val="17"/>
                <w:szCs w:val="17"/>
                <w:b w:val="1"/>
                <w:bCs w:val="1"/>
                <w:color w:val="auto"/>
              </w:rPr>
              <w:t>Amortization</w:t>
            </w:r>
          </w:p>
        </w:tc>
        <w:tc>
          <w:tcPr>
            <w:tcW w:w="180" w:type="dxa"/>
            <w:vAlign w:val="bottom"/>
          </w:tcPr>
          <w:p>
            <w:pPr>
              <w:spacing w:after="0"/>
              <w:rPr>
                <w:sz w:val="18"/>
                <w:szCs w:val="18"/>
                <w:color w:val="auto"/>
              </w:rPr>
            </w:pPr>
          </w:p>
        </w:tc>
        <w:tc>
          <w:tcPr>
            <w:tcW w:w="1280" w:type="dxa"/>
            <w:vAlign w:val="bottom"/>
          </w:tcPr>
          <w:p>
            <w:pPr>
              <w:jc w:val="center"/>
              <w:ind w:right="116"/>
              <w:spacing w:after="0"/>
              <w:rPr>
                <w:sz w:val="20"/>
                <w:szCs w:val="20"/>
                <w:color w:val="auto"/>
              </w:rPr>
            </w:pPr>
            <w:r>
              <w:rPr>
                <w:rFonts w:ascii="Arial" w:cs="Arial" w:eastAsia="Arial" w:hAnsi="Arial"/>
                <w:sz w:val="17"/>
                <w:szCs w:val="17"/>
                <w:b w:val="1"/>
                <w:bCs w:val="1"/>
                <w:color w:val="auto"/>
                <w:w w:val="93"/>
              </w:rPr>
              <w:t>Amount</w:t>
            </w:r>
          </w:p>
        </w:tc>
      </w:tr>
      <w:tr>
        <w:trPr>
          <w:trHeight w:val="26"/>
        </w:trPr>
        <w:tc>
          <w:tcPr>
            <w:tcW w:w="540" w:type="dxa"/>
            <w:vAlign w:val="bottom"/>
          </w:tcPr>
          <w:p>
            <w:pPr>
              <w:spacing w:after="0"/>
              <w:rPr>
                <w:sz w:val="2"/>
                <w:szCs w:val="2"/>
                <w:color w:val="auto"/>
              </w:rPr>
            </w:pPr>
          </w:p>
        </w:tc>
        <w:tc>
          <w:tcPr>
            <w:tcW w:w="53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25"/>
        </w:trPr>
        <w:tc>
          <w:tcPr>
            <w:tcW w:w="540" w:type="dxa"/>
            <w:vAlign w:val="bottom"/>
          </w:tcPr>
          <w:p>
            <w:pPr>
              <w:spacing w:after="0"/>
              <w:rPr>
                <w:sz w:val="19"/>
                <w:szCs w:val="19"/>
                <w:color w:val="auto"/>
              </w:rPr>
            </w:pPr>
          </w:p>
        </w:tc>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Customer relationships</w:t>
            </w:r>
          </w:p>
        </w:tc>
        <w:tc>
          <w:tcPr>
            <w:tcW w:w="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w w:val="84"/>
              </w:rPr>
              <w:t>$</w:t>
            </w:r>
          </w:p>
        </w:tc>
        <w:tc>
          <w:tcPr>
            <w:tcW w:w="16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64,816</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(24,215)</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40,601</w:t>
            </w:r>
          </w:p>
        </w:tc>
      </w:tr>
      <w:tr>
        <w:trPr>
          <w:trHeight w:val="227"/>
        </w:trPr>
        <w:tc>
          <w:tcPr>
            <w:tcW w:w="540" w:type="dxa"/>
            <w:vAlign w:val="bottom"/>
          </w:tcPr>
          <w:p>
            <w:pPr>
              <w:spacing w:after="0"/>
              <w:rPr>
                <w:sz w:val="19"/>
                <w:szCs w:val="19"/>
                <w:color w:val="auto"/>
              </w:rPr>
            </w:pPr>
          </w:p>
        </w:tc>
        <w:tc>
          <w:tcPr>
            <w:tcW w:w="5380" w:type="dxa"/>
            <w:vAlign w:val="bottom"/>
          </w:tcPr>
          <w:p>
            <w:pPr>
              <w:ind w:left="20"/>
              <w:spacing w:after="0"/>
              <w:rPr>
                <w:sz w:val="20"/>
                <w:szCs w:val="20"/>
                <w:color w:val="auto"/>
              </w:rPr>
            </w:pPr>
            <w:r>
              <w:rPr>
                <w:rFonts w:ascii="Arial" w:cs="Arial" w:eastAsia="Arial" w:hAnsi="Arial"/>
                <w:sz w:val="17"/>
                <w:szCs w:val="17"/>
                <w:color w:val="auto"/>
              </w:rPr>
              <w:t>Developed technology</w:t>
            </w:r>
          </w:p>
        </w:tc>
        <w:tc>
          <w:tcPr>
            <w:tcW w:w="200" w:type="dxa"/>
            <w:vAlign w:val="bottom"/>
          </w:tcPr>
          <w:p>
            <w:pPr>
              <w:spacing w:after="0"/>
              <w:rPr>
                <w:sz w:val="19"/>
                <w:szCs w:val="19"/>
                <w:color w:val="auto"/>
              </w:rPr>
            </w:pPr>
          </w:p>
        </w:tc>
        <w:tc>
          <w:tcPr>
            <w:tcW w:w="1660" w:type="dxa"/>
            <w:vAlign w:val="bottom"/>
          </w:tcPr>
          <w:p>
            <w:pPr>
              <w:jc w:val="right"/>
              <w:ind w:right="16"/>
              <w:spacing w:after="0"/>
              <w:rPr>
                <w:sz w:val="20"/>
                <w:szCs w:val="20"/>
                <w:color w:val="auto"/>
              </w:rPr>
            </w:pPr>
            <w:r>
              <w:rPr>
                <w:rFonts w:ascii="Arial" w:cs="Arial" w:eastAsia="Arial" w:hAnsi="Arial"/>
                <w:sz w:val="17"/>
                <w:szCs w:val="17"/>
                <w:color w:val="auto"/>
              </w:rPr>
              <w:t>12,234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(4,363)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36"/>
              <w:spacing w:after="0"/>
              <w:rPr>
                <w:sz w:val="20"/>
                <w:szCs w:val="20"/>
                <w:color w:val="auto"/>
              </w:rPr>
            </w:pPr>
            <w:r>
              <w:rPr>
                <w:rFonts w:ascii="Arial" w:cs="Arial" w:eastAsia="Arial" w:hAnsi="Arial"/>
                <w:sz w:val="17"/>
                <w:szCs w:val="17"/>
                <w:color w:val="auto"/>
              </w:rPr>
              <w:t>7,871</w:t>
            </w:r>
          </w:p>
        </w:tc>
      </w:tr>
      <w:tr>
        <w:trPr>
          <w:trHeight w:val="26"/>
        </w:trPr>
        <w:tc>
          <w:tcPr>
            <w:tcW w:w="540" w:type="dxa"/>
            <w:vAlign w:val="bottom"/>
          </w:tcPr>
          <w:p>
            <w:pPr>
              <w:spacing w:after="0"/>
              <w:rPr>
                <w:sz w:val="2"/>
                <w:szCs w:val="2"/>
                <w:color w:val="auto"/>
              </w:rPr>
            </w:pPr>
          </w:p>
        </w:tc>
        <w:tc>
          <w:tcPr>
            <w:tcW w:w="5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3"/>
        </w:trPr>
        <w:tc>
          <w:tcPr>
            <w:tcW w:w="540" w:type="dxa"/>
            <w:vAlign w:val="bottom"/>
          </w:tcPr>
          <w:p>
            <w:pPr>
              <w:spacing w:after="0"/>
              <w:rPr>
                <w:sz w:val="20"/>
                <w:szCs w:val="20"/>
                <w:color w:val="auto"/>
              </w:rPr>
            </w:pPr>
          </w:p>
        </w:tc>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Trade names and trademarks</w:t>
            </w:r>
          </w:p>
        </w:tc>
        <w:tc>
          <w:tcPr>
            <w:tcW w:w="20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5,670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(2,683)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2,987</w:t>
            </w:r>
          </w:p>
        </w:tc>
      </w:tr>
      <w:tr>
        <w:trPr>
          <w:trHeight w:val="227"/>
        </w:trPr>
        <w:tc>
          <w:tcPr>
            <w:tcW w:w="540" w:type="dxa"/>
            <w:vAlign w:val="bottom"/>
          </w:tcPr>
          <w:p>
            <w:pPr>
              <w:spacing w:after="0"/>
              <w:rPr>
                <w:sz w:val="19"/>
                <w:szCs w:val="19"/>
                <w:color w:val="auto"/>
              </w:rPr>
            </w:pPr>
          </w:p>
        </w:tc>
        <w:tc>
          <w:tcPr>
            <w:tcW w:w="5380" w:type="dxa"/>
            <w:vAlign w:val="bottom"/>
          </w:tcPr>
          <w:p>
            <w:pPr>
              <w:ind w:left="20"/>
              <w:spacing w:after="0"/>
              <w:rPr>
                <w:sz w:val="20"/>
                <w:szCs w:val="20"/>
                <w:color w:val="auto"/>
              </w:rPr>
            </w:pPr>
            <w:r>
              <w:rPr>
                <w:rFonts w:ascii="Arial" w:cs="Arial" w:eastAsia="Arial" w:hAnsi="Arial"/>
                <w:sz w:val="17"/>
                <w:szCs w:val="17"/>
                <w:color w:val="auto"/>
              </w:rPr>
              <w:t>Leasehold benefits</w:t>
            </w:r>
          </w:p>
        </w:tc>
        <w:tc>
          <w:tcPr>
            <w:tcW w:w="200" w:type="dxa"/>
            <w:vAlign w:val="bottom"/>
          </w:tcPr>
          <w:p>
            <w:pPr>
              <w:spacing w:after="0"/>
              <w:rPr>
                <w:sz w:val="19"/>
                <w:szCs w:val="19"/>
                <w:color w:val="auto"/>
              </w:rPr>
            </w:pPr>
          </w:p>
        </w:tc>
        <w:tc>
          <w:tcPr>
            <w:tcW w:w="1660" w:type="dxa"/>
            <w:vAlign w:val="bottom"/>
          </w:tcPr>
          <w:p>
            <w:pPr>
              <w:jc w:val="right"/>
              <w:ind w:right="16"/>
              <w:spacing w:after="0"/>
              <w:rPr>
                <w:sz w:val="20"/>
                <w:szCs w:val="20"/>
                <w:color w:val="auto"/>
              </w:rPr>
            </w:pPr>
            <w:r>
              <w:rPr>
                <w:rFonts w:ascii="Arial" w:cs="Arial" w:eastAsia="Arial" w:hAnsi="Arial"/>
                <w:sz w:val="17"/>
                <w:szCs w:val="17"/>
                <w:color w:val="auto"/>
              </w:rPr>
              <w:t>2,789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(2,109)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36"/>
              <w:spacing w:after="0"/>
              <w:rPr>
                <w:sz w:val="20"/>
                <w:szCs w:val="20"/>
                <w:color w:val="auto"/>
              </w:rPr>
            </w:pPr>
            <w:r>
              <w:rPr>
                <w:rFonts w:ascii="Arial" w:cs="Arial" w:eastAsia="Arial" w:hAnsi="Arial"/>
                <w:sz w:val="17"/>
                <w:szCs w:val="17"/>
                <w:color w:val="auto"/>
              </w:rPr>
              <w:t>680</w:t>
            </w:r>
          </w:p>
        </w:tc>
      </w:tr>
      <w:tr>
        <w:trPr>
          <w:trHeight w:val="26"/>
        </w:trPr>
        <w:tc>
          <w:tcPr>
            <w:tcW w:w="540" w:type="dxa"/>
            <w:vAlign w:val="bottom"/>
          </w:tcPr>
          <w:p>
            <w:pPr>
              <w:spacing w:after="0"/>
              <w:rPr>
                <w:sz w:val="2"/>
                <w:szCs w:val="2"/>
                <w:color w:val="auto"/>
              </w:rPr>
            </w:pPr>
          </w:p>
        </w:tc>
        <w:tc>
          <w:tcPr>
            <w:tcW w:w="5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3"/>
        </w:trPr>
        <w:tc>
          <w:tcPr>
            <w:tcW w:w="540" w:type="dxa"/>
            <w:vAlign w:val="bottom"/>
          </w:tcPr>
          <w:p>
            <w:pPr>
              <w:spacing w:after="0"/>
              <w:rPr>
                <w:sz w:val="21"/>
                <w:szCs w:val="21"/>
                <w:color w:val="auto"/>
              </w:rPr>
            </w:pPr>
          </w:p>
        </w:tc>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Non-compete agreements</w:t>
            </w:r>
          </w:p>
        </w:tc>
        <w:tc>
          <w:tcPr>
            <w:tcW w:w="2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2,045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594</w:t>
            </w:r>
          </w:p>
        </w:tc>
      </w:tr>
      <w:tr>
        <w:trPr>
          <w:trHeight w:val="220"/>
        </w:trPr>
        <w:tc>
          <w:tcPr>
            <w:tcW w:w="54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20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w w:val="84"/>
              </w:rPr>
              <w:t>$</w:t>
            </w:r>
          </w:p>
        </w:tc>
        <w:tc>
          <w:tcPr>
            <w:tcW w:w="166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87,554</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(34,821)</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color w:val="auto"/>
              </w:rPr>
              <w:t>52,733</w:t>
            </w:r>
          </w:p>
        </w:tc>
      </w:tr>
      <w:tr>
        <w:trPr>
          <w:trHeight w:val="26"/>
        </w:trPr>
        <w:tc>
          <w:tcPr>
            <w:tcW w:w="540" w:type="dxa"/>
            <w:vAlign w:val="bottom"/>
          </w:tcPr>
          <w:p>
            <w:pPr>
              <w:spacing w:after="0"/>
              <w:rPr>
                <w:sz w:val="2"/>
                <w:szCs w:val="2"/>
                <w:color w:val="auto"/>
              </w:rPr>
            </w:pPr>
          </w:p>
        </w:tc>
        <w:tc>
          <w:tcPr>
            <w:tcW w:w="53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
        </w:trPr>
        <w:tc>
          <w:tcPr>
            <w:tcW w:w="54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jc w:val="both"/>
        <w:ind w:firstLine="379"/>
        <w:spacing w:after="0" w:line="300" w:lineRule="auto"/>
        <w:rPr>
          <w:sz w:val="20"/>
          <w:szCs w:val="20"/>
          <w:color w:val="auto"/>
        </w:rPr>
      </w:pPr>
      <w:r>
        <w:rPr>
          <w:rFonts w:ascii="Arial" w:cs="Arial" w:eastAsia="Arial" w:hAnsi="Arial"/>
          <w:sz w:val="15"/>
          <w:szCs w:val="15"/>
          <w:color w:val="auto"/>
        </w:rPr>
        <w:t>Amortization expense for the three months ended September 30, 2016 and 2015 was $2,848 and $2,642, respectively, and for the nine months ended September 30, 2016 and 2015 it was $8,281 and $7,509, respectively. The remaining weighted average life of intangible assets was 6.0 years for customer relationships, 5.1 years for developed technology, 5.8 years for trade names and trademarks excluding indefinite life trade names and trademarks, 2.7 years for leasehold benefits and 2.8 years for non-compete agreements. The Company has $900 of indefinite lived trade names and trademarks as of September 30, 2016 and December 31, 2015.</w:t>
      </w:r>
    </w:p>
    <w:p>
      <w:pPr>
        <w:spacing w:after="0" w:line="94" w:lineRule="exact"/>
        <w:rPr>
          <w:sz w:val="20"/>
          <w:szCs w:val="20"/>
          <w:color w:val="auto"/>
        </w:rPr>
      </w:pPr>
    </w:p>
    <w:tbl>
      <w:tblPr>
        <w:tblLayout w:type="fixed"/>
        <w:tblInd w:w="1220" w:type="dxa"/>
        <w:tblCellMar>
          <w:top w:w="0" w:type="dxa"/>
          <w:left w:w="0" w:type="dxa"/>
          <w:bottom w:w="0" w:type="dxa"/>
          <w:right w:w="0" w:type="dxa"/>
        </w:tblCellMar>
      </w:tblPr>
      <w:tr>
        <w:trPr>
          <w:trHeight w:val="218"/>
        </w:trPr>
        <w:tc>
          <w:tcPr>
            <w:tcW w:w="6760" w:type="dxa"/>
            <w:vAlign w:val="bottom"/>
          </w:tcPr>
          <w:p>
            <w:pPr>
              <w:ind w:left="20"/>
              <w:spacing w:after="0"/>
              <w:rPr>
                <w:sz w:val="20"/>
                <w:szCs w:val="20"/>
                <w:color w:val="auto"/>
              </w:rPr>
            </w:pPr>
            <w:r>
              <w:rPr>
                <w:rFonts w:ascii="Arial" w:cs="Arial" w:eastAsia="Arial" w:hAnsi="Arial"/>
                <w:sz w:val="17"/>
                <w:szCs w:val="17"/>
                <w:b w:val="1"/>
                <w:bCs w:val="1"/>
                <w:color w:val="auto"/>
              </w:rPr>
              <w:t>Estimated amortization of intangible assets during the year ending September 30,</w:t>
            </w:r>
          </w:p>
        </w:tc>
        <w:tc>
          <w:tcPr>
            <w:tcW w:w="13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6"/>
        </w:trPr>
        <w:tc>
          <w:tcPr>
            <w:tcW w:w="67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3"/>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2017</w:t>
            </w:r>
          </w:p>
        </w:tc>
        <w:tc>
          <w:tcPr>
            <w:tcW w:w="1340" w:type="dxa"/>
            <w:vAlign w:val="bottom"/>
            <w:tcBorders>
              <w:bottom w:val="single" w:sz="8" w:color="CCEEFF"/>
            </w:tcBorders>
            <w:shd w:val="clear" w:color="auto" w:fill="CCEEFF"/>
          </w:tcPr>
          <w:p>
            <w:pPr>
              <w:jc w:val="right"/>
              <w:ind w:right="276"/>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11,552</w:t>
            </w:r>
          </w:p>
        </w:tc>
      </w:tr>
      <w:tr>
        <w:trPr>
          <w:trHeight w:val="227"/>
        </w:trPr>
        <w:tc>
          <w:tcPr>
            <w:tcW w:w="6760" w:type="dxa"/>
            <w:vAlign w:val="bottom"/>
          </w:tcPr>
          <w:p>
            <w:pPr>
              <w:ind w:left="20"/>
              <w:spacing w:after="0"/>
              <w:rPr>
                <w:sz w:val="20"/>
                <w:szCs w:val="20"/>
                <w:color w:val="auto"/>
              </w:rPr>
            </w:pPr>
            <w:r>
              <w:rPr>
                <w:rFonts w:ascii="Arial" w:cs="Arial" w:eastAsia="Arial" w:hAnsi="Arial"/>
                <w:sz w:val="17"/>
                <w:szCs w:val="17"/>
                <w:color w:val="auto"/>
              </w:rPr>
              <w:t>2018</w:t>
            </w:r>
          </w:p>
        </w:tc>
        <w:tc>
          <w:tcPr>
            <w:tcW w:w="1340" w:type="dxa"/>
            <w:vAlign w:val="bottom"/>
          </w:tcPr>
          <w:p>
            <w:pPr>
              <w:jc w:val="right"/>
              <w:ind w:right="276"/>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11,245</w:t>
            </w:r>
          </w:p>
        </w:tc>
      </w:tr>
      <w:tr>
        <w:trPr>
          <w:trHeight w:val="26"/>
        </w:trPr>
        <w:tc>
          <w:tcPr>
            <w:tcW w:w="67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3"/>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2019</w:t>
            </w:r>
          </w:p>
        </w:tc>
        <w:tc>
          <w:tcPr>
            <w:tcW w:w="1340" w:type="dxa"/>
            <w:vAlign w:val="bottom"/>
            <w:tcBorders>
              <w:bottom w:val="single" w:sz="8" w:color="CCEEFF"/>
            </w:tcBorders>
            <w:shd w:val="clear" w:color="auto" w:fill="CCEEFF"/>
          </w:tcPr>
          <w:p>
            <w:pPr>
              <w:jc w:val="right"/>
              <w:ind w:right="276"/>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11,019</w:t>
            </w:r>
          </w:p>
        </w:tc>
      </w:tr>
      <w:tr>
        <w:trPr>
          <w:trHeight w:val="227"/>
        </w:trPr>
        <w:tc>
          <w:tcPr>
            <w:tcW w:w="6760" w:type="dxa"/>
            <w:vAlign w:val="bottom"/>
          </w:tcPr>
          <w:p>
            <w:pPr>
              <w:ind w:left="20"/>
              <w:spacing w:after="0"/>
              <w:rPr>
                <w:sz w:val="20"/>
                <w:szCs w:val="20"/>
                <w:color w:val="auto"/>
              </w:rPr>
            </w:pPr>
            <w:r>
              <w:rPr>
                <w:rFonts w:ascii="Arial" w:cs="Arial" w:eastAsia="Arial" w:hAnsi="Arial"/>
                <w:sz w:val="17"/>
                <w:szCs w:val="17"/>
                <w:color w:val="auto"/>
              </w:rPr>
              <w:t>2020</w:t>
            </w:r>
          </w:p>
        </w:tc>
        <w:tc>
          <w:tcPr>
            <w:tcW w:w="1340" w:type="dxa"/>
            <w:vAlign w:val="bottom"/>
          </w:tcPr>
          <w:p>
            <w:pPr>
              <w:jc w:val="right"/>
              <w:ind w:right="276"/>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4,950</w:t>
            </w:r>
          </w:p>
        </w:tc>
      </w:tr>
      <w:tr>
        <w:trPr>
          <w:trHeight w:val="26"/>
        </w:trPr>
        <w:tc>
          <w:tcPr>
            <w:tcW w:w="67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7"/>
        </w:trPr>
        <w:tc>
          <w:tcPr>
            <w:tcW w:w="6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2021 and thereafter</w:t>
            </w:r>
          </w:p>
        </w:tc>
        <w:tc>
          <w:tcPr>
            <w:tcW w:w="1340" w:type="dxa"/>
            <w:vAlign w:val="bottom"/>
            <w:shd w:val="clear" w:color="auto" w:fill="CCEEFF"/>
          </w:tcPr>
          <w:p>
            <w:pPr>
              <w:jc w:val="right"/>
              <w:ind w:right="276"/>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10,660</w:t>
            </w:r>
          </w:p>
        </w:tc>
      </w:tr>
      <w:tr>
        <w:trPr>
          <w:trHeight w:val="26"/>
        </w:trPr>
        <w:tc>
          <w:tcPr>
            <w:tcW w:w="67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420"/>
          </w:cols>
          <w:pgMar w:left="240" w:top="123" w:right="239" w:bottom="1440" w:gutter="0" w:footer="0" w:header="0"/>
        </w:sectPr>
      </w:pPr>
    </w:p>
    <w:bookmarkStart w:id="15" w:name="page16"/>
    <w:bookmarkEnd w:id="15"/>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23" w:lineRule="exact"/>
        <w:rPr>
          <w:sz w:val="20"/>
          <w:szCs w:val="20"/>
          <w:color w:val="auto"/>
        </w:rPr>
      </w:pPr>
    </w:p>
    <w:p>
      <w:pPr>
        <w:ind w:left="4480"/>
        <w:spacing w:after="0"/>
        <w:rPr>
          <w:sz w:val="20"/>
          <w:szCs w:val="20"/>
          <w:color w:val="auto"/>
        </w:rPr>
      </w:pPr>
      <w:r>
        <w:rPr>
          <w:rFonts w:ascii="Arial" w:cs="Arial" w:eastAsia="Arial" w:hAnsi="Arial"/>
          <w:sz w:val="17"/>
          <w:szCs w:val="17"/>
          <w:b w:val="1"/>
          <w:bCs w:val="1"/>
          <w:color w:val="auto"/>
        </w:rPr>
        <w:t>EXLSERVICE HOLDINGS, INC.</w:t>
      </w:r>
    </w:p>
    <w:p>
      <w:pPr>
        <w:spacing w:after="0" w:line="92" w:lineRule="exact"/>
        <w:rPr>
          <w:sz w:val="20"/>
          <w:szCs w:val="20"/>
          <w:color w:val="auto"/>
        </w:rPr>
      </w:pPr>
    </w:p>
    <w:p>
      <w:pPr>
        <w:ind w:left="2480"/>
        <w:spacing w:after="0"/>
        <w:rPr>
          <w:sz w:val="20"/>
          <w:szCs w:val="20"/>
          <w:color w:val="auto"/>
        </w:rPr>
      </w:pPr>
      <w:r>
        <w:rPr>
          <w:rFonts w:ascii="Arial" w:cs="Arial" w:eastAsia="Arial" w:hAnsi="Arial"/>
          <w:sz w:val="17"/>
          <w:szCs w:val="17"/>
          <w:b w:val="1"/>
          <w:bCs w:val="1"/>
          <w:color w:val="auto"/>
        </w:rPr>
        <w:t>NOTES TO UNAUDITED CONSOLIDATED FINANCIAL STATEMENTS—(continued)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September 30, 2016</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Fair Value Measurements</w:t>
      </w:r>
    </w:p>
    <w:p>
      <w:pPr>
        <w:spacing w:after="0" w:line="3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Assets and Liabilities Measured at Fair Value</w:t>
      </w:r>
    </w:p>
    <w:p>
      <w:pPr>
        <w:spacing w:after="0" w:line="209" w:lineRule="exact"/>
        <w:rPr>
          <w:sz w:val="20"/>
          <w:szCs w:val="20"/>
          <w:color w:val="auto"/>
        </w:rPr>
      </w:pPr>
    </w:p>
    <w:p>
      <w:pPr>
        <w:jc w:val="both"/>
        <w:ind w:firstLine="404"/>
        <w:spacing w:after="0" w:line="271" w:lineRule="auto"/>
        <w:rPr>
          <w:sz w:val="20"/>
          <w:szCs w:val="20"/>
          <w:color w:val="auto"/>
        </w:rPr>
      </w:pPr>
      <w:r>
        <w:rPr>
          <w:rFonts w:ascii="Arial" w:cs="Arial" w:eastAsia="Arial" w:hAnsi="Arial"/>
          <w:sz w:val="17"/>
          <w:szCs w:val="17"/>
          <w:color w:val="auto"/>
        </w:rPr>
        <w:t>The following table sets forth the Company’s assets and liabilities that were accounted for at fair value as of September 30, 2016 and December 31, 2015. The table excludes accounts receivable, accounts payable and accrued expenses for which fair values approximate their carrying amounts.</w:t>
      </w:r>
    </w:p>
    <w:p>
      <w:pPr>
        <w:spacing w:after="0" w:line="212" w:lineRule="exact"/>
        <w:rPr>
          <w:sz w:val="20"/>
          <w:szCs w:val="20"/>
          <w:color w:val="auto"/>
        </w:rPr>
      </w:pPr>
    </w:p>
    <w:tbl>
      <w:tblPr>
        <w:tblLayout w:type="fixed"/>
        <w:tblInd w:w="460" w:type="dxa"/>
        <w:tblCellMar>
          <w:top w:w="0" w:type="dxa"/>
          <w:left w:w="0" w:type="dxa"/>
          <w:bottom w:w="0" w:type="dxa"/>
          <w:right w:w="0" w:type="dxa"/>
        </w:tblCellMar>
      </w:tblPr>
      <w:tr>
        <w:trPr>
          <w:trHeight w:val="218"/>
        </w:trPr>
        <w:tc>
          <w:tcPr>
            <w:tcW w:w="3880" w:type="dxa"/>
            <w:vAlign w:val="bottom"/>
          </w:tcPr>
          <w:p>
            <w:pPr>
              <w:ind w:left="20"/>
              <w:spacing w:after="0"/>
              <w:rPr>
                <w:sz w:val="20"/>
                <w:szCs w:val="20"/>
                <w:color w:val="auto"/>
              </w:rPr>
            </w:pPr>
            <w:r>
              <w:rPr>
                <w:rFonts w:ascii="Arial" w:cs="Arial" w:eastAsia="Arial" w:hAnsi="Arial"/>
                <w:sz w:val="17"/>
                <w:szCs w:val="17"/>
                <w:b w:val="1"/>
                <w:bCs w:val="1"/>
                <w:color w:val="auto"/>
              </w:rPr>
              <w:t>As of September 30, 2016</w:t>
            </w:r>
          </w:p>
        </w:tc>
        <w:tc>
          <w:tcPr>
            <w:tcW w:w="320" w:type="dxa"/>
            <w:vAlign w:val="bottom"/>
          </w:tcPr>
          <w:p>
            <w:pPr>
              <w:spacing w:after="0"/>
              <w:rPr>
                <w:sz w:val="18"/>
                <w:szCs w:val="18"/>
                <w:color w:val="auto"/>
              </w:rPr>
            </w:pPr>
          </w:p>
        </w:tc>
        <w:tc>
          <w:tcPr>
            <w:tcW w:w="1360" w:type="dxa"/>
            <w:vAlign w:val="bottom"/>
            <w:gridSpan w:val="2"/>
          </w:tcPr>
          <w:p>
            <w:pPr>
              <w:ind w:left="220"/>
              <w:spacing w:after="0"/>
              <w:rPr>
                <w:sz w:val="20"/>
                <w:szCs w:val="20"/>
                <w:color w:val="auto"/>
              </w:rPr>
            </w:pPr>
            <w:r>
              <w:rPr>
                <w:rFonts w:ascii="Arial" w:cs="Arial" w:eastAsia="Arial" w:hAnsi="Arial"/>
                <w:sz w:val="17"/>
                <w:szCs w:val="17"/>
                <w:b w:val="1"/>
                <w:bCs w:val="1"/>
                <w:color w:val="auto"/>
              </w:rPr>
              <w:t>Level 1</w:t>
            </w:r>
          </w:p>
        </w:tc>
        <w:tc>
          <w:tcPr>
            <w:tcW w:w="320" w:type="dxa"/>
            <w:vAlign w:val="bottom"/>
          </w:tcPr>
          <w:p>
            <w:pPr>
              <w:spacing w:after="0"/>
              <w:rPr>
                <w:sz w:val="18"/>
                <w:szCs w:val="18"/>
                <w:color w:val="auto"/>
              </w:rPr>
            </w:pPr>
          </w:p>
        </w:tc>
        <w:tc>
          <w:tcPr>
            <w:tcW w:w="1380" w:type="dxa"/>
            <w:vAlign w:val="bottom"/>
            <w:gridSpan w:val="2"/>
          </w:tcPr>
          <w:p>
            <w:pPr>
              <w:ind w:left="220"/>
              <w:spacing w:after="0"/>
              <w:rPr>
                <w:sz w:val="20"/>
                <w:szCs w:val="20"/>
                <w:color w:val="auto"/>
              </w:rPr>
            </w:pPr>
            <w:r>
              <w:rPr>
                <w:rFonts w:ascii="Arial" w:cs="Arial" w:eastAsia="Arial" w:hAnsi="Arial"/>
                <w:sz w:val="17"/>
                <w:szCs w:val="17"/>
                <w:b w:val="1"/>
                <w:bCs w:val="1"/>
                <w:color w:val="auto"/>
              </w:rPr>
              <w:t>Level 2</w:t>
            </w:r>
          </w:p>
        </w:tc>
        <w:tc>
          <w:tcPr>
            <w:tcW w:w="300" w:type="dxa"/>
            <w:vAlign w:val="bottom"/>
          </w:tcPr>
          <w:p>
            <w:pPr>
              <w:spacing w:after="0"/>
              <w:rPr>
                <w:sz w:val="18"/>
                <w:szCs w:val="18"/>
                <w:color w:val="auto"/>
              </w:rPr>
            </w:pPr>
          </w:p>
        </w:tc>
        <w:tc>
          <w:tcPr>
            <w:tcW w:w="1380" w:type="dxa"/>
            <w:vAlign w:val="bottom"/>
            <w:gridSpan w:val="2"/>
          </w:tcPr>
          <w:p>
            <w:pPr>
              <w:ind w:left="220"/>
              <w:spacing w:after="0"/>
              <w:rPr>
                <w:sz w:val="20"/>
                <w:szCs w:val="20"/>
                <w:color w:val="auto"/>
              </w:rPr>
            </w:pPr>
            <w:r>
              <w:rPr>
                <w:rFonts w:ascii="Arial" w:cs="Arial" w:eastAsia="Arial" w:hAnsi="Arial"/>
                <w:sz w:val="17"/>
                <w:szCs w:val="17"/>
                <w:b w:val="1"/>
                <w:bCs w:val="1"/>
                <w:color w:val="auto"/>
              </w:rPr>
              <w:t>Level 3</w:t>
            </w:r>
          </w:p>
        </w:tc>
        <w:tc>
          <w:tcPr>
            <w:tcW w:w="340" w:type="dxa"/>
            <w:vAlign w:val="bottom"/>
          </w:tcPr>
          <w:p>
            <w:pPr>
              <w:spacing w:after="0"/>
              <w:rPr>
                <w:sz w:val="18"/>
                <w:szCs w:val="18"/>
                <w:color w:val="auto"/>
              </w:rPr>
            </w:pPr>
          </w:p>
        </w:tc>
        <w:tc>
          <w:tcPr>
            <w:tcW w:w="1240" w:type="dxa"/>
            <w:vAlign w:val="bottom"/>
          </w:tcPr>
          <w:p>
            <w:pPr>
              <w:jc w:val="right"/>
              <w:ind w:right="536"/>
              <w:spacing w:after="0"/>
              <w:rPr>
                <w:sz w:val="20"/>
                <w:szCs w:val="20"/>
                <w:color w:val="auto"/>
              </w:rPr>
            </w:pPr>
            <w:r>
              <w:rPr>
                <w:rFonts w:ascii="Arial" w:cs="Arial" w:eastAsia="Arial" w:hAnsi="Arial"/>
                <w:sz w:val="17"/>
                <w:szCs w:val="17"/>
                <w:b w:val="1"/>
                <w:bCs w:val="1"/>
                <w:color w:val="auto"/>
              </w:rPr>
              <w:t>Total</w:t>
            </w:r>
          </w:p>
        </w:tc>
      </w:tr>
      <w:tr>
        <w:trPr>
          <w:trHeight w:val="26"/>
        </w:trPr>
        <w:tc>
          <w:tcPr>
            <w:tcW w:w="38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5"/>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3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r>
      <w:tr>
        <w:trPr>
          <w:trHeight w:val="227"/>
        </w:trPr>
        <w:tc>
          <w:tcPr>
            <w:tcW w:w="3880" w:type="dxa"/>
            <w:vAlign w:val="bottom"/>
          </w:tcPr>
          <w:p>
            <w:pPr>
              <w:ind w:left="20"/>
              <w:spacing w:after="0"/>
              <w:rPr>
                <w:sz w:val="20"/>
                <w:szCs w:val="20"/>
                <w:color w:val="auto"/>
              </w:rPr>
            </w:pPr>
            <w:r>
              <w:rPr>
                <w:rFonts w:ascii="Arial" w:cs="Arial" w:eastAsia="Arial" w:hAnsi="Arial"/>
                <w:sz w:val="17"/>
                <w:szCs w:val="17"/>
                <w:color w:val="auto"/>
              </w:rPr>
              <w:t>Money market and mutual funds*</w:t>
            </w:r>
          </w:p>
        </w:tc>
        <w:tc>
          <w:tcPr>
            <w:tcW w:w="320" w:type="dxa"/>
            <w:vAlign w:val="bottom"/>
          </w:tcPr>
          <w:p>
            <w:pPr>
              <w:jc w:val="right"/>
              <w:ind w:right="116"/>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16"/>
              <w:spacing w:after="0"/>
              <w:rPr>
                <w:sz w:val="20"/>
                <w:szCs w:val="20"/>
                <w:color w:val="auto"/>
              </w:rPr>
            </w:pPr>
            <w:r>
              <w:rPr>
                <w:rFonts w:ascii="Arial" w:cs="Arial" w:eastAsia="Arial" w:hAnsi="Arial"/>
                <w:sz w:val="17"/>
                <w:szCs w:val="17"/>
                <w:color w:val="auto"/>
              </w:rPr>
              <w:t>116,242</w:t>
            </w:r>
          </w:p>
        </w:tc>
        <w:tc>
          <w:tcPr>
            <w:tcW w:w="100" w:type="dxa"/>
            <w:vAlign w:val="bottom"/>
          </w:tcPr>
          <w:p>
            <w:pPr>
              <w:spacing w:after="0"/>
              <w:rPr>
                <w:sz w:val="19"/>
                <w:szCs w:val="19"/>
                <w:color w:val="auto"/>
              </w:rPr>
            </w:pPr>
          </w:p>
        </w:tc>
        <w:tc>
          <w:tcPr>
            <w:tcW w:w="320" w:type="dxa"/>
            <w:vAlign w:val="bottom"/>
          </w:tcPr>
          <w:p>
            <w:pPr>
              <w:jc w:val="right"/>
              <w:ind w:right="116"/>
              <w:spacing w:after="0"/>
              <w:rPr>
                <w:sz w:val="20"/>
                <w:szCs w:val="20"/>
                <w:color w:val="auto"/>
              </w:rPr>
            </w:pPr>
            <w:r>
              <w:rPr>
                <w:rFonts w:ascii="Arial" w:cs="Arial" w:eastAsia="Arial" w:hAnsi="Arial"/>
                <w:sz w:val="17"/>
                <w:szCs w:val="17"/>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tcPr>
          <w:p>
            <w:pPr>
              <w:jc w:val="right"/>
              <w:ind w:right="116"/>
              <w:spacing w:after="0"/>
              <w:rPr>
                <w:sz w:val="20"/>
                <w:szCs w:val="20"/>
                <w:color w:val="auto"/>
              </w:rPr>
            </w:pPr>
            <w:r>
              <w:rPr>
                <w:rFonts w:ascii="Arial" w:cs="Arial" w:eastAsia="Arial" w:hAnsi="Arial"/>
                <w:sz w:val="17"/>
                <w:szCs w:val="17"/>
                <w:color w:val="auto"/>
                <w:w w:val="84"/>
              </w:rPr>
              <w:t>$</w:t>
            </w:r>
          </w:p>
        </w:tc>
        <w:tc>
          <w:tcPr>
            <w:tcW w:w="13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40" w:type="dxa"/>
            <w:vAlign w:val="bottom"/>
          </w:tcPr>
          <w:p>
            <w:pPr>
              <w:jc w:val="right"/>
              <w:ind w:right="156"/>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ind w:right="36"/>
              <w:spacing w:after="0"/>
              <w:rPr>
                <w:sz w:val="20"/>
                <w:szCs w:val="20"/>
                <w:color w:val="auto"/>
              </w:rPr>
            </w:pPr>
            <w:r>
              <w:rPr>
                <w:rFonts w:ascii="Arial" w:cs="Arial" w:eastAsia="Arial" w:hAnsi="Arial"/>
                <w:sz w:val="17"/>
                <w:szCs w:val="17"/>
                <w:color w:val="auto"/>
              </w:rPr>
              <w:t>116,242</w:t>
            </w:r>
          </w:p>
        </w:tc>
      </w:tr>
      <w:tr>
        <w:trPr>
          <w:trHeight w:val="26"/>
        </w:trPr>
        <w:tc>
          <w:tcPr>
            <w:tcW w:w="3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3"/>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Derivative financial instruments</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6,622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6,622</w:t>
            </w:r>
          </w:p>
        </w:tc>
      </w:tr>
      <w:tr>
        <w:trPr>
          <w:trHeight w:val="220"/>
        </w:trPr>
        <w:tc>
          <w:tcPr>
            <w:tcW w:w="3880" w:type="dxa"/>
            <w:vAlign w:val="bottom"/>
          </w:tcPr>
          <w:p>
            <w:pPr>
              <w:ind w:left="20"/>
              <w:spacing w:after="0"/>
              <w:rPr>
                <w:sz w:val="20"/>
                <w:szCs w:val="20"/>
                <w:color w:val="auto"/>
              </w:rPr>
            </w:pPr>
            <w:r>
              <w:rPr>
                <w:rFonts w:ascii="Arial" w:cs="Arial" w:eastAsia="Arial" w:hAnsi="Arial"/>
                <w:sz w:val="17"/>
                <w:szCs w:val="17"/>
                <w:color w:val="auto"/>
              </w:rPr>
              <w:t>Total</w:t>
            </w:r>
          </w:p>
        </w:tc>
        <w:tc>
          <w:tcPr>
            <w:tcW w:w="320" w:type="dxa"/>
            <w:vAlign w:val="bottom"/>
            <w:tcBorders>
              <w:top w:val="single" w:sz="8" w:color="auto"/>
            </w:tcBorders>
          </w:tcPr>
          <w:p>
            <w:pPr>
              <w:jc w:val="right"/>
              <w:ind w:right="116"/>
              <w:spacing w:after="0"/>
              <w:rPr>
                <w:sz w:val="20"/>
                <w:szCs w:val="20"/>
                <w:color w:val="auto"/>
              </w:rPr>
            </w:pPr>
            <w:r>
              <w:rPr>
                <w:rFonts w:ascii="Arial" w:cs="Arial" w:eastAsia="Arial" w:hAnsi="Arial"/>
                <w:sz w:val="17"/>
                <w:szCs w:val="17"/>
                <w:color w:val="auto"/>
              </w:rPr>
              <w:t>$</w:t>
            </w:r>
          </w:p>
        </w:tc>
        <w:tc>
          <w:tcPr>
            <w:tcW w:w="126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116,242</w:t>
            </w:r>
          </w:p>
        </w:tc>
        <w:tc>
          <w:tcPr>
            <w:tcW w:w="100" w:type="dxa"/>
            <w:vAlign w:val="bottom"/>
          </w:tcPr>
          <w:p>
            <w:pPr>
              <w:spacing w:after="0"/>
              <w:rPr>
                <w:sz w:val="19"/>
                <w:szCs w:val="19"/>
                <w:color w:val="auto"/>
              </w:rPr>
            </w:pPr>
          </w:p>
        </w:tc>
        <w:tc>
          <w:tcPr>
            <w:tcW w:w="320" w:type="dxa"/>
            <w:vAlign w:val="bottom"/>
            <w:tcBorders>
              <w:top w:val="single" w:sz="8" w:color="auto"/>
            </w:tcBorders>
          </w:tcPr>
          <w:p>
            <w:pPr>
              <w:jc w:val="right"/>
              <w:ind w:right="116"/>
              <w:spacing w:after="0"/>
              <w:rPr>
                <w:sz w:val="20"/>
                <w:szCs w:val="20"/>
                <w:color w:val="auto"/>
              </w:rPr>
            </w:pPr>
            <w:r>
              <w:rPr>
                <w:rFonts w:ascii="Arial" w:cs="Arial" w:eastAsia="Arial" w:hAnsi="Arial"/>
                <w:sz w:val="17"/>
                <w:szCs w:val="17"/>
                <w:color w:val="auto"/>
              </w:rPr>
              <w:t>$</w:t>
            </w:r>
          </w:p>
        </w:tc>
        <w:tc>
          <w:tcPr>
            <w:tcW w:w="126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6,622</w:t>
            </w:r>
          </w:p>
        </w:tc>
        <w:tc>
          <w:tcPr>
            <w:tcW w:w="120" w:type="dxa"/>
            <w:vAlign w:val="bottom"/>
          </w:tcPr>
          <w:p>
            <w:pPr>
              <w:spacing w:after="0"/>
              <w:rPr>
                <w:sz w:val="19"/>
                <w:szCs w:val="19"/>
                <w:color w:val="auto"/>
              </w:rPr>
            </w:pPr>
          </w:p>
        </w:tc>
        <w:tc>
          <w:tcPr>
            <w:tcW w:w="300" w:type="dxa"/>
            <w:vAlign w:val="bottom"/>
            <w:tcBorders>
              <w:top w:val="single" w:sz="8" w:color="auto"/>
            </w:tcBorders>
          </w:tcPr>
          <w:p>
            <w:pPr>
              <w:jc w:val="right"/>
              <w:ind w:right="116"/>
              <w:spacing w:after="0"/>
              <w:rPr>
                <w:sz w:val="20"/>
                <w:szCs w:val="20"/>
                <w:color w:val="auto"/>
              </w:rPr>
            </w:pPr>
            <w:r>
              <w:rPr>
                <w:rFonts w:ascii="Arial" w:cs="Arial" w:eastAsia="Arial" w:hAnsi="Arial"/>
                <w:sz w:val="17"/>
                <w:szCs w:val="17"/>
                <w:color w:val="auto"/>
                <w:w w:val="84"/>
              </w:rPr>
              <w:t>$</w:t>
            </w:r>
          </w:p>
        </w:tc>
        <w:tc>
          <w:tcPr>
            <w:tcW w:w="128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340" w:type="dxa"/>
            <w:vAlign w:val="bottom"/>
            <w:tcBorders>
              <w:top w:val="single" w:sz="8" w:color="auto"/>
            </w:tcBorders>
          </w:tcPr>
          <w:p>
            <w:pPr>
              <w:jc w:val="right"/>
              <w:ind w:right="156"/>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color w:val="auto"/>
              </w:rPr>
              <w:t>122,864</w:t>
            </w:r>
          </w:p>
        </w:tc>
      </w:tr>
      <w:tr>
        <w:trPr>
          <w:trHeight w:val="66"/>
        </w:trPr>
        <w:tc>
          <w:tcPr>
            <w:tcW w:w="388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r>
      <w:tr>
        <w:trPr>
          <w:trHeight w:val="211"/>
        </w:trPr>
        <w:tc>
          <w:tcPr>
            <w:tcW w:w="3880" w:type="dxa"/>
            <w:vAlign w:val="bottom"/>
            <w:tcBorders>
              <w:bottom w:val="single" w:sz="8" w:color="CCEEFF"/>
            </w:tcBorders>
            <w:shd w:val="clear" w:color="auto" w:fill="CCEEFF"/>
          </w:tcPr>
          <w:p>
            <w:pPr>
              <w:ind w:left="20"/>
              <w:spacing w:after="0" w:line="180" w:lineRule="exact"/>
              <w:rPr>
                <w:sz w:val="20"/>
                <w:szCs w:val="20"/>
                <w:color w:val="auto"/>
              </w:rPr>
            </w:pPr>
            <w:r>
              <w:rPr>
                <w:rFonts w:ascii="Arial" w:cs="Arial" w:eastAsia="Arial" w:hAnsi="Arial"/>
                <w:sz w:val="17"/>
                <w:szCs w:val="17"/>
                <w:b w:val="1"/>
                <w:bCs w:val="1"/>
                <w:color w:val="auto"/>
              </w:rPr>
              <w:t>Liabilities</w:t>
            </w:r>
          </w:p>
        </w:tc>
        <w:tc>
          <w:tcPr>
            <w:tcW w:w="3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r>
      <w:tr>
        <w:trPr>
          <w:trHeight w:val="227"/>
        </w:trPr>
        <w:tc>
          <w:tcPr>
            <w:tcW w:w="3880" w:type="dxa"/>
            <w:vAlign w:val="bottom"/>
          </w:tcPr>
          <w:p>
            <w:pPr>
              <w:ind w:left="20"/>
              <w:spacing w:after="0"/>
              <w:rPr>
                <w:sz w:val="20"/>
                <w:szCs w:val="20"/>
                <w:color w:val="auto"/>
              </w:rPr>
            </w:pPr>
            <w:r>
              <w:rPr>
                <w:rFonts w:ascii="Arial" w:cs="Arial" w:eastAsia="Arial" w:hAnsi="Arial"/>
                <w:sz w:val="17"/>
                <w:szCs w:val="17"/>
                <w:color w:val="auto"/>
              </w:rPr>
              <w:t>Derivative financial instruments</w:t>
            </w:r>
          </w:p>
        </w:tc>
        <w:tc>
          <w:tcPr>
            <w:tcW w:w="320" w:type="dxa"/>
            <w:vAlign w:val="bottom"/>
          </w:tcPr>
          <w:p>
            <w:pPr>
              <w:jc w:val="right"/>
              <w:ind w:right="116"/>
              <w:spacing w:after="0"/>
              <w:rPr>
                <w:sz w:val="20"/>
                <w:szCs w:val="20"/>
                <w:color w:val="auto"/>
              </w:rPr>
            </w:pPr>
            <w:r>
              <w:rPr>
                <w:rFonts w:ascii="Arial" w:cs="Arial" w:eastAsia="Arial" w:hAnsi="Arial"/>
                <w:sz w:val="17"/>
                <w:szCs w:val="17"/>
                <w:color w:val="auto"/>
              </w:rPr>
              <w:t>$</w:t>
            </w:r>
          </w:p>
        </w:tc>
        <w:tc>
          <w:tcPr>
            <w:tcW w:w="13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320" w:type="dxa"/>
            <w:vAlign w:val="bottom"/>
          </w:tcPr>
          <w:p>
            <w:pPr>
              <w:jc w:val="right"/>
              <w:ind w:right="116"/>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16"/>
              <w:spacing w:after="0"/>
              <w:rPr>
                <w:sz w:val="20"/>
                <w:szCs w:val="20"/>
                <w:color w:val="auto"/>
              </w:rPr>
            </w:pPr>
            <w:r>
              <w:rPr>
                <w:rFonts w:ascii="Arial" w:cs="Arial" w:eastAsia="Arial" w:hAnsi="Arial"/>
                <w:sz w:val="17"/>
                <w:szCs w:val="17"/>
                <w:color w:val="auto"/>
              </w:rPr>
              <w:t>1,816</w:t>
            </w:r>
          </w:p>
        </w:tc>
        <w:tc>
          <w:tcPr>
            <w:tcW w:w="120" w:type="dxa"/>
            <w:vAlign w:val="bottom"/>
          </w:tcPr>
          <w:p>
            <w:pPr>
              <w:spacing w:after="0"/>
              <w:rPr>
                <w:sz w:val="19"/>
                <w:szCs w:val="19"/>
                <w:color w:val="auto"/>
              </w:rPr>
            </w:pPr>
          </w:p>
        </w:tc>
        <w:tc>
          <w:tcPr>
            <w:tcW w:w="300" w:type="dxa"/>
            <w:vAlign w:val="bottom"/>
          </w:tcPr>
          <w:p>
            <w:pPr>
              <w:jc w:val="right"/>
              <w:ind w:right="116"/>
              <w:spacing w:after="0"/>
              <w:rPr>
                <w:sz w:val="20"/>
                <w:szCs w:val="20"/>
                <w:color w:val="auto"/>
              </w:rPr>
            </w:pPr>
            <w:r>
              <w:rPr>
                <w:rFonts w:ascii="Arial" w:cs="Arial" w:eastAsia="Arial" w:hAnsi="Arial"/>
                <w:sz w:val="17"/>
                <w:szCs w:val="17"/>
                <w:color w:val="auto"/>
                <w:w w:val="84"/>
              </w:rPr>
              <w:t>$</w:t>
            </w:r>
          </w:p>
        </w:tc>
        <w:tc>
          <w:tcPr>
            <w:tcW w:w="13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40" w:type="dxa"/>
            <w:vAlign w:val="bottom"/>
          </w:tcPr>
          <w:p>
            <w:pPr>
              <w:jc w:val="right"/>
              <w:ind w:right="156"/>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ind w:right="36"/>
              <w:spacing w:after="0"/>
              <w:rPr>
                <w:sz w:val="20"/>
                <w:szCs w:val="20"/>
                <w:color w:val="auto"/>
              </w:rPr>
            </w:pPr>
            <w:r>
              <w:rPr>
                <w:rFonts w:ascii="Arial" w:cs="Arial" w:eastAsia="Arial" w:hAnsi="Arial"/>
                <w:sz w:val="17"/>
                <w:szCs w:val="17"/>
                <w:color w:val="auto"/>
              </w:rPr>
              <w:t>1,816</w:t>
            </w:r>
          </w:p>
        </w:tc>
      </w:tr>
      <w:tr>
        <w:trPr>
          <w:trHeight w:val="26"/>
        </w:trPr>
        <w:tc>
          <w:tcPr>
            <w:tcW w:w="3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3"/>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Contingent consideration</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500</w:t>
            </w:r>
          </w:p>
        </w:tc>
      </w:tr>
      <w:tr>
        <w:trPr>
          <w:trHeight w:val="220"/>
        </w:trPr>
        <w:tc>
          <w:tcPr>
            <w:tcW w:w="3880" w:type="dxa"/>
            <w:vAlign w:val="bottom"/>
          </w:tcPr>
          <w:p>
            <w:pPr>
              <w:ind w:left="20"/>
              <w:spacing w:after="0"/>
              <w:rPr>
                <w:sz w:val="20"/>
                <w:szCs w:val="20"/>
                <w:color w:val="auto"/>
              </w:rPr>
            </w:pPr>
            <w:r>
              <w:rPr>
                <w:rFonts w:ascii="Arial" w:cs="Arial" w:eastAsia="Arial" w:hAnsi="Arial"/>
                <w:sz w:val="17"/>
                <w:szCs w:val="17"/>
                <w:color w:val="auto"/>
              </w:rPr>
              <w:t>Total</w:t>
            </w:r>
          </w:p>
        </w:tc>
        <w:tc>
          <w:tcPr>
            <w:tcW w:w="320" w:type="dxa"/>
            <w:vAlign w:val="bottom"/>
            <w:tcBorders>
              <w:top w:val="single" w:sz="8" w:color="auto"/>
            </w:tcBorders>
          </w:tcPr>
          <w:p>
            <w:pPr>
              <w:jc w:val="right"/>
              <w:ind w:right="116"/>
              <w:spacing w:after="0"/>
              <w:rPr>
                <w:sz w:val="20"/>
                <w:szCs w:val="20"/>
                <w:color w:val="auto"/>
              </w:rPr>
            </w:pPr>
            <w:r>
              <w:rPr>
                <w:rFonts w:ascii="Arial" w:cs="Arial" w:eastAsia="Arial" w:hAnsi="Arial"/>
                <w:sz w:val="17"/>
                <w:szCs w:val="17"/>
                <w:color w:val="auto"/>
              </w:rPr>
              <w:t>$</w:t>
            </w:r>
          </w:p>
        </w:tc>
        <w:tc>
          <w:tcPr>
            <w:tcW w:w="126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320" w:type="dxa"/>
            <w:vAlign w:val="bottom"/>
            <w:tcBorders>
              <w:top w:val="single" w:sz="8" w:color="auto"/>
            </w:tcBorders>
          </w:tcPr>
          <w:p>
            <w:pPr>
              <w:jc w:val="right"/>
              <w:ind w:right="116"/>
              <w:spacing w:after="0"/>
              <w:rPr>
                <w:sz w:val="20"/>
                <w:szCs w:val="20"/>
                <w:color w:val="auto"/>
              </w:rPr>
            </w:pPr>
            <w:r>
              <w:rPr>
                <w:rFonts w:ascii="Arial" w:cs="Arial" w:eastAsia="Arial" w:hAnsi="Arial"/>
                <w:sz w:val="17"/>
                <w:szCs w:val="17"/>
                <w:color w:val="auto"/>
              </w:rPr>
              <w:t>$</w:t>
            </w:r>
          </w:p>
        </w:tc>
        <w:tc>
          <w:tcPr>
            <w:tcW w:w="126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1,816</w:t>
            </w:r>
          </w:p>
        </w:tc>
        <w:tc>
          <w:tcPr>
            <w:tcW w:w="120" w:type="dxa"/>
            <w:vAlign w:val="bottom"/>
          </w:tcPr>
          <w:p>
            <w:pPr>
              <w:spacing w:after="0"/>
              <w:rPr>
                <w:sz w:val="19"/>
                <w:szCs w:val="19"/>
                <w:color w:val="auto"/>
              </w:rPr>
            </w:pPr>
          </w:p>
        </w:tc>
        <w:tc>
          <w:tcPr>
            <w:tcW w:w="300" w:type="dxa"/>
            <w:vAlign w:val="bottom"/>
            <w:tcBorders>
              <w:top w:val="single" w:sz="8" w:color="auto"/>
            </w:tcBorders>
          </w:tcPr>
          <w:p>
            <w:pPr>
              <w:jc w:val="right"/>
              <w:ind w:right="116"/>
              <w:spacing w:after="0"/>
              <w:rPr>
                <w:sz w:val="20"/>
                <w:szCs w:val="20"/>
                <w:color w:val="auto"/>
              </w:rPr>
            </w:pPr>
            <w:r>
              <w:rPr>
                <w:rFonts w:ascii="Arial" w:cs="Arial" w:eastAsia="Arial" w:hAnsi="Arial"/>
                <w:sz w:val="17"/>
                <w:szCs w:val="17"/>
                <w:color w:val="auto"/>
                <w:w w:val="84"/>
              </w:rPr>
              <w:t>$</w:t>
            </w:r>
          </w:p>
        </w:tc>
        <w:tc>
          <w:tcPr>
            <w:tcW w:w="128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color w:val="auto"/>
              </w:rPr>
              <w:t>500</w:t>
            </w:r>
          </w:p>
        </w:tc>
        <w:tc>
          <w:tcPr>
            <w:tcW w:w="100" w:type="dxa"/>
            <w:vAlign w:val="bottom"/>
          </w:tcPr>
          <w:p>
            <w:pPr>
              <w:spacing w:after="0"/>
              <w:rPr>
                <w:sz w:val="19"/>
                <w:szCs w:val="19"/>
                <w:color w:val="auto"/>
              </w:rPr>
            </w:pPr>
          </w:p>
        </w:tc>
        <w:tc>
          <w:tcPr>
            <w:tcW w:w="340" w:type="dxa"/>
            <w:vAlign w:val="bottom"/>
            <w:tcBorders>
              <w:top w:val="single" w:sz="8" w:color="auto"/>
            </w:tcBorders>
          </w:tcPr>
          <w:p>
            <w:pPr>
              <w:jc w:val="right"/>
              <w:ind w:right="156"/>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color w:val="auto"/>
              </w:rPr>
              <w:t>2,316</w:t>
            </w:r>
          </w:p>
        </w:tc>
      </w:tr>
      <w:tr>
        <w:trPr>
          <w:trHeight w:val="66"/>
        </w:trPr>
        <w:tc>
          <w:tcPr>
            <w:tcW w:w="388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r>
      <w:tr>
        <w:trPr>
          <w:trHeight w:val="231"/>
        </w:trPr>
        <w:tc>
          <w:tcPr>
            <w:tcW w:w="388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spacing w:after="0"/>
              <w:rPr>
                <w:sz w:val="20"/>
                <w:szCs w:val="20"/>
                <w:color w:val="auto"/>
              </w:rPr>
            </w:pPr>
          </w:p>
        </w:tc>
      </w:tr>
    </w:tbl>
    <w:p>
      <w:pPr>
        <w:spacing w:after="0" w:line="9" w:lineRule="exact"/>
        <w:rPr>
          <w:sz w:val="20"/>
          <w:szCs w:val="20"/>
          <w:color w:val="auto"/>
        </w:rPr>
      </w:pPr>
    </w:p>
    <w:tbl>
      <w:tblPr>
        <w:tblLayout w:type="fixed"/>
        <w:tblInd w:w="260" w:type="dxa"/>
        <w:tblCellMar>
          <w:top w:w="0" w:type="dxa"/>
          <w:left w:w="0" w:type="dxa"/>
          <w:bottom w:w="0" w:type="dxa"/>
          <w:right w:w="0" w:type="dxa"/>
        </w:tblCellMar>
      </w:tblPr>
      <w:tr>
        <w:trPr>
          <w:trHeight w:val="218"/>
        </w:trPr>
        <w:tc>
          <w:tcPr>
            <w:tcW w:w="200" w:type="dxa"/>
            <w:vAlign w:val="bottom"/>
          </w:tcPr>
          <w:p>
            <w:pPr>
              <w:spacing w:after="0"/>
              <w:rPr>
                <w:sz w:val="18"/>
                <w:szCs w:val="18"/>
                <w:color w:val="auto"/>
              </w:rPr>
            </w:pPr>
          </w:p>
        </w:tc>
        <w:tc>
          <w:tcPr>
            <w:tcW w:w="3880" w:type="dxa"/>
            <w:vAlign w:val="bottom"/>
            <w:gridSpan w:val="2"/>
          </w:tcPr>
          <w:p>
            <w:pPr>
              <w:ind w:left="20"/>
              <w:spacing w:after="0"/>
              <w:rPr>
                <w:sz w:val="20"/>
                <w:szCs w:val="20"/>
                <w:color w:val="auto"/>
              </w:rPr>
            </w:pPr>
            <w:r>
              <w:rPr>
                <w:rFonts w:ascii="Arial" w:cs="Arial" w:eastAsia="Arial" w:hAnsi="Arial"/>
                <w:sz w:val="17"/>
                <w:szCs w:val="17"/>
                <w:b w:val="1"/>
                <w:bCs w:val="1"/>
                <w:color w:val="auto"/>
              </w:rPr>
              <w:t>As of December 31, 2015</w:t>
            </w:r>
          </w:p>
        </w:tc>
        <w:tc>
          <w:tcPr>
            <w:tcW w:w="320" w:type="dxa"/>
            <w:vAlign w:val="bottom"/>
          </w:tcPr>
          <w:p>
            <w:pPr>
              <w:spacing w:after="0"/>
              <w:rPr>
                <w:sz w:val="18"/>
                <w:szCs w:val="18"/>
                <w:color w:val="auto"/>
              </w:rPr>
            </w:pPr>
          </w:p>
        </w:tc>
        <w:tc>
          <w:tcPr>
            <w:tcW w:w="1360" w:type="dxa"/>
            <w:vAlign w:val="bottom"/>
            <w:gridSpan w:val="2"/>
          </w:tcPr>
          <w:p>
            <w:pPr>
              <w:ind w:left="220"/>
              <w:spacing w:after="0"/>
              <w:rPr>
                <w:sz w:val="20"/>
                <w:szCs w:val="20"/>
                <w:color w:val="auto"/>
              </w:rPr>
            </w:pPr>
            <w:r>
              <w:rPr>
                <w:rFonts w:ascii="Arial" w:cs="Arial" w:eastAsia="Arial" w:hAnsi="Arial"/>
                <w:sz w:val="17"/>
                <w:szCs w:val="17"/>
                <w:b w:val="1"/>
                <w:bCs w:val="1"/>
                <w:color w:val="auto"/>
              </w:rPr>
              <w:t>Level 1</w:t>
            </w:r>
          </w:p>
        </w:tc>
        <w:tc>
          <w:tcPr>
            <w:tcW w:w="320" w:type="dxa"/>
            <w:vAlign w:val="bottom"/>
          </w:tcPr>
          <w:p>
            <w:pPr>
              <w:spacing w:after="0"/>
              <w:rPr>
                <w:sz w:val="18"/>
                <w:szCs w:val="18"/>
                <w:color w:val="auto"/>
              </w:rPr>
            </w:pPr>
          </w:p>
        </w:tc>
        <w:tc>
          <w:tcPr>
            <w:tcW w:w="1380" w:type="dxa"/>
            <w:vAlign w:val="bottom"/>
            <w:gridSpan w:val="2"/>
          </w:tcPr>
          <w:p>
            <w:pPr>
              <w:ind w:left="220"/>
              <w:spacing w:after="0"/>
              <w:rPr>
                <w:sz w:val="20"/>
                <w:szCs w:val="20"/>
                <w:color w:val="auto"/>
              </w:rPr>
            </w:pPr>
            <w:r>
              <w:rPr>
                <w:rFonts w:ascii="Arial" w:cs="Arial" w:eastAsia="Arial" w:hAnsi="Arial"/>
                <w:sz w:val="17"/>
                <w:szCs w:val="17"/>
                <w:b w:val="1"/>
                <w:bCs w:val="1"/>
                <w:color w:val="auto"/>
              </w:rPr>
              <w:t>Level 2</w:t>
            </w: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Level 3</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536"/>
              <w:spacing w:after="0"/>
              <w:rPr>
                <w:sz w:val="20"/>
                <w:szCs w:val="20"/>
                <w:color w:val="auto"/>
              </w:rPr>
            </w:pPr>
            <w:r>
              <w:rPr>
                <w:rFonts w:ascii="Arial" w:cs="Arial" w:eastAsia="Arial" w:hAnsi="Arial"/>
                <w:sz w:val="17"/>
                <w:szCs w:val="17"/>
                <w:b w:val="1"/>
                <w:bCs w:val="1"/>
                <w:color w:val="auto"/>
              </w:rPr>
              <w:t>Total</w:t>
            </w:r>
          </w:p>
        </w:tc>
      </w:tr>
      <w:tr>
        <w:trPr>
          <w:trHeight w:val="26"/>
        </w:trPr>
        <w:tc>
          <w:tcPr>
            <w:tcW w:w="200" w:type="dxa"/>
            <w:vAlign w:val="bottom"/>
          </w:tcPr>
          <w:p>
            <w:pPr>
              <w:spacing w:after="0"/>
              <w:rPr>
                <w:sz w:val="2"/>
                <w:szCs w:val="2"/>
                <w:color w:val="auto"/>
              </w:rPr>
            </w:pPr>
          </w:p>
        </w:tc>
        <w:tc>
          <w:tcPr>
            <w:tcW w:w="320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5"/>
        </w:trPr>
        <w:tc>
          <w:tcPr>
            <w:tcW w:w="200" w:type="dxa"/>
            <w:vAlign w:val="bottom"/>
          </w:tcPr>
          <w:p>
            <w:pPr>
              <w:spacing w:after="0"/>
              <w:rPr>
                <w:sz w:val="19"/>
                <w:szCs w:val="19"/>
                <w:color w:val="auto"/>
              </w:rPr>
            </w:pPr>
          </w:p>
        </w:tc>
        <w:tc>
          <w:tcPr>
            <w:tcW w:w="3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3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r>
      <w:tr>
        <w:trPr>
          <w:trHeight w:val="227"/>
        </w:trPr>
        <w:tc>
          <w:tcPr>
            <w:tcW w:w="200" w:type="dxa"/>
            <w:vAlign w:val="bottom"/>
          </w:tcPr>
          <w:p>
            <w:pPr>
              <w:spacing w:after="0"/>
              <w:rPr>
                <w:sz w:val="19"/>
                <w:szCs w:val="19"/>
                <w:color w:val="auto"/>
              </w:rPr>
            </w:pPr>
          </w:p>
        </w:tc>
        <w:tc>
          <w:tcPr>
            <w:tcW w:w="3880" w:type="dxa"/>
            <w:vAlign w:val="bottom"/>
            <w:gridSpan w:val="2"/>
          </w:tcPr>
          <w:p>
            <w:pPr>
              <w:ind w:left="20"/>
              <w:spacing w:after="0"/>
              <w:rPr>
                <w:sz w:val="20"/>
                <w:szCs w:val="20"/>
                <w:color w:val="auto"/>
              </w:rPr>
            </w:pPr>
            <w:r>
              <w:rPr>
                <w:rFonts w:ascii="Arial" w:cs="Arial" w:eastAsia="Arial" w:hAnsi="Arial"/>
                <w:sz w:val="17"/>
                <w:szCs w:val="17"/>
                <w:color w:val="auto"/>
              </w:rPr>
              <w:t>Money market and mutual funds</w:t>
            </w:r>
          </w:p>
        </w:tc>
        <w:tc>
          <w:tcPr>
            <w:tcW w:w="320" w:type="dxa"/>
            <w:vAlign w:val="bottom"/>
          </w:tcPr>
          <w:p>
            <w:pPr>
              <w:jc w:val="right"/>
              <w:ind w:right="116"/>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16"/>
              <w:spacing w:after="0"/>
              <w:rPr>
                <w:sz w:val="20"/>
                <w:szCs w:val="20"/>
                <w:color w:val="auto"/>
              </w:rPr>
            </w:pPr>
            <w:r>
              <w:rPr>
                <w:rFonts w:ascii="Arial" w:cs="Arial" w:eastAsia="Arial" w:hAnsi="Arial"/>
                <w:sz w:val="17"/>
                <w:szCs w:val="17"/>
                <w:color w:val="auto"/>
              </w:rPr>
              <w:t>118,478</w:t>
            </w:r>
          </w:p>
        </w:tc>
        <w:tc>
          <w:tcPr>
            <w:tcW w:w="100" w:type="dxa"/>
            <w:vAlign w:val="bottom"/>
          </w:tcPr>
          <w:p>
            <w:pPr>
              <w:spacing w:after="0"/>
              <w:rPr>
                <w:sz w:val="19"/>
                <w:szCs w:val="19"/>
                <w:color w:val="auto"/>
              </w:rPr>
            </w:pPr>
          </w:p>
        </w:tc>
        <w:tc>
          <w:tcPr>
            <w:tcW w:w="320" w:type="dxa"/>
            <w:vAlign w:val="bottom"/>
          </w:tcPr>
          <w:p>
            <w:pPr>
              <w:jc w:val="right"/>
              <w:ind w:right="116"/>
              <w:spacing w:after="0"/>
              <w:rPr>
                <w:sz w:val="20"/>
                <w:szCs w:val="20"/>
                <w:color w:val="auto"/>
              </w:rPr>
            </w:pPr>
            <w:r>
              <w:rPr>
                <w:rFonts w:ascii="Arial" w:cs="Arial" w:eastAsia="Arial" w:hAnsi="Arial"/>
                <w:sz w:val="17"/>
                <w:szCs w:val="17"/>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876"/>
              <w:spacing w:after="0"/>
              <w:rPr>
                <w:sz w:val="20"/>
                <w:szCs w:val="20"/>
                <w:color w:val="auto"/>
              </w:rPr>
            </w:pPr>
            <w:r>
              <w:rPr>
                <w:rFonts w:ascii="Arial" w:cs="Arial" w:eastAsia="Arial" w:hAnsi="Arial"/>
                <w:sz w:val="17"/>
                <w:szCs w:val="17"/>
                <w:color w:val="auto"/>
                <w:w w:val="84"/>
              </w:rPr>
              <w:t>$</w:t>
            </w:r>
          </w:p>
        </w:tc>
        <w:tc>
          <w:tcPr>
            <w:tcW w:w="6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40" w:type="dxa"/>
            <w:vAlign w:val="bottom"/>
          </w:tcPr>
          <w:p>
            <w:pPr>
              <w:jc w:val="right"/>
              <w:ind w:right="156"/>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ind w:right="36"/>
              <w:spacing w:after="0"/>
              <w:rPr>
                <w:sz w:val="20"/>
                <w:szCs w:val="20"/>
                <w:color w:val="auto"/>
              </w:rPr>
            </w:pPr>
            <w:r>
              <w:rPr>
                <w:rFonts w:ascii="Arial" w:cs="Arial" w:eastAsia="Arial" w:hAnsi="Arial"/>
                <w:sz w:val="17"/>
                <w:szCs w:val="17"/>
                <w:color w:val="auto"/>
              </w:rPr>
              <w:t>118,478</w:t>
            </w:r>
          </w:p>
        </w:tc>
      </w:tr>
      <w:tr>
        <w:trPr>
          <w:trHeight w:val="26"/>
        </w:trPr>
        <w:tc>
          <w:tcPr>
            <w:tcW w:w="200" w:type="dxa"/>
            <w:vAlign w:val="bottom"/>
          </w:tcPr>
          <w:p>
            <w:pPr>
              <w:spacing w:after="0"/>
              <w:rPr>
                <w:sz w:val="2"/>
                <w:szCs w:val="2"/>
                <w:color w:val="auto"/>
              </w:rPr>
            </w:pPr>
          </w:p>
        </w:tc>
        <w:tc>
          <w:tcPr>
            <w:tcW w:w="3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3"/>
        </w:trPr>
        <w:tc>
          <w:tcPr>
            <w:tcW w:w="200" w:type="dxa"/>
            <w:vAlign w:val="bottom"/>
          </w:tcPr>
          <w:p>
            <w:pPr>
              <w:spacing w:after="0"/>
              <w:rPr>
                <w:sz w:val="21"/>
                <w:szCs w:val="21"/>
                <w:color w:val="auto"/>
              </w:rPr>
            </w:pPr>
          </w:p>
        </w:tc>
        <w:tc>
          <w:tcPr>
            <w:tcW w:w="3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Derivative financial instruments</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4,184</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4,184</w:t>
            </w:r>
          </w:p>
        </w:tc>
      </w:tr>
      <w:tr>
        <w:trPr>
          <w:trHeight w:val="220"/>
        </w:trPr>
        <w:tc>
          <w:tcPr>
            <w:tcW w:w="200" w:type="dxa"/>
            <w:vAlign w:val="bottom"/>
          </w:tcPr>
          <w:p>
            <w:pPr>
              <w:spacing w:after="0"/>
              <w:rPr>
                <w:sz w:val="19"/>
                <w:szCs w:val="19"/>
                <w:color w:val="auto"/>
              </w:rPr>
            </w:pPr>
          </w:p>
        </w:tc>
        <w:tc>
          <w:tcPr>
            <w:tcW w:w="3880" w:type="dxa"/>
            <w:vAlign w:val="bottom"/>
            <w:gridSpan w:val="2"/>
          </w:tcPr>
          <w:p>
            <w:pPr>
              <w:ind w:left="20"/>
              <w:spacing w:after="0"/>
              <w:rPr>
                <w:sz w:val="20"/>
                <w:szCs w:val="20"/>
                <w:color w:val="auto"/>
              </w:rPr>
            </w:pPr>
            <w:r>
              <w:rPr>
                <w:rFonts w:ascii="Arial" w:cs="Arial" w:eastAsia="Arial" w:hAnsi="Arial"/>
                <w:sz w:val="17"/>
                <w:szCs w:val="17"/>
                <w:color w:val="auto"/>
              </w:rPr>
              <w:t>Total</w:t>
            </w:r>
          </w:p>
        </w:tc>
        <w:tc>
          <w:tcPr>
            <w:tcW w:w="320" w:type="dxa"/>
            <w:vAlign w:val="bottom"/>
            <w:tcBorders>
              <w:top w:val="single" w:sz="8" w:color="auto"/>
            </w:tcBorders>
          </w:tcPr>
          <w:p>
            <w:pPr>
              <w:jc w:val="right"/>
              <w:ind w:right="116"/>
              <w:spacing w:after="0"/>
              <w:rPr>
                <w:sz w:val="20"/>
                <w:szCs w:val="20"/>
                <w:color w:val="auto"/>
              </w:rPr>
            </w:pPr>
            <w:r>
              <w:rPr>
                <w:rFonts w:ascii="Arial" w:cs="Arial" w:eastAsia="Arial" w:hAnsi="Arial"/>
                <w:sz w:val="17"/>
                <w:szCs w:val="17"/>
                <w:color w:val="auto"/>
              </w:rPr>
              <w:t>$</w:t>
            </w:r>
          </w:p>
        </w:tc>
        <w:tc>
          <w:tcPr>
            <w:tcW w:w="126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118,478</w:t>
            </w:r>
          </w:p>
        </w:tc>
        <w:tc>
          <w:tcPr>
            <w:tcW w:w="100" w:type="dxa"/>
            <w:vAlign w:val="bottom"/>
          </w:tcPr>
          <w:p>
            <w:pPr>
              <w:spacing w:after="0"/>
              <w:rPr>
                <w:sz w:val="19"/>
                <w:szCs w:val="19"/>
                <w:color w:val="auto"/>
              </w:rPr>
            </w:pPr>
          </w:p>
        </w:tc>
        <w:tc>
          <w:tcPr>
            <w:tcW w:w="320" w:type="dxa"/>
            <w:vAlign w:val="bottom"/>
            <w:tcBorders>
              <w:top w:val="single" w:sz="8" w:color="auto"/>
            </w:tcBorders>
          </w:tcPr>
          <w:p>
            <w:pPr>
              <w:jc w:val="right"/>
              <w:ind w:right="116"/>
              <w:spacing w:after="0"/>
              <w:rPr>
                <w:sz w:val="20"/>
                <w:szCs w:val="20"/>
                <w:color w:val="auto"/>
              </w:rPr>
            </w:pPr>
            <w:r>
              <w:rPr>
                <w:rFonts w:ascii="Arial" w:cs="Arial" w:eastAsia="Arial" w:hAnsi="Arial"/>
                <w:sz w:val="17"/>
                <w:szCs w:val="17"/>
                <w:color w:val="auto"/>
              </w:rPr>
              <w:t>$</w:t>
            </w:r>
          </w:p>
        </w:tc>
        <w:tc>
          <w:tcPr>
            <w:tcW w:w="126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4,184</w:t>
            </w:r>
          </w:p>
        </w:tc>
        <w:tc>
          <w:tcPr>
            <w:tcW w:w="120" w:type="dxa"/>
            <w:vAlign w:val="bottom"/>
          </w:tcPr>
          <w:p>
            <w:pPr>
              <w:spacing w:after="0"/>
              <w:rPr>
                <w:sz w:val="19"/>
                <w:szCs w:val="19"/>
                <w:color w:val="auto"/>
              </w:rPr>
            </w:pPr>
          </w:p>
        </w:tc>
        <w:tc>
          <w:tcPr>
            <w:tcW w:w="1060" w:type="dxa"/>
            <w:vAlign w:val="bottom"/>
            <w:tcBorders>
              <w:top w:val="single" w:sz="8" w:color="auto"/>
            </w:tcBorders>
          </w:tcPr>
          <w:p>
            <w:pPr>
              <w:jc w:val="right"/>
              <w:ind w:right="876"/>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340" w:type="dxa"/>
            <w:vAlign w:val="bottom"/>
            <w:tcBorders>
              <w:top w:val="single" w:sz="8" w:color="auto"/>
            </w:tcBorders>
          </w:tcPr>
          <w:p>
            <w:pPr>
              <w:jc w:val="right"/>
              <w:ind w:right="156"/>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color w:val="auto"/>
              </w:rPr>
              <w:t>122,662</w:t>
            </w:r>
          </w:p>
        </w:tc>
      </w:tr>
      <w:tr>
        <w:trPr>
          <w:trHeight w:val="66"/>
        </w:trPr>
        <w:tc>
          <w:tcPr>
            <w:tcW w:w="200" w:type="dxa"/>
            <w:vAlign w:val="bottom"/>
          </w:tcPr>
          <w:p>
            <w:pPr>
              <w:spacing w:after="0"/>
              <w:rPr>
                <w:sz w:val="5"/>
                <w:szCs w:val="5"/>
                <w:color w:val="auto"/>
              </w:rPr>
            </w:pPr>
          </w:p>
        </w:tc>
        <w:tc>
          <w:tcPr>
            <w:tcW w:w="3200" w:type="dxa"/>
            <w:vAlign w:val="bottom"/>
            <w:tcBorders>
              <w:bottom w:val="single" w:sz="8" w:color="CCEEFF"/>
            </w:tcBorders>
          </w:tcPr>
          <w:p>
            <w:pPr>
              <w:spacing w:after="0"/>
              <w:rPr>
                <w:sz w:val="5"/>
                <w:szCs w:val="5"/>
                <w:color w:val="auto"/>
              </w:rPr>
            </w:pPr>
          </w:p>
        </w:tc>
        <w:tc>
          <w:tcPr>
            <w:tcW w:w="68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r>
      <w:tr>
        <w:trPr>
          <w:trHeight w:val="211"/>
        </w:trPr>
        <w:tc>
          <w:tcPr>
            <w:tcW w:w="200" w:type="dxa"/>
            <w:vAlign w:val="bottom"/>
          </w:tcPr>
          <w:p>
            <w:pPr>
              <w:spacing w:after="0"/>
              <w:rPr>
                <w:sz w:val="18"/>
                <w:szCs w:val="18"/>
                <w:color w:val="auto"/>
              </w:rPr>
            </w:pPr>
          </w:p>
        </w:tc>
        <w:tc>
          <w:tcPr>
            <w:tcW w:w="3880" w:type="dxa"/>
            <w:vAlign w:val="bottom"/>
            <w:tcBorders>
              <w:bottom w:val="single" w:sz="8" w:color="CCEEFF"/>
            </w:tcBorders>
            <w:gridSpan w:val="2"/>
            <w:shd w:val="clear" w:color="auto" w:fill="CCEEFF"/>
          </w:tcPr>
          <w:p>
            <w:pPr>
              <w:ind w:left="20"/>
              <w:spacing w:after="0" w:line="180" w:lineRule="exact"/>
              <w:rPr>
                <w:sz w:val="20"/>
                <w:szCs w:val="20"/>
                <w:color w:val="auto"/>
              </w:rPr>
            </w:pPr>
            <w:r>
              <w:rPr>
                <w:rFonts w:ascii="Arial" w:cs="Arial" w:eastAsia="Arial" w:hAnsi="Arial"/>
                <w:sz w:val="17"/>
                <w:szCs w:val="17"/>
                <w:b w:val="1"/>
                <w:bCs w:val="1"/>
                <w:color w:val="auto"/>
              </w:rPr>
              <w:t>Liabilities</w:t>
            </w:r>
          </w:p>
        </w:tc>
        <w:tc>
          <w:tcPr>
            <w:tcW w:w="3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r>
      <w:tr>
        <w:trPr>
          <w:trHeight w:val="227"/>
        </w:trPr>
        <w:tc>
          <w:tcPr>
            <w:tcW w:w="200" w:type="dxa"/>
            <w:vAlign w:val="bottom"/>
          </w:tcPr>
          <w:p>
            <w:pPr>
              <w:spacing w:after="0"/>
              <w:rPr>
                <w:sz w:val="19"/>
                <w:szCs w:val="19"/>
                <w:color w:val="auto"/>
              </w:rPr>
            </w:pPr>
          </w:p>
        </w:tc>
        <w:tc>
          <w:tcPr>
            <w:tcW w:w="3880" w:type="dxa"/>
            <w:vAlign w:val="bottom"/>
            <w:gridSpan w:val="2"/>
          </w:tcPr>
          <w:p>
            <w:pPr>
              <w:ind w:left="20"/>
              <w:spacing w:after="0"/>
              <w:rPr>
                <w:sz w:val="20"/>
                <w:szCs w:val="20"/>
                <w:color w:val="auto"/>
              </w:rPr>
            </w:pPr>
            <w:r>
              <w:rPr>
                <w:rFonts w:ascii="Arial" w:cs="Arial" w:eastAsia="Arial" w:hAnsi="Arial"/>
                <w:sz w:val="17"/>
                <w:szCs w:val="17"/>
                <w:color w:val="auto"/>
              </w:rPr>
              <w:t>Derivative financial instruments</w:t>
            </w:r>
          </w:p>
        </w:tc>
        <w:tc>
          <w:tcPr>
            <w:tcW w:w="320" w:type="dxa"/>
            <w:vAlign w:val="bottom"/>
          </w:tcPr>
          <w:p>
            <w:pPr>
              <w:jc w:val="right"/>
              <w:ind w:right="116"/>
              <w:spacing w:after="0"/>
              <w:rPr>
                <w:sz w:val="20"/>
                <w:szCs w:val="20"/>
                <w:color w:val="auto"/>
              </w:rPr>
            </w:pPr>
            <w:r>
              <w:rPr>
                <w:rFonts w:ascii="Arial" w:cs="Arial" w:eastAsia="Arial" w:hAnsi="Arial"/>
                <w:sz w:val="17"/>
                <w:szCs w:val="17"/>
                <w:color w:val="auto"/>
              </w:rPr>
              <w:t>$</w:t>
            </w:r>
          </w:p>
        </w:tc>
        <w:tc>
          <w:tcPr>
            <w:tcW w:w="13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320" w:type="dxa"/>
            <w:vAlign w:val="bottom"/>
          </w:tcPr>
          <w:p>
            <w:pPr>
              <w:jc w:val="right"/>
              <w:ind w:right="116"/>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16"/>
              <w:spacing w:after="0"/>
              <w:rPr>
                <w:sz w:val="20"/>
                <w:szCs w:val="20"/>
                <w:color w:val="auto"/>
              </w:rPr>
            </w:pPr>
            <w:r>
              <w:rPr>
                <w:rFonts w:ascii="Arial" w:cs="Arial" w:eastAsia="Arial" w:hAnsi="Arial"/>
                <w:sz w:val="17"/>
                <w:szCs w:val="17"/>
                <w:color w:val="auto"/>
              </w:rPr>
              <w:t>2,358</w:t>
            </w:r>
          </w:p>
        </w:tc>
        <w:tc>
          <w:tcPr>
            <w:tcW w:w="120" w:type="dxa"/>
            <w:vAlign w:val="bottom"/>
          </w:tcPr>
          <w:p>
            <w:pPr>
              <w:spacing w:after="0"/>
              <w:rPr>
                <w:sz w:val="19"/>
                <w:szCs w:val="19"/>
                <w:color w:val="auto"/>
              </w:rPr>
            </w:pPr>
          </w:p>
        </w:tc>
        <w:tc>
          <w:tcPr>
            <w:tcW w:w="1060" w:type="dxa"/>
            <w:vAlign w:val="bottom"/>
          </w:tcPr>
          <w:p>
            <w:pPr>
              <w:jc w:val="right"/>
              <w:ind w:right="876"/>
              <w:spacing w:after="0"/>
              <w:rPr>
                <w:sz w:val="20"/>
                <w:szCs w:val="20"/>
                <w:color w:val="auto"/>
              </w:rPr>
            </w:pPr>
            <w:r>
              <w:rPr>
                <w:rFonts w:ascii="Arial" w:cs="Arial" w:eastAsia="Arial" w:hAnsi="Arial"/>
                <w:sz w:val="17"/>
                <w:szCs w:val="17"/>
                <w:color w:val="auto"/>
                <w:w w:val="84"/>
              </w:rPr>
              <w:t>$</w:t>
            </w:r>
          </w:p>
        </w:tc>
        <w:tc>
          <w:tcPr>
            <w:tcW w:w="6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40" w:type="dxa"/>
            <w:vAlign w:val="bottom"/>
          </w:tcPr>
          <w:p>
            <w:pPr>
              <w:jc w:val="right"/>
              <w:ind w:right="156"/>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ind w:right="36"/>
              <w:spacing w:after="0"/>
              <w:rPr>
                <w:sz w:val="20"/>
                <w:szCs w:val="20"/>
                <w:color w:val="auto"/>
              </w:rPr>
            </w:pPr>
            <w:r>
              <w:rPr>
                <w:rFonts w:ascii="Arial" w:cs="Arial" w:eastAsia="Arial" w:hAnsi="Arial"/>
                <w:sz w:val="17"/>
                <w:szCs w:val="17"/>
                <w:color w:val="auto"/>
              </w:rPr>
              <w:t>2,358</w:t>
            </w:r>
          </w:p>
        </w:tc>
      </w:tr>
      <w:tr>
        <w:trPr>
          <w:trHeight w:val="26"/>
        </w:trPr>
        <w:tc>
          <w:tcPr>
            <w:tcW w:w="200" w:type="dxa"/>
            <w:vAlign w:val="bottom"/>
          </w:tcPr>
          <w:p>
            <w:pPr>
              <w:spacing w:after="0"/>
              <w:rPr>
                <w:sz w:val="2"/>
                <w:szCs w:val="2"/>
                <w:color w:val="auto"/>
              </w:rPr>
            </w:pPr>
          </w:p>
        </w:tc>
        <w:tc>
          <w:tcPr>
            <w:tcW w:w="3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86"/>
        </w:trPr>
        <w:tc>
          <w:tcPr>
            <w:tcW w:w="200" w:type="dxa"/>
            <w:vAlign w:val="bottom"/>
          </w:tcPr>
          <w:p>
            <w:pPr>
              <w:spacing w:after="0"/>
              <w:rPr>
                <w:sz w:val="24"/>
                <w:szCs w:val="24"/>
                <w:color w:val="auto"/>
              </w:rPr>
            </w:pPr>
          </w:p>
        </w:tc>
        <w:tc>
          <w:tcPr>
            <w:tcW w:w="3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Fair value of earn-out consideration</w:t>
            </w:r>
          </w:p>
        </w:tc>
        <w:tc>
          <w:tcPr>
            <w:tcW w:w="32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w w:val="89"/>
              </w:rPr>
              <w:t>4,060</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4,060</w:t>
            </w:r>
          </w:p>
        </w:tc>
      </w:tr>
      <w:tr>
        <w:trPr>
          <w:trHeight w:val="211"/>
        </w:trPr>
        <w:tc>
          <w:tcPr>
            <w:tcW w:w="200" w:type="dxa"/>
            <w:vAlign w:val="bottom"/>
          </w:tcPr>
          <w:p>
            <w:pPr>
              <w:spacing w:after="0"/>
              <w:rPr>
                <w:sz w:val="18"/>
                <w:szCs w:val="18"/>
                <w:color w:val="auto"/>
              </w:rPr>
            </w:pPr>
          </w:p>
        </w:tc>
        <w:tc>
          <w:tcPr>
            <w:tcW w:w="3880" w:type="dxa"/>
            <w:vAlign w:val="bottom"/>
            <w:gridSpan w:val="2"/>
          </w:tcPr>
          <w:p>
            <w:pPr>
              <w:ind w:left="20"/>
              <w:spacing w:after="0" w:line="186" w:lineRule="exact"/>
              <w:rPr>
                <w:sz w:val="20"/>
                <w:szCs w:val="20"/>
                <w:color w:val="auto"/>
              </w:rPr>
            </w:pPr>
            <w:r>
              <w:rPr>
                <w:rFonts w:ascii="Arial" w:cs="Arial" w:eastAsia="Arial" w:hAnsi="Arial"/>
                <w:sz w:val="17"/>
                <w:szCs w:val="17"/>
                <w:color w:val="auto"/>
              </w:rPr>
              <w:t>Total</w:t>
            </w:r>
          </w:p>
        </w:tc>
        <w:tc>
          <w:tcPr>
            <w:tcW w:w="320" w:type="dxa"/>
            <w:vAlign w:val="bottom"/>
            <w:tcBorders>
              <w:top w:val="single" w:sz="8" w:color="auto"/>
            </w:tcBorders>
          </w:tcPr>
          <w:p>
            <w:pPr>
              <w:jc w:val="right"/>
              <w:ind w:right="116"/>
              <w:spacing w:after="0"/>
              <w:rPr>
                <w:sz w:val="20"/>
                <w:szCs w:val="20"/>
                <w:color w:val="auto"/>
              </w:rPr>
            </w:pPr>
            <w:r>
              <w:rPr>
                <w:rFonts w:ascii="Arial" w:cs="Arial" w:eastAsia="Arial" w:hAnsi="Arial"/>
                <w:sz w:val="17"/>
                <w:szCs w:val="17"/>
                <w:color w:val="auto"/>
              </w:rPr>
              <w:t>$</w:t>
            </w:r>
          </w:p>
        </w:tc>
        <w:tc>
          <w:tcPr>
            <w:tcW w:w="126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16"/>
              <w:spacing w:after="0"/>
              <w:rPr>
                <w:sz w:val="20"/>
                <w:szCs w:val="20"/>
                <w:color w:val="auto"/>
              </w:rPr>
            </w:pPr>
            <w:r>
              <w:rPr>
                <w:rFonts w:ascii="Arial" w:cs="Arial" w:eastAsia="Arial" w:hAnsi="Arial"/>
                <w:sz w:val="17"/>
                <w:szCs w:val="17"/>
                <w:color w:val="auto"/>
              </w:rPr>
              <w:t>$</w:t>
            </w:r>
          </w:p>
        </w:tc>
        <w:tc>
          <w:tcPr>
            <w:tcW w:w="126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2,358</w:t>
            </w:r>
          </w:p>
        </w:tc>
        <w:tc>
          <w:tcPr>
            <w:tcW w:w="120" w:type="dxa"/>
            <w:vAlign w:val="bottom"/>
          </w:tcPr>
          <w:p>
            <w:pPr>
              <w:spacing w:after="0"/>
              <w:rPr>
                <w:sz w:val="18"/>
                <w:szCs w:val="18"/>
                <w:color w:val="auto"/>
              </w:rPr>
            </w:pPr>
          </w:p>
        </w:tc>
        <w:tc>
          <w:tcPr>
            <w:tcW w:w="1060" w:type="dxa"/>
            <w:vAlign w:val="bottom"/>
            <w:tcBorders>
              <w:top w:val="single" w:sz="8" w:color="auto"/>
            </w:tcBorders>
          </w:tcPr>
          <w:p>
            <w:pPr>
              <w:jc w:val="right"/>
              <w:ind w:right="876"/>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color w:val="auto"/>
                <w:w w:val="89"/>
              </w:rPr>
              <w:t>4,060</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6"/>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color w:val="auto"/>
              </w:rPr>
              <w:t>6,418</w:t>
            </w:r>
          </w:p>
        </w:tc>
      </w:tr>
      <w:tr>
        <w:trPr>
          <w:trHeight w:val="26"/>
        </w:trPr>
        <w:tc>
          <w:tcPr>
            <w:tcW w:w="200" w:type="dxa"/>
            <w:vAlign w:val="bottom"/>
          </w:tcPr>
          <w:p>
            <w:pPr>
              <w:spacing w:after="0"/>
              <w:rPr>
                <w:sz w:val="2"/>
                <w:szCs w:val="2"/>
                <w:color w:val="auto"/>
              </w:rPr>
            </w:pPr>
          </w:p>
        </w:tc>
        <w:tc>
          <w:tcPr>
            <w:tcW w:w="3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2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18"/>
        </w:trPr>
        <w:tc>
          <w:tcPr>
            <w:tcW w:w="200" w:type="dxa"/>
            <w:vAlign w:val="bottom"/>
            <w:tcBorders>
              <w:bottom w:val="single" w:sz="8" w:color="auto"/>
            </w:tcBorders>
          </w:tcPr>
          <w:p>
            <w:pPr>
              <w:spacing w:after="0"/>
              <w:rPr>
                <w:sz w:val="18"/>
                <w:szCs w:val="18"/>
                <w:color w:val="auto"/>
              </w:rPr>
            </w:pPr>
          </w:p>
        </w:tc>
        <w:tc>
          <w:tcPr>
            <w:tcW w:w="3200" w:type="dxa"/>
            <w:vAlign w:val="bottom"/>
            <w:tcBorders>
              <w:bottom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r>
    </w:tbl>
    <w:p>
      <w:pPr>
        <w:spacing w:after="0" w:line="190" w:lineRule="exact"/>
        <w:rPr>
          <w:sz w:val="20"/>
          <w:szCs w:val="20"/>
          <w:color w:val="auto"/>
        </w:rPr>
      </w:pPr>
    </w:p>
    <w:p>
      <w:pPr>
        <w:ind w:left="400"/>
        <w:spacing w:after="0"/>
        <w:rPr>
          <w:sz w:val="20"/>
          <w:szCs w:val="20"/>
          <w:color w:val="auto"/>
        </w:rPr>
      </w:pPr>
      <w:r>
        <w:rPr>
          <w:rFonts w:ascii="Arial" w:cs="Arial" w:eastAsia="Arial" w:hAnsi="Arial"/>
          <w:sz w:val="17"/>
          <w:szCs w:val="17"/>
          <w:color w:val="auto"/>
        </w:rPr>
        <w:t>* Includes short-term investments carried on fair value option under ASC 825 of $103,069 as of September 30, 2016.</w:t>
      </w:r>
    </w:p>
    <w:p>
      <w:pPr>
        <w:spacing w:after="0" w:line="209" w:lineRule="exact"/>
        <w:rPr>
          <w:sz w:val="20"/>
          <w:szCs w:val="20"/>
          <w:color w:val="auto"/>
        </w:rPr>
      </w:pPr>
    </w:p>
    <w:p>
      <w:pPr>
        <w:jc w:val="both"/>
        <w:ind w:firstLine="404"/>
        <w:spacing w:after="0" w:line="259" w:lineRule="auto"/>
        <w:rPr>
          <w:sz w:val="20"/>
          <w:szCs w:val="20"/>
          <w:color w:val="auto"/>
        </w:rPr>
      </w:pPr>
      <w:r>
        <w:rPr>
          <w:rFonts w:ascii="Arial" w:cs="Arial" w:eastAsia="Arial" w:hAnsi="Arial"/>
          <w:sz w:val="17"/>
          <w:szCs w:val="17"/>
          <w:i w:val="1"/>
          <w:iCs w:val="1"/>
          <w:color w:val="auto"/>
        </w:rPr>
        <w:t xml:space="preserve">Derivative Financial Instruments: </w:t>
      </w:r>
      <w:r>
        <w:rPr>
          <w:rFonts w:ascii="Arial" w:cs="Arial" w:eastAsia="Arial" w:hAnsi="Arial"/>
          <w:sz w:val="17"/>
          <w:szCs w:val="17"/>
          <w:color w:val="auto"/>
        </w:rPr>
        <w:t>The Company’s derivative financial instruments consist primarily of foreign currency forward exchange contracts. Fair values</w:t>
      </w:r>
      <w:r>
        <w:rPr>
          <w:rFonts w:ascii="Arial" w:cs="Arial" w:eastAsia="Arial" w:hAnsi="Arial"/>
          <w:sz w:val="17"/>
          <w:szCs w:val="17"/>
          <w:i w:val="1"/>
          <w:iCs w:val="1"/>
          <w:color w:val="auto"/>
        </w:rPr>
        <w:t xml:space="preserve"> </w:t>
      </w:r>
      <w:r>
        <w:rPr>
          <w:rFonts w:ascii="Arial" w:cs="Arial" w:eastAsia="Arial" w:hAnsi="Arial"/>
          <w:sz w:val="17"/>
          <w:szCs w:val="17"/>
          <w:color w:val="auto"/>
        </w:rPr>
        <w:t>for derivative financial instruments are based on independent sources including highly rated financial institutions and are classified as Level 2. See Note 7 to our unaudited consolidated financial statements contained herein for further details on Derivatives and Hedge Accounting.</w:t>
      </w:r>
    </w:p>
    <w:p>
      <w:pPr>
        <w:spacing w:after="0" w:line="176" w:lineRule="exact"/>
        <w:rPr>
          <w:sz w:val="20"/>
          <w:szCs w:val="20"/>
          <w:color w:val="auto"/>
        </w:rPr>
      </w:pPr>
    </w:p>
    <w:p>
      <w:pPr>
        <w:jc w:val="both"/>
        <w:ind w:firstLine="404"/>
        <w:spacing w:after="0" w:line="251" w:lineRule="auto"/>
        <w:rPr>
          <w:sz w:val="20"/>
          <w:szCs w:val="20"/>
          <w:color w:val="auto"/>
        </w:rPr>
      </w:pPr>
      <w:r>
        <w:rPr>
          <w:rFonts w:ascii="Arial" w:cs="Arial" w:eastAsia="Arial" w:hAnsi="Arial"/>
          <w:sz w:val="17"/>
          <w:szCs w:val="17"/>
          <w:i w:val="1"/>
          <w:iCs w:val="1"/>
          <w:color w:val="auto"/>
        </w:rPr>
        <w:t xml:space="preserve">Fair value of earn-out consideration: </w:t>
      </w:r>
      <w:r>
        <w:rPr>
          <w:rFonts w:ascii="Arial" w:cs="Arial" w:eastAsia="Arial" w:hAnsi="Arial"/>
          <w:sz w:val="17"/>
          <w:szCs w:val="17"/>
          <w:color w:val="auto"/>
        </w:rPr>
        <w:t>The fair value measurement of earn-out consideration is determined using Level 3 inputs. The Company’s earn-out</w:t>
      </w:r>
      <w:r>
        <w:rPr>
          <w:rFonts w:ascii="Arial" w:cs="Arial" w:eastAsia="Arial" w:hAnsi="Arial"/>
          <w:sz w:val="17"/>
          <w:szCs w:val="17"/>
          <w:i w:val="1"/>
          <w:iCs w:val="1"/>
          <w:color w:val="auto"/>
        </w:rPr>
        <w:t xml:space="preserve"> </w:t>
      </w:r>
      <w:r>
        <w:rPr>
          <w:rFonts w:ascii="Arial" w:cs="Arial" w:eastAsia="Arial" w:hAnsi="Arial"/>
          <w:sz w:val="17"/>
          <w:szCs w:val="17"/>
          <w:color w:val="auto"/>
        </w:rPr>
        <w:t>consideration as of December 31, 2015 represents a component of the total purchase consideration for the March 2015 RPM acquisition. The measurement is calculated using unobservable inputs based on the Company’s own assessment of achievement of certain performance goals by RPM during the 2015 and 2016 calendar years. As of December 31, 2015, the Company estimated the fair value of the earn out consideration to be $4,060, utilizing a Monte Carlo simulation. During the nine months ended September 30, 2016, the Company re-estimated its earn-out liability utilizing a Monte Carlo simulation based on its assessment of the achievement of the performance goals of RPM during calendar year 2016 and accordingly reduced the liability to nil as of September 30, 2016. The Monte-Carlo simulation model simulates a range of possible performance levels and estimates the probabilities of the potential payouts. This model also incorporates a range of assumptions like discount rate, risk-free rate, assumed cost of debt, etc.</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420"/>
          </w:cols>
          <w:pgMar w:left="240" w:top="123" w:right="239" w:bottom="1440" w:gutter="0" w:footer="0" w:header="0"/>
        </w:sectPr>
      </w:pPr>
    </w:p>
    <w:bookmarkStart w:id="16" w:name="page17"/>
    <w:bookmarkEnd w:id="16"/>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23" w:lineRule="exact"/>
        <w:rPr>
          <w:sz w:val="20"/>
          <w:szCs w:val="20"/>
          <w:color w:val="auto"/>
        </w:rPr>
      </w:pPr>
    </w:p>
    <w:p>
      <w:pPr>
        <w:ind w:left="4480"/>
        <w:spacing w:after="0"/>
        <w:rPr>
          <w:sz w:val="20"/>
          <w:szCs w:val="20"/>
          <w:color w:val="auto"/>
        </w:rPr>
      </w:pPr>
      <w:r>
        <w:rPr>
          <w:rFonts w:ascii="Arial" w:cs="Arial" w:eastAsia="Arial" w:hAnsi="Arial"/>
          <w:sz w:val="17"/>
          <w:szCs w:val="17"/>
          <w:b w:val="1"/>
          <w:bCs w:val="1"/>
          <w:color w:val="auto"/>
        </w:rPr>
        <w:t>EXLSERVICE HOLDINGS, INC.</w:t>
      </w:r>
    </w:p>
    <w:p>
      <w:pPr>
        <w:spacing w:after="0" w:line="92" w:lineRule="exact"/>
        <w:rPr>
          <w:sz w:val="20"/>
          <w:szCs w:val="20"/>
          <w:color w:val="auto"/>
        </w:rPr>
      </w:pPr>
    </w:p>
    <w:p>
      <w:pPr>
        <w:ind w:left="2480"/>
        <w:spacing w:after="0"/>
        <w:rPr>
          <w:sz w:val="20"/>
          <w:szCs w:val="20"/>
          <w:color w:val="auto"/>
        </w:rPr>
      </w:pPr>
      <w:r>
        <w:rPr>
          <w:rFonts w:ascii="Arial" w:cs="Arial" w:eastAsia="Arial" w:hAnsi="Arial"/>
          <w:sz w:val="17"/>
          <w:szCs w:val="17"/>
          <w:b w:val="1"/>
          <w:bCs w:val="1"/>
          <w:color w:val="auto"/>
        </w:rPr>
        <w:t>NOTES TO UNAUDITED CONSOLIDATED FINANCIAL STATEMENTS—(continued)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September 30, 2016</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ind w:firstLine="404"/>
        <w:spacing w:after="0" w:line="259" w:lineRule="auto"/>
        <w:rPr>
          <w:sz w:val="20"/>
          <w:szCs w:val="20"/>
          <w:color w:val="auto"/>
        </w:rPr>
      </w:pPr>
      <w:r>
        <w:rPr>
          <w:rFonts w:ascii="Arial" w:cs="Arial" w:eastAsia="Arial" w:hAnsi="Arial"/>
          <w:sz w:val="17"/>
          <w:szCs w:val="17"/>
          <w:color w:val="auto"/>
        </w:rPr>
        <w:t>The Company's contingent consideration as of September 30, 2016 represents a component of total purchase consideration for the September 2016 IQR acquisition. As of September 30, 2016 the Company estimated the fair value of the contingent consideration as $500, using management's best estimate of the current probability of renewal of a key client contract.</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Derivatives and Hedge Accounting</w:t>
      </w:r>
    </w:p>
    <w:p>
      <w:pPr>
        <w:spacing w:after="0" w:line="112" w:lineRule="exact"/>
        <w:rPr>
          <w:sz w:val="20"/>
          <w:szCs w:val="20"/>
          <w:color w:val="auto"/>
        </w:rPr>
      </w:pPr>
    </w:p>
    <w:p>
      <w:pPr>
        <w:jc w:val="both"/>
        <w:ind w:firstLine="404"/>
        <w:spacing w:after="0" w:line="271" w:lineRule="auto"/>
        <w:rPr>
          <w:sz w:val="20"/>
          <w:szCs w:val="20"/>
          <w:color w:val="auto"/>
        </w:rPr>
      </w:pPr>
      <w:r>
        <w:rPr>
          <w:rFonts w:ascii="Arial" w:cs="Arial" w:eastAsia="Arial" w:hAnsi="Arial"/>
          <w:sz w:val="16"/>
          <w:szCs w:val="16"/>
          <w:color w:val="auto"/>
        </w:rPr>
        <w:t>The Company uses derivative instruments and hedging transactions to mitigate exposure to foreign currency fluctuation risks associated with forecasted transactions denominated in certain foreign currencies and to minimize earnings and cash flow volatility associated with changes in foreign currency exchange rates. The Company’s derivative financial instruments consist of forward foreign exchange contracts and range forward contracts (a transaction where both a put option is purchased and a call option is sold), that are designated effective and that qualify as cash flow hedges under ASC 815. The Company had outstanding cash flow hedges totaling $221,295 (including $2,550 of range forward contracts) as of September 30, 2016 and $230,894 as of December 31, 2015. The fair value of these cash flow hedges is included in the accumulated other comprehensive loss ("AOCI")on the Company's unaudited consolidated balance sheet.</w:t>
      </w:r>
    </w:p>
    <w:p>
      <w:pPr>
        <w:spacing w:after="0" w:line="68" w:lineRule="exact"/>
        <w:rPr>
          <w:sz w:val="20"/>
          <w:szCs w:val="20"/>
          <w:color w:val="auto"/>
        </w:rPr>
      </w:pPr>
    </w:p>
    <w:p>
      <w:pPr>
        <w:jc w:val="both"/>
        <w:ind w:firstLine="404"/>
        <w:spacing w:after="0" w:line="271" w:lineRule="auto"/>
        <w:rPr>
          <w:sz w:val="20"/>
          <w:szCs w:val="20"/>
          <w:color w:val="auto"/>
        </w:rPr>
      </w:pPr>
      <w:r>
        <w:rPr>
          <w:rFonts w:ascii="Arial" w:cs="Arial" w:eastAsia="Arial" w:hAnsi="Arial"/>
          <w:sz w:val="16"/>
          <w:szCs w:val="16"/>
          <w:color w:val="auto"/>
        </w:rPr>
        <w:t>The Company also enters into foreign currency forward contracts to economically hedge its intercompany balances and other monetary assets and liabilities denominated in currencies other than functional currencies. These derivatives do not qualify as fair value hedges under ASC No. 815. Changes in the fair value of these derivatives are recognized in the consolidated statements of income and are included in foreign exchange gain/loss. The Company’s primary exchange rate exposure is with the Indian Rupee, the U.K. pound sterling and the Philippine peso. The Company also has exposure to Colombian pesos, Czech Koruna, Euro, South African ZAR and other local currencies in which it operates. Outstanding foreign currency forward contracts amounted to $62,198 and GBP 18,519 as of September 30, 2016 and amounted to $61,641 and GBP 13,256 as of December 31, 2015.</w:t>
      </w:r>
    </w:p>
    <w:p>
      <w:pPr>
        <w:spacing w:after="0" w:line="169" w:lineRule="exact"/>
        <w:rPr>
          <w:sz w:val="20"/>
          <w:szCs w:val="20"/>
          <w:color w:val="auto"/>
        </w:rPr>
      </w:pPr>
    </w:p>
    <w:p>
      <w:pPr>
        <w:jc w:val="both"/>
        <w:ind w:firstLine="404"/>
        <w:spacing w:after="0" w:line="339" w:lineRule="auto"/>
        <w:rPr>
          <w:sz w:val="20"/>
          <w:szCs w:val="20"/>
          <w:color w:val="auto"/>
        </w:rPr>
      </w:pPr>
      <w:r>
        <w:rPr>
          <w:rFonts w:ascii="Arial" w:cs="Arial" w:eastAsia="Arial" w:hAnsi="Arial"/>
          <w:sz w:val="15"/>
          <w:szCs w:val="15"/>
          <w:color w:val="auto"/>
        </w:rPr>
        <w:t>The Company estimates that approximately $3,111 of net derivative gains included in AOCI could be reclassified into earnings within the next twelve months based on exchange rates prevailing as of September 30, 2016. At September 30, 2016, the maximum outstanding term of the cash flow hedges was forty-five months.</w:t>
      </w:r>
    </w:p>
    <w:p>
      <w:pPr>
        <w:spacing w:after="0" w:line="119" w:lineRule="exact"/>
        <w:rPr>
          <w:sz w:val="20"/>
          <w:szCs w:val="20"/>
          <w:color w:val="auto"/>
        </w:rPr>
      </w:pPr>
    </w:p>
    <w:p>
      <w:pPr>
        <w:jc w:val="both"/>
        <w:ind w:firstLine="404"/>
        <w:spacing w:after="0" w:line="254" w:lineRule="auto"/>
        <w:rPr>
          <w:sz w:val="20"/>
          <w:szCs w:val="20"/>
          <w:color w:val="auto"/>
        </w:rPr>
      </w:pPr>
      <w:r>
        <w:rPr>
          <w:rFonts w:ascii="Arial" w:cs="Arial" w:eastAsia="Arial" w:hAnsi="Arial"/>
          <w:sz w:val="17"/>
          <w:szCs w:val="17"/>
          <w:color w:val="auto"/>
        </w:rPr>
        <w:t>The Company evaluates hedge effectiveness at the time a contract is entered into as well as on an ongoing basis. If during this time, a contract is deemed ineffective, the change in the fair value is recorded in the consolidated statements of income and is included in foreign exchange gain/(loss). For hedging positions that are discontinued because the forecasted transaction is not expected to occur by the end of the originally specified period, any related derivative amounts recorded in equity are reclassified to earnings. There were no such significant amounts of gains or losses that were reclassified from AOCI into earnings during the three and nine months ended September 30, 2016 and 2015.</w:t>
      </w:r>
    </w:p>
    <w:p>
      <w:pPr>
        <w:spacing w:after="0" w:line="17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tables set forth the fair value of the foreign currency exchange contracts and their location on the unaudited consolidated financial statements:</w:t>
      </w:r>
    </w:p>
    <w:p>
      <w:pPr>
        <w:spacing w:after="0" w:line="220"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Derivatives designated as hedging instruments:</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20" w:type="dxa"/>
            <w:vAlign w:val="bottom"/>
            <w:gridSpan w:val="2"/>
          </w:tcPr>
          <w:p>
            <w:pPr>
              <w:ind w:left="200"/>
              <w:spacing w:after="0"/>
              <w:rPr>
                <w:sz w:val="20"/>
                <w:szCs w:val="20"/>
                <w:color w:val="auto"/>
              </w:rPr>
            </w:pPr>
            <w:r>
              <w:rPr>
                <w:rFonts w:ascii="Arial" w:cs="Arial" w:eastAsia="Arial" w:hAnsi="Arial"/>
                <w:sz w:val="17"/>
                <w:szCs w:val="17"/>
                <w:b w:val="1"/>
                <w:bCs w:val="1"/>
                <w:color w:val="auto"/>
              </w:rPr>
              <w:t>September 30, 2016</w:t>
            </w:r>
          </w:p>
        </w:tc>
        <w:tc>
          <w:tcPr>
            <w:tcW w:w="300" w:type="dxa"/>
            <w:vAlign w:val="bottom"/>
          </w:tcPr>
          <w:p>
            <w:pPr>
              <w:spacing w:after="0"/>
              <w:rPr>
                <w:sz w:val="18"/>
                <w:szCs w:val="18"/>
                <w:color w:val="auto"/>
              </w:rPr>
            </w:pPr>
          </w:p>
        </w:tc>
        <w:tc>
          <w:tcPr>
            <w:tcW w:w="2080" w:type="dxa"/>
            <w:vAlign w:val="bottom"/>
          </w:tcPr>
          <w:p>
            <w:pPr>
              <w:jc w:val="right"/>
              <w:ind w:right="416"/>
              <w:spacing w:after="0"/>
              <w:rPr>
                <w:sz w:val="20"/>
                <w:szCs w:val="20"/>
                <w:color w:val="auto"/>
              </w:rPr>
            </w:pPr>
            <w:r>
              <w:rPr>
                <w:rFonts w:ascii="Arial" w:cs="Arial" w:eastAsia="Arial" w:hAnsi="Arial"/>
                <w:sz w:val="17"/>
                <w:szCs w:val="17"/>
                <w:b w:val="1"/>
                <w:bCs w:val="1"/>
                <w:color w:val="auto"/>
              </w:rPr>
              <w:t>December 31, 2015</w:t>
            </w:r>
          </w:p>
        </w:tc>
      </w:tr>
      <w:tr>
        <w:trPr>
          <w:trHeight w:val="26"/>
        </w:trPr>
        <w:tc>
          <w:tcPr>
            <w:tcW w:w="65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25"/>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Other current assets:</w:t>
            </w:r>
          </w:p>
        </w:tc>
        <w:tc>
          <w:tcPr>
            <w:tcW w:w="300" w:type="dxa"/>
            <w:vAlign w:val="bottom"/>
            <w:tcBorders>
              <w:bottom w:val="single" w:sz="8" w:color="CCEEFF"/>
            </w:tcBorders>
            <w:shd w:val="clear" w:color="auto" w:fill="CCEEFF"/>
          </w:tcPr>
          <w:p>
            <w:pPr>
              <w:spacing w:after="0"/>
              <w:rPr>
                <w:sz w:val="19"/>
                <w:szCs w:val="19"/>
                <w:color w:val="auto"/>
              </w:rPr>
            </w:pPr>
          </w:p>
        </w:tc>
        <w:tc>
          <w:tcPr>
            <w:tcW w:w="2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2080" w:type="dxa"/>
            <w:vAlign w:val="bottom"/>
            <w:tcBorders>
              <w:bottom w:val="single" w:sz="8" w:color="CCEEFF"/>
            </w:tcBorders>
            <w:shd w:val="clear" w:color="auto" w:fill="CCEEFF"/>
          </w:tcPr>
          <w:p>
            <w:pPr>
              <w:spacing w:after="0"/>
              <w:rPr>
                <w:sz w:val="19"/>
                <w:szCs w:val="19"/>
                <w:color w:val="auto"/>
              </w:rPr>
            </w:pPr>
          </w:p>
        </w:tc>
      </w:tr>
      <w:tr>
        <w:trPr>
          <w:trHeight w:val="227"/>
        </w:trPr>
        <w:tc>
          <w:tcPr>
            <w:tcW w:w="6520" w:type="dxa"/>
            <w:vAlign w:val="bottom"/>
          </w:tcPr>
          <w:p>
            <w:pPr>
              <w:ind w:left="360"/>
              <w:spacing w:after="0"/>
              <w:rPr>
                <w:sz w:val="20"/>
                <w:szCs w:val="20"/>
                <w:color w:val="auto"/>
              </w:rPr>
            </w:pPr>
            <w:r>
              <w:rPr>
                <w:rFonts w:ascii="Arial" w:cs="Arial" w:eastAsia="Arial" w:hAnsi="Arial"/>
                <w:sz w:val="17"/>
                <w:szCs w:val="17"/>
                <w:color w:val="auto"/>
              </w:rPr>
              <w:t>Foreign currency exchange contracts</w:t>
            </w:r>
          </w:p>
        </w:tc>
        <w:tc>
          <w:tcPr>
            <w:tcW w:w="300" w:type="dxa"/>
            <w:vAlign w:val="bottom"/>
          </w:tcPr>
          <w:p>
            <w:pPr>
              <w:jc w:val="right"/>
              <w:ind w:right="96"/>
              <w:spacing w:after="0"/>
              <w:rPr>
                <w:sz w:val="20"/>
                <w:szCs w:val="20"/>
                <w:color w:val="auto"/>
              </w:rPr>
            </w:pPr>
            <w:r>
              <w:rPr>
                <w:rFonts w:ascii="Arial" w:cs="Arial" w:eastAsia="Arial" w:hAnsi="Arial"/>
                <w:sz w:val="17"/>
                <w:szCs w:val="17"/>
                <w:color w:val="auto"/>
              </w:rPr>
              <w:t>$</w:t>
            </w:r>
          </w:p>
        </w:tc>
        <w:tc>
          <w:tcPr>
            <w:tcW w:w="2100" w:type="dxa"/>
            <w:vAlign w:val="bottom"/>
          </w:tcPr>
          <w:p>
            <w:pPr>
              <w:jc w:val="right"/>
              <w:ind w:right="16"/>
              <w:spacing w:after="0"/>
              <w:rPr>
                <w:sz w:val="20"/>
                <w:szCs w:val="20"/>
                <w:color w:val="auto"/>
              </w:rPr>
            </w:pPr>
            <w:r>
              <w:rPr>
                <w:rFonts w:ascii="Arial" w:cs="Arial" w:eastAsia="Arial" w:hAnsi="Arial"/>
                <w:sz w:val="17"/>
                <w:szCs w:val="17"/>
                <w:color w:val="auto"/>
              </w:rPr>
              <w:t>4,177</w:t>
            </w:r>
          </w:p>
        </w:tc>
        <w:tc>
          <w:tcPr>
            <w:tcW w:w="120" w:type="dxa"/>
            <w:vAlign w:val="bottom"/>
          </w:tcPr>
          <w:p>
            <w:pPr>
              <w:spacing w:after="0"/>
              <w:rPr>
                <w:sz w:val="19"/>
                <w:szCs w:val="19"/>
                <w:color w:val="auto"/>
              </w:rPr>
            </w:pPr>
          </w:p>
        </w:tc>
        <w:tc>
          <w:tcPr>
            <w:tcW w:w="300" w:type="dxa"/>
            <w:vAlign w:val="bottom"/>
          </w:tcPr>
          <w:p>
            <w:pPr>
              <w:jc w:val="right"/>
              <w:ind w:right="116"/>
              <w:spacing w:after="0"/>
              <w:rPr>
                <w:sz w:val="20"/>
                <w:szCs w:val="20"/>
                <w:color w:val="auto"/>
              </w:rPr>
            </w:pPr>
            <w:r>
              <w:rPr>
                <w:rFonts w:ascii="Arial" w:cs="Arial" w:eastAsia="Arial" w:hAnsi="Arial"/>
                <w:sz w:val="17"/>
                <w:szCs w:val="17"/>
                <w:color w:val="auto"/>
                <w:w w:val="84"/>
              </w:rPr>
              <w:t>$</w:t>
            </w:r>
          </w:p>
        </w:tc>
        <w:tc>
          <w:tcPr>
            <w:tcW w:w="2080" w:type="dxa"/>
            <w:vAlign w:val="bottom"/>
          </w:tcPr>
          <w:p>
            <w:pPr>
              <w:jc w:val="right"/>
              <w:ind w:right="16"/>
              <w:spacing w:after="0"/>
              <w:rPr>
                <w:sz w:val="20"/>
                <w:szCs w:val="20"/>
                <w:color w:val="auto"/>
              </w:rPr>
            </w:pPr>
            <w:r>
              <w:rPr>
                <w:rFonts w:ascii="Arial" w:cs="Arial" w:eastAsia="Arial" w:hAnsi="Arial"/>
                <w:sz w:val="17"/>
                <w:szCs w:val="17"/>
                <w:color w:val="auto"/>
              </w:rPr>
              <w:t>2,664</w:t>
            </w:r>
          </w:p>
        </w:tc>
      </w:tr>
      <w:tr>
        <w:trPr>
          <w:trHeight w:val="26"/>
        </w:trPr>
        <w:tc>
          <w:tcPr>
            <w:tcW w:w="6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33"/>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Other assets:</w:t>
            </w:r>
          </w:p>
        </w:tc>
        <w:tc>
          <w:tcPr>
            <w:tcW w:w="300" w:type="dxa"/>
            <w:vAlign w:val="bottom"/>
            <w:tcBorders>
              <w:bottom w:val="single" w:sz="8" w:color="CCEEFF"/>
            </w:tcBorders>
            <w:shd w:val="clear" w:color="auto" w:fill="CCEEFF"/>
          </w:tcPr>
          <w:p>
            <w:pPr>
              <w:spacing w:after="0"/>
              <w:rPr>
                <w:sz w:val="20"/>
                <w:szCs w:val="20"/>
                <w:color w:val="auto"/>
              </w:rPr>
            </w:pPr>
          </w:p>
        </w:tc>
        <w:tc>
          <w:tcPr>
            <w:tcW w:w="2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2080" w:type="dxa"/>
            <w:vAlign w:val="bottom"/>
            <w:tcBorders>
              <w:bottom w:val="single" w:sz="8" w:color="CCEEFF"/>
            </w:tcBorders>
            <w:shd w:val="clear" w:color="auto" w:fill="CCEEFF"/>
          </w:tcPr>
          <w:p>
            <w:pPr>
              <w:spacing w:after="0"/>
              <w:rPr>
                <w:sz w:val="20"/>
                <w:szCs w:val="20"/>
                <w:color w:val="auto"/>
              </w:rPr>
            </w:pPr>
          </w:p>
        </w:tc>
      </w:tr>
      <w:tr>
        <w:trPr>
          <w:trHeight w:val="227"/>
        </w:trPr>
        <w:tc>
          <w:tcPr>
            <w:tcW w:w="6520" w:type="dxa"/>
            <w:vAlign w:val="bottom"/>
          </w:tcPr>
          <w:p>
            <w:pPr>
              <w:ind w:left="360"/>
              <w:spacing w:after="0"/>
              <w:rPr>
                <w:sz w:val="20"/>
                <w:szCs w:val="20"/>
                <w:color w:val="auto"/>
              </w:rPr>
            </w:pPr>
            <w:r>
              <w:rPr>
                <w:rFonts w:ascii="Arial" w:cs="Arial" w:eastAsia="Arial" w:hAnsi="Arial"/>
                <w:sz w:val="17"/>
                <w:szCs w:val="17"/>
                <w:color w:val="auto"/>
              </w:rPr>
              <w:t>Foreign currency exchange contracts</w:t>
            </w:r>
          </w:p>
        </w:tc>
        <w:tc>
          <w:tcPr>
            <w:tcW w:w="300" w:type="dxa"/>
            <w:vAlign w:val="bottom"/>
          </w:tcPr>
          <w:p>
            <w:pPr>
              <w:jc w:val="right"/>
              <w:ind w:right="96"/>
              <w:spacing w:after="0"/>
              <w:rPr>
                <w:sz w:val="20"/>
                <w:szCs w:val="20"/>
                <w:color w:val="auto"/>
              </w:rPr>
            </w:pPr>
            <w:r>
              <w:rPr>
                <w:rFonts w:ascii="Arial" w:cs="Arial" w:eastAsia="Arial" w:hAnsi="Arial"/>
                <w:sz w:val="17"/>
                <w:szCs w:val="17"/>
                <w:color w:val="auto"/>
              </w:rPr>
              <w:t>$</w:t>
            </w:r>
          </w:p>
        </w:tc>
        <w:tc>
          <w:tcPr>
            <w:tcW w:w="2100" w:type="dxa"/>
            <w:vAlign w:val="bottom"/>
          </w:tcPr>
          <w:p>
            <w:pPr>
              <w:jc w:val="right"/>
              <w:ind w:right="16"/>
              <w:spacing w:after="0"/>
              <w:rPr>
                <w:sz w:val="20"/>
                <w:szCs w:val="20"/>
                <w:color w:val="auto"/>
              </w:rPr>
            </w:pPr>
            <w:r>
              <w:rPr>
                <w:rFonts w:ascii="Arial" w:cs="Arial" w:eastAsia="Arial" w:hAnsi="Arial"/>
                <w:sz w:val="17"/>
                <w:szCs w:val="17"/>
                <w:color w:val="auto"/>
              </w:rPr>
              <w:t>2,377</w:t>
            </w:r>
          </w:p>
        </w:tc>
        <w:tc>
          <w:tcPr>
            <w:tcW w:w="120" w:type="dxa"/>
            <w:vAlign w:val="bottom"/>
          </w:tcPr>
          <w:p>
            <w:pPr>
              <w:spacing w:after="0"/>
              <w:rPr>
                <w:sz w:val="19"/>
                <w:szCs w:val="19"/>
                <w:color w:val="auto"/>
              </w:rPr>
            </w:pPr>
          </w:p>
        </w:tc>
        <w:tc>
          <w:tcPr>
            <w:tcW w:w="300" w:type="dxa"/>
            <w:vAlign w:val="bottom"/>
          </w:tcPr>
          <w:p>
            <w:pPr>
              <w:jc w:val="right"/>
              <w:ind w:right="116"/>
              <w:spacing w:after="0"/>
              <w:rPr>
                <w:sz w:val="20"/>
                <w:szCs w:val="20"/>
                <w:color w:val="auto"/>
              </w:rPr>
            </w:pPr>
            <w:r>
              <w:rPr>
                <w:rFonts w:ascii="Arial" w:cs="Arial" w:eastAsia="Arial" w:hAnsi="Arial"/>
                <w:sz w:val="17"/>
                <w:szCs w:val="17"/>
                <w:color w:val="auto"/>
                <w:w w:val="84"/>
              </w:rPr>
              <w:t>$</w:t>
            </w:r>
          </w:p>
        </w:tc>
        <w:tc>
          <w:tcPr>
            <w:tcW w:w="2080" w:type="dxa"/>
            <w:vAlign w:val="bottom"/>
          </w:tcPr>
          <w:p>
            <w:pPr>
              <w:jc w:val="right"/>
              <w:ind w:right="16"/>
              <w:spacing w:after="0"/>
              <w:rPr>
                <w:sz w:val="20"/>
                <w:szCs w:val="20"/>
                <w:color w:val="auto"/>
              </w:rPr>
            </w:pPr>
            <w:r>
              <w:rPr>
                <w:rFonts w:ascii="Arial" w:cs="Arial" w:eastAsia="Arial" w:hAnsi="Arial"/>
                <w:sz w:val="17"/>
                <w:szCs w:val="17"/>
                <w:color w:val="auto"/>
              </w:rPr>
              <w:t>1,175</w:t>
            </w:r>
          </w:p>
        </w:tc>
      </w:tr>
      <w:tr>
        <w:trPr>
          <w:trHeight w:val="26"/>
        </w:trPr>
        <w:tc>
          <w:tcPr>
            <w:tcW w:w="6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33"/>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Accrued expenses and other current liabilities:</w:t>
            </w:r>
          </w:p>
        </w:tc>
        <w:tc>
          <w:tcPr>
            <w:tcW w:w="300" w:type="dxa"/>
            <w:vAlign w:val="bottom"/>
            <w:tcBorders>
              <w:bottom w:val="single" w:sz="8" w:color="CCEEFF"/>
            </w:tcBorders>
            <w:shd w:val="clear" w:color="auto" w:fill="CCEEFF"/>
          </w:tcPr>
          <w:p>
            <w:pPr>
              <w:spacing w:after="0"/>
              <w:rPr>
                <w:sz w:val="20"/>
                <w:szCs w:val="20"/>
                <w:color w:val="auto"/>
              </w:rPr>
            </w:pPr>
          </w:p>
        </w:tc>
        <w:tc>
          <w:tcPr>
            <w:tcW w:w="2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2080" w:type="dxa"/>
            <w:vAlign w:val="bottom"/>
            <w:tcBorders>
              <w:bottom w:val="single" w:sz="8" w:color="CCEEFF"/>
            </w:tcBorders>
            <w:shd w:val="clear" w:color="auto" w:fill="CCEEFF"/>
          </w:tcPr>
          <w:p>
            <w:pPr>
              <w:spacing w:after="0"/>
              <w:rPr>
                <w:sz w:val="20"/>
                <w:szCs w:val="20"/>
                <w:color w:val="auto"/>
              </w:rPr>
            </w:pPr>
          </w:p>
        </w:tc>
      </w:tr>
      <w:tr>
        <w:trPr>
          <w:trHeight w:val="227"/>
        </w:trPr>
        <w:tc>
          <w:tcPr>
            <w:tcW w:w="6520" w:type="dxa"/>
            <w:vAlign w:val="bottom"/>
          </w:tcPr>
          <w:p>
            <w:pPr>
              <w:ind w:left="360"/>
              <w:spacing w:after="0"/>
              <w:rPr>
                <w:sz w:val="20"/>
                <w:szCs w:val="20"/>
                <w:color w:val="auto"/>
              </w:rPr>
            </w:pPr>
            <w:r>
              <w:rPr>
                <w:rFonts w:ascii="Arial" w:cs="Arial" w:eastAsia="Arial" w:hAnsi="Arial"/>
                <w:sz w:val="17"/>
                <w:szCs w:val="17"/>
                <w:color w:val="auto"/>
              </w:rPr>
              <w:t>Foreign currency exchange contracts</w:t>
            </w:r>
          </w:p>
        </w:tc>
        <w:tc>
          <w:tcPr>
            <w:tcW w:w="300" w:type="dxa"/>
            <w:vAlign w:val="bottom"/>
          </w:tcPr>
          <w:p>
            <w:pPr>
              <w:jc w:val="right"/>
              <w:ind w:right="96"/>
              <w:spacing w:after="0"/>
              <w:rPr>
                <w:sz w:val="20"/>
                <w:szCs w:val="20"/>
                <w:color w:val="auto"/>
              </w:rPr>
            </w:pPr>
            <w:r>
              <w:rPr>
                <w:rFonts w:ascii="Arial" w:cs="Arial" w:eastAsia="Arial" w:hAnsi="Arial"/>
                <w:sz w:val="17"/>
                <w:szCs w:val="17"/>
                <w:color w:val="auto"/>
              </w:rPr>
              <w:t>$</w:t>
            </w:r>
          </w:p>
        </w:tc>
        <w:tc>
          <w:tcPr>
            <w:tcW w:w="2100" w:type="dxa"/>
            <w:vAlign w:val="bottom"/>
          </w:tcPr>
          <w:p>
            <w:pPr>
              <w:jc w:val="right"/>
              <w:ind w:right="16"/>
              <w:spacing w:after="0"/>
              <w:rPr>
                <w:sz w:val="20"/>
                <w:szCs w:val="20"/>
                <w:color w:val="auto"/>
              </w:rPr>
            </w:pPr>
            <w:r>
              <w:rPr>
                <w:rFonts w:ascii="Arial" w:cs="Arial" w:eastAsia="Arial" w:hAnsi="Arial"/>
                <w:sz w:val="17"/>
                <w:szCs w:val="17"/>
                <w:color w:val="auto"/>
              </w:rPr>
              <w:t>1,066</w:t>
            </w:r>
          </w:p>
        </w:tc>
        <w:tc>
          <w:tcPr>
            <w:tcW w:w="120" w:type="dxa"/>
            <w:vAlign w:val="bottom"/>
          </w:tcPr>
          <w:p>
            <w:pPr>
              <w:spacing w:after="0"/>
              <w:rPr>
                <w:sz w:val="19"/>
                <w:szCs w:val="19"/>
                <w:color w:val="auto"/>
              </w:rPr>
            </w:pPr>
          </w:p>
        </w:tc>
        <w:tc>
          <w:tcPr>
            <w:tcW w:w="300" w:type="dxa"/>
            <w:vAlign w:val="bottom"/>
          </w:tcPr>
          <w:p>
            <w:pPr>
              <w:jc w:val="right"/>
              <w:ind w:right="116"/>
              <w:spacing w:after="0"/>
              <w:rPr>
                <w:sz w:val="20"/>
                <w:szCs w:val="20"/>
                <w:color w:val="auto"/>
              </w:rPr>
            </w:pPr>
            <w:r>
              <w:rPr>
                <w:rFonts w:ascii="Arial" w:cs="Arial" w:eastAsia="Arial" w:hAnsi="Arial"/>
                <w:sz w:val="17"/>
                <w:szCs w:val="17"/>
                <w:color w:val="auto"/>
                <w:w w:val="84"/>
              </w:rPr>
              <w:t>$</w:t>
            </w:r>
          </w:p>
        </w:tc>
        <w:tc>
          <w:tcPr>
            <w:tcW w:w="2080" w:type="dxa"/>
            <w:vAlign w:val="bottom"/>
          </w:tcPr>
          <w:p>
            <w:pPr>
              <w:jc w:val="right"/>
              <w:ind w:right="16"/>
              <w:spacing w:after="0"/>
              <w:rPr>
                <w:sz w:val="20"/>
                <w:szCs w:val="20"/>
                <w:color w:val="auto"/>
              </w:rPr>
            </w:pPr>
            <w:r>
              <w:rPr>
                <w:rFonts w:ascii="Arial" w:cs="Arial" w:eastAsia="Arial" w:hAnsi="Arial"/>
                <w:sz w:val="17"/>
                <w:szCs w:val="17"/>
                <w:color w:val="auto"/>
              </w:rPr>
              <w:t>1,226</w:t>
            </w:r>
          </w:p>
        </w:tc>
      </w:tr>
      <w:tr>
        <w:trPr>
          <w:trHeight w:val="26"/>
        </w:trPr>
        <w:tc>
          <w:tcPr>
            <w:tcW w:w="6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33"/>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Other non current liabilities:</w:t>
            </w:r>
          </w:p>
        </w:tc>
        <w:tc>
          <w:tcPr>
            <w:tcW w:w="300" w:type="dxa"/>
            <w:vAlign w:val="bottom"/>
            <w:tcBorders>
              <w:bottom w:val="single" w:sz="8" w:color="CCEEFF"/>
            </w:tcBorders>
            <w:shd w:val="clear" w:color="auto" w:fill="CCEEFF"/>
          </w:tcPr>
          <w:p>
            <w:pPr>
              <w:spacing w:after="0"/>
              <w:rPr>
                <w:sz w:val="20"/>
                <w:szCs w:val="20"/>
                <w:color w:val="auto"/>
              </w:rPr>
            </w:pPr>
          </w:p>
        </w:tc>
        <w:tc>
          <w:tcPr>
            <w:tcW w:w="2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2080" w:type="dxa"/>
            <w:vAlign w:val="bottom"/>
            <w:tcBorders>
              <w:bottom w:val="single" w:sz="8" w:color="CCEEFF"/>
            </w:tcBorders>
            <w:shd w:val="clear" w:color="auto" w:fill="CCEEFF"/>
          </w:tcPr>
          <w:p>
            <w:pPr>
              <w:spacing w:after="0"/>
              <w:rPr>
                <w:sz w:val="20"/>
                <w:szCs w:val="20"/>
                <w:color w:val="auto"/>
              </w:rPr>
            </w:pPr>
          </w:p>
        </w:tc>
      </w:tr>
      <w:tr>
        <w:trPr>
          <w:trHeight w:val="227"/>
        </w:trPr>
        <w:tc>
          <w:tcPr>
            <w:tcW w:w="6520" w:type="dxa"/>
            <w:vAlign w:val="bottom"/>
          </w:tcPr>
          <w:p>
            <w:pPr>
              <w:ind w:left="360"/>
              <w:spacing w:after="0"/>
              <w:rPr>
                <w:sz w:val="20"/>
                <w:szCs w:val="20"/>
                <w:color w:val="auto"/>
              </w:rPr>
            </w:pPr>
            <w:r>
              <w:rPr>
                <w:rFonts w:ascii="Arial" w:cs="Arial" w:eastAsia="Arial" w:hAnsi="Arial"/>
                <w:sz w:val="17"/>
                <w:szCs w:val="17"/>
                <w:color w:val="auto"/>
              </w:rPr>
              <w:t>Foreign currency exchange contracts</w:t>
            </w:r>
          </w:p>
        </w:tc>
        <w:tc>
          <w:tcPr>
            <w:tcW w:w="300" w:type="dxa"/>
            <w:vAlign w:val="bottom"/>
          </w:tcPr>
          <w:p>
            <w:pPr>
              <w:jc w:val="right"/>
              <w:ind w:right="96"/>
              <w:spacing w:after="0"/>
              <w:rPr>
                <w:sz w:val="20"/>
                <w:szCs w:val="20"/>
                <w:color w:val="auto"/>
              </w:rPr>
            </w:pPr>
            <w:r>
              <w:rPr>
                <w:rFonts w:ascii="Arial" w:cs="Arial" w:eastAsia="Arial" w:hAnsi="Arial"/>
                <w:sz w:val="17"/>
                <w:szCs w:val="17"/>
                <w:color w:val="auto"/>
              </w:rPr>
              <w:t>$</w:t>
            </w:r>
          </w:p>
        </w:tc>
        <w:tc>
          <w:tcPr>
            <w:tcW w:w="2100" w:type="dxa"/>
            <w:vAlign w:val="bottom"/>
          </w:tcPr>
          <w:p>
            <w:pPr>
              <w:jc w:val="right"/>
              <w:ind w:right="16"/>
              <w:spacing w:after="0"/>
              <w:rPr>
                <w:sz w:val="20"/>
                <w:szCs w:val="20"/>
                <w:color w:val="auto"/>
              </w:rPr>
            </w:pPr>
            <w:r>
              <w:rPr>
                <w:rFonts w:ascii="Arial" w:cs="Arial" w:eastAsia="Arial" w:hAnsi="Arial"/>
                <w:sz w:val="17"/>
                <w:szCs w:val="17"/>
                <w:color w:val="auto"/>
              </w:rPr>
              <w:t>719</w:t>
            </w:r>
          </w:p>
        </w:tc>
        <w:tc>
          <w:tcPr>
            <w:tcW w:w="120" w:type="dxa"/>
            <w:vAlign w:val="bottom"/>
          </w:tcPr>
          <w:p>
            <w:pPr>
              <w:spacing w:after="0"/>
              <w:rPr>
                <w:sz w:val="19"/>
                <w:szCs w:val="19"/>
                <w:color w:val="auto"/>
              </w:rPr>
            </w:pPr>
          </w:p>
        </w:tc>
        <w:tc>
          <w:tcPr>
            <w:tcW w:w="300" w:type="dxa"/>
            <w:vAlign w:val="bottom"/>
          </w:tcPr>
          <w:p>
            <w:pPr>
              <w:jc w:val="right"/>
              <w:ind w:right="116"/>
              <w:spacing w:after="0"/>
              <w:rPr>
                <w:sz w:val="20"/>
                <w:szCs w:val="20"/>
                <w:color w:val="auto"/>
              </w:rPr>
            </w:pPr>
            <w:r>
              <w:rPr>
                <w:rFonts w:ascii="Arial" w:cs="Arial" w:eastAsia="Arial" w:hAnsi="Arial"/>
                <w:sz w:val="17"/>
                <w:szCs w:val="17"/>
                <w:color w:val="auto"/>
                <w:w w:val="84"/>
              </w:rPr>
              <w:t>$</w:t>
            </w:r>
          </w:p>
        </w:tc>
        <w:tc>
          <w:tcPr>
            <w:tcW w:w="2080" w:type="dxa"/>
            <w:vAlign w:val="bottom"/>
          </w:tcPr>
          <w:p>
            <w:pPr>
              <w:jc w:val="right"/>
              <w:ind w:right="16"/>
              <w:spacing w:after="0"/>
              <w:rPr>
                <w:sz w:val="20"/>
                <w:szCs w:val="20"/>
                <w:color w:val="auto"/>
              </w:rPr>
            </w:pPr>
            <w:r>
              <w:rPr>
                <w:rFonts w:ascii="Arial" w:cs="Arial" w:eastAsia="Arial" w:hAnsi="Arial"/>
                <w:sz w:val="17"/>
                <w:szCs w:val="17"/>
                <w:color w:val="auto"/>
              </w:rPr>
              <w:t>1,132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420"/>
          </w:cols>
          <w:pgMar w:left="240" w:top="123" w:right="239" w:bottom="1440" w:gutter="0" w:footer="0" w:header="0"/>
        </w:sectPr>
      </w:pPr>
    </w:p>
    <w:bookmarkStart w:id="17" w:name="page18"/>
    <w:bookmarkEnd w:id="17"/>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23" w:lineRule="exact"/>
        <w:rPr>
          <w:sz w:val="20"/>
          <w:szCs w:val="20"/>
          <w:color w:val="auto"/>
        </w:rPr>
      </w:pPr>
    </w:p>
    <w:p>
      <w:pPr>
        <w:ind w:left="4480"/>
        <w:spacing w:after="0"/>
        <w:rPr>
          <w:sz w:val="20"/>
          <w:szCs w:val="20"/>
          <w:color w:val="auto"/>
        </w:rPr>
      </w:pPr>
      <w:r>
        <w:rPr>
          <w:rFonts w:ascii="Arial" w:cs="Arial" w:eastAsia="Arial" w:hAnsi="Arial"/>
          <w:sz w:val="17"/>
          <w:szCs w:val="17"/>
          <w:b w:val="1"/>
          <w:bCs w:val="1"/>
          <w:color w:val="auto"/>
        </w:rPr>
        <w:t>EXLSERVICE HOLDINGS, INC.</w:t>
      </w:r>
    </w:p>
    <w:p>
      <w:pPr>
        <w:spacing w:after="0" w:line="92" w:lineRule="exact"/>
        <w:rPr>
          <w:sz w:val="20"/>
          <w:szCs w:val="20"/>
          <w:color w:val="auto"/>
        </w:rPr>
      </w:pPr>
    </w:p>
    <w:p>
      <w:pPr>
        <w:ind w:left="2480"/>
        <w:spacing w:after="0"/>
        <w:rPr>
          <w:sz w:val="20"/>
          <w:szCs w:val="20"/>
          <w:color w:val="auto"/>
        </w:rPr>
      </w:pPr>
      <w:r>
        <w:rPr>
          <w:rFonts w:ascii="Arial" w:cs="Arial" w:eastAsia="Arial" w:hAnsi="Arial"/>
          <w:sz w:val="17"/>
          <w:szCs w:val="17"/>
          <w:b w:val="1"/>
          <w:bCs w:val="1"/>
          <w:color w:val="auto"/>
        </w:rPr>
        <w:t>NOTES TO UNAUDITED CONSOLIDATED FINANCIAL STATEMENTS—(continued)</w:t>
      </w:r>
    </w:p>
    <w:p>
      <w:pPr>
        <w:spacing w:after="0" w:line="23"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September 30, 2016</w:t>
      </w:r>
    </w:p>
    <w:p>
      <w:pPr>
        <w:spacing w:after="0" w:line="7"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Derivatives not designated as hedging instruments:</w:t>
      </w:r>
    </w:p>
    <w:p>
      <w:pPr>
        <w:spacing w:after="0" w:line="200" w:lineRule="exact"/>
        <w:rPr>
          <w:sz w:val="20"/>
          <w:szCs w:val="20"/>
          <w:color w:val="auto"/>
        </w:rPr>
      </w:pPr>
    </w:p>
    <w:p>
      <w:pPr>
        <w:spacing w:after="0" w:line="258" w:lineRule="exact"/>
        <w:rPr>
          <w:sz w:val="20"/>
          <w:szCs w:val="20"/>
          <w:color w:val="auto"/>
        </w:rPr>
      </w:pPr>
    </w:p>
    <w:p>
      <w:pPr>
        <w:ind w:left="7200"/>
        <w:spacing w:after="0"/>
        <w:tabs>
          <w:tab w:leader="none" w:pos="9520" w:val="left"/>
        </w:tabs>
        <w:rPr>
          <w:sz w:val="20"/>
          <w:szCs w:val="20"/>
          <w:color w:val="auto"/>
        </w:rPr>
      </w:pPr>
      <w:r>
        <w:rPr>
          <w:rFonts w:ascii="Arial" w:cs="Arial" w:eastAsia="Arial" w:hAnsi="Arial"/>
          <w:sz w:val="17"/>
          <w:szCs w:val="17"/>
          <w:b w:val="1"/>
          <w:bCs w:val="1"/>
          <w:color w:val="auto"/>
        </w:rPr>
        <w:t>September 30, 2016</w:t>
      </w:r>
      <w:r>
        <w:rPr>
          <w:sz w:val="20"/>
          <w:szCs w:val="20"/>
          <w:color w:val="auto"/>
        </w:rPr>
        <w:tab/>
      </w:r>
      <w:r>
        <w:rPr>
          <w:rFonts w:ascii="Arial" w:cs="Arial" w:eastAsia="Arial" w:hAnsi="Arial"/>
          <w:sz w:val="15"/>
          <w:szCs w:val="15"/>
          <w:b w:val="1"/>
          <w:bCs w:val="1"/>
          <w:color w:val="auto"/>
        </w:rPr>
        <w:t>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30480</wp:posOffset>
            </wp:positionV>
            <wp:extent cx="6998335" cy="1682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8335" cy="168275"/>
                    </a:xfrm>
                    <a:prstGeom prst="rect">
                      <a:avLst/>
                    </a:prstGeom>
                    <a:noFill/>
                  </pic:spPr>
                </pic:pic>
              </a:graphicData>
            </a:graphic>
          </wp:anchor>
        </w:drawing>
      </w:r>
    </w:p>
    <w:p>
      <w:pPr>
        <w:spacing w:after="0" w:line="50"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Other current assets:</w:t>
      </w:r>
    </w:p>
    <w:p>
      <w:pPr>
        <w:spacing w:after="0" w:line="61" w:lineRule="exact"/>
        <w:rPr>
          <w:sz w:val="20"/>
          <w:szCs w:val="20"/>
          <w:color w:val="auto"/>
        </w:rPr>
      </w:pPr>
    </w:p>
    <w:p>
      <w:pPr>
        <w:ind w:left="700"/>
        <w:spacing w:after="0"/>
        <w:tabs>
          <w:tab w:leader="none" w:pos="6800" w:val="left"/>
          <w:tab w:leader="none" w:pos="8720" w:val="left"/>
          <w:tab w:leader="none" w:pos="9140" w:val="left"/>
          <w:tab w:leader="none" w:pos="10940" w:val="left"/>
        </w:tabs>
        <w:rPr>
          <w:sz w:val="20"/>
          <w:szCs w:val="20"/>
          <w:color w:val="auto"/>
        </w:rPr>
      </w:pPr>
      <w:r>
        <w:rPr>
          <w:rFonts w:ascii="Arial" w:cs="Arial" w:eastAsia="Arial" w:hAnsi="Arial"/>
          <w:sz w:val="17"/>
          <w:szCs w:val="17"/>
          <w:color w:val="auto"/>
        </w:rPr>
        <w:t>Foreign currency exchange contracts</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68</w:t>
        <w:tab/>
        <w:t>$</w:t>
      </w:r>
      <w:r>
        <w:rPr>
          <w:sz w:val="20"/>
          <w:szCs w:val="20"/>
          <w:color w:val="auto"/>
        </w:rPr>
        <w:tab/>
      </w:r>
      <w:r>
        <w:rPr>
          <w:rFonts w:ascii="Arial" w:cs="Arial" w:eastAsia="Arial" w:hAnsi="Arial"/>
          <w:sz w:val="15"/>
          <w:szCs w:val="15"/>
          <w:color w:val="auto"/>
        </w:rPr>
        <w:t>345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27940</wp:posOffset>
            </wp:positionV>
            <wp:extent cx="6998335" cy="1606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8335" cy="160655"/>
                    </a:xfrm>
                    <a:prstGeom prst="rect">
                      <a:avLst/>
                    </a:prstGeom>
                    <a:noFill/>
                  </pic:spPr>
                </pic:pic>
              </a:graphicData>
            </a:graphic>
          </wp:anchor>
        </w:drawing>
      </w:r>
    </w:p>
    <w:p>
      <w:pPr>
        <w:spacing w:after="0" w:line="33"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Accrued expenses and other current liabilities:</w:t>
      </w:r>
    </w:p>
    <w:p>
      <w:pPr>
        <w:spacing w:after="0" w:line="61" w:lineRule="exact"/>
        <w:rPr>
          <w:sz w:val="20"/>
          <w:szCs w:val="20"/>
          <w:color w:val="auto"/>
        </w:rPr>
      </w:pPr>
    </w:p>
    <w:p>
      <w:pPr>
        <w:ind w:left="700"/>
        <w:spacing w:after="0"/>
        <w:tabs>
          <w:tab w:leader="none" w:pos="6800" w:val="left"/>
          <w:tab w:leader="none" w:pos="8720" w:val="left"/>
          <w:tab w:leader="none" w:pos="11020" w:val="left"/>
        </w:tabs>
        <w:rPr>
          <w:sz w:val="20"/>
          <w:szCs w:val="20"/>
          <w:color w:val="auto"/>
        </w:rPr>
      </w:pPr>
      <w:r>
        <w:rPr>
          <w:rFonts w:ascii="Arial" w:cs="Arial" w:eastAsia="Arial" w:hAnsi="Arial"/>
          <w:sz w:val="17"/>
          <w:szCs w:val="17"/>
          <w:color w:val="auto"/>
        </w:rPr>
        <w:t>Foreign currency exchange contracts</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31</w:t>
      </w:r>
      <w:r>
        <w:rPr>
          <w:sz w:val="20"/>
          <w:szCs w:val="20"/>
          <w:color w:val="auto"/>
        </w:rPr>
        <w:tab/>
      </w:r>
      <w:r>
        <w:rPr>
          <w:rFonts w:ascii="Arial" w:cs="Arial" w:eastAsia="Arial" w:hAnsi="Arial"/>
          <w:sz w:val="17"/>
          <w:szCs w:val="17"/>
          <w:color w:val="auto"/>
        </w:rPr>
        <w:t>—</w:t>
      </w:r>
    </w:p>
    <w:p>
      <w:pPr>
        <w:spacing w:after="0" w:line="234" w:lineRule="exact"/>
        <w:rPr>
          <w:sz w:val="20"/>
          <w:szCs w:val="20"/>
          <w:color w:val="auto"/>
        </w:rPr>
      </w:pPr>
    </w:p>
    <w:p>
      <w:pPr>
        <w:ind w:left="400"/>
        <w:spacing w:after="0"/>
        <w:rPr>
          <w:sz w:val="20"/>
          <w:szCs w:val="20"/>
          <w:color w:val="auto"/>
        </w:rPr>
      </w:pPr>
      <w:r>
        <w:rPr>
          <w:rFonts w:ascii="Arial" w:cs="Arial" w:eastAsia="Arial" w:hAnsi="Arial"/>
          <w:sz w:val="15"/>
          <w:szCs w:val="15"/>
          <w:color w:val="auto"/>
        </w:rPr>
        <w:t>The following tables set forth the effect of foreign currency exchange contracts on the unaudited consolidated statements of income for the three months ended</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color w:val="auto"/>
        </w:rPr>
        <w:t>September 30, 2016 and 2015:</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gridSpan w:val="6"/>
          </w:tcPr>
          <w:p>
            <w:pPr>
              <w:jc w:val="center"/>
              <w:ind w:left="316"/>
              <w:spacing w:after="0"/>
              <w:rPr>
                <w:sz w:val="20"/>
                <w:szCs w:val="20"/>
                <w:color w:val="auto"/>
              </w:rPr>
            </w:pPr>
            <w:r>
              <w:rPr>
                <w:rFonts w:ascii="Arial" w:cs="Arial" w:eastAsia="Arial" w:hAnsi="Arial"/>
                <w:sz w:val="17"/>
                <w:szCs w:val="17"/>
                <w:b w:val="1"/>
                <w:bCs w:val="1"/>
                <w:color w:val="auto"/>
                <w:w w:val="91"/>
              </w:rPr>
              <w:t>Amount of</w:t>
            </w:r>
          </w:p>
        </w:tc>
        <w:tc>
          <w:tcPr>
            <w:tcW w:w="380" w:type="dxa"/>
            <w:vAlign w:val="bottom"/>
          </w:tcPr>
          <w:p>
            <w:pPr>
              <w:spacing w:after="0"/>
              <w:rPr>
                <w:sz w:val="17"/>
                <w:szCs w:val="17"/>
                <w:color w:val="auto"/>
              </w:rPr>
            </w:pPr>
          </w:p>
        </w:tc>
      </w:tr>
      <w:tr>
        <w:trPr>
          <w:trHeight w:val="202"/>
        </w:trPr>
        <w:tc>
          <w:tcPr>
            <w:tcW w:w="1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gridSpan w:val="6"/>
          </w:tcPr>
          <w:p>
            <w:pPr>
              <w:jc w:val="center"/>
              <w:ind w:left="336"/>
              <w:spacing w:after="0"/>
              <w:rPr>
                <w:sz w:val="20"/>
                <w:szCs w:val="20"/>
                <w:color w:val="auto"/>
              </w:rPr>
            </w:pPr>
            <w:r>
              <w:rPr>
                <w:rFonts w:ascii="Arial" w:cs="Arial" w:eastAsia="Arial" w:hAnsi="Arial"/>
                <w:sz w:val="17"/>
                <w:szCs w:val="17"/>
                <w:b w:val="1"/>
                <w:bCs w:val="1"/>
                <w:color w:val="auto"/>
                <w:w w:val="89"/>
              </w:rPr>
              <w:t>Gain/(Loss)</w:t>
            </w:r>
          </w:p>
        </w:tc>
        <w:tc>
          <w:tcPr>
            <w:tcW w:w="380" w:type="dxa"/>
            <w:vAlign w:val="bottom"/>
          </w:tcPr>
          <w:p>
            <w:pPr>
              <w:spacing w:after="0"/>
              <w:rPr>
                <w:sz w:val="17"/>
                <w:szCs w:val="17"/>
                <w:color w:val="auto"/>
              </w:rPr>
            </w:pPr>
          </w:p>
        </w:tc>
      </w:tr>
      <w:tr>
        <w:trPr>
          <w:trHeight w:val="202"/>
        </w:trPr>
        <w:tc>
          <w:tcPr>
            <w:tcW w:w="1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gridSpan w:val="3"/>
          </w:tcPr>
          <w:p>
            <w:pPr>
              <w:jc w:val="center"/>
              <w:spacing w:after="0"/>
              <w:rPr>
                <w:sz w:val="20"/>
                <w:szCs w:val="20"/>
                <w:color w:val="auto"/>
              </w:rPr>
            </w:pPr>
            <w:r>
              <w:rPr>
                <w:rFonts w:ascii="Arial" w:cs="Arial" w:eastAsia="Arial" w:hAnsi="Arial"/>
                <w:sz w:val="17"/>
                <w:szCs w:val="17"/>
                <w:b w:val="1"/>
                <w:bCs w:val="1"/>
                <w:color w:val="auto"/>
                <w:w w:val="89"/>
              </w:rPr>
              <w:t>Location of</w:t>
            </w:r>
          </w:p>
        </w:tc>
        <w:tc>
          <w:tcPr>
            <w:tcW w:w="120" w:type="dxa"/>
            <w:vAlign w:val="bottom"/>
          </w:tcPr>
          <w:p>
            <w:pPr>
              <w:spacing w:after="0"/>
              <w:rPr>
                <w:sz w:val="17"/>
                <w:szCs w:val="17"/>
                <w:color w:val="auto"/>
              </w:rPr>
            </w:pPr>
          </w:p>
        </w:tc>
        <w:tc>
          <w:tcPr>
            <w:tcW w:w="1540" w:type="dxa"/>
            <w:vAlign w:val="bottom"/>
            <w:gridSpan w:val="6"/>
          </w:tcPr>
          <w:p>
            <w:pPr>
              <w:jc w:val="center"/>
              <w:ind w:left="316"/>
              <w:spacing w:after="0"/>
              <w:rPr>
                <w:sz w:val="20"/>
                <w:szCs w:val="20"/>
                <w:color w:val="auto"/>
              </w:rPr>
            </w:pPr>
            <w:r>
              <w:rPr>
                <w:rFonts w:ascii="Arial" w:cs="Arial" w:eastAsia="Arial" w:hAnsi="Arial"/>
                <w:sz w:val="17"/>
                <w:szCs w:val="17"/>
                <w:b w:val="1"/>
                <w:bCs w:val="1"/>
                <w:color w:val="auto"/>
                <w:w w:val="88"/>
              </w:rPr>
              <w:t>Recognized in</w:t>
            </w:r>
          </w:p>
        </w:tc>
        <w:tc>
          <w:tcPr>
            <w:tcW w:w="380" w:type="dxa"/>
            <w:vAlign w:val="bottom"/>
          </w:tcPr>
          <w:p>
            <w:pPr>
              <w:spacing w:after="0"/>
              <w:rPr>
                <w:sz w:val="17"/>
                <w:szCs w:val="17"/>
                <w:color w:val="auto"/>
              </w:rPr>
            </w:pPr>
          </w:p>
        </w:tc>
      </w:tr>
      <w:tr>
        <w:trPr>
          <w:trHeight w:val="202"/>
        </w:trPr>
        <w:tc>
          <w:tcPr>
            <w:tcW w:w="1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gridSpan w:val="3"/>
          </w:tcPr>
          <w:p>
            <w:pPr>
              <w:jc w:val="center"/>
              <w:ind w:right="20"/>
              <w:spacing w:after="0"/>
              <w:rPr>
                <w:sz w:val="20"/>
                <w:szCs w:val="20"/>
                <w:color w:val="auto"/>
              </w:rPr>
            </w:pPr>
            <w:r>
              <w:rPr>
                <w:rFonts w:ascii="Arial" w:cs="Arial" w:eastAsia="Arial" w:hAnsi="Arial"/>
                <w:sz w:val="17"/>
                <w:szCs w:val="17"/>
                <w:b w:val="1"/>
                <w:bCs w:val="1"/>
                <w:color w:val="auto"/>
                <w:w w:val="89"/>
              </w:rPr>
              <w:t>Gain/(Loss)</w:t>
            </w:r>
          </w:p>
        </w:tc>
        <w:tc>
          <w:tcPr>
            <w:tcW w:w="120" w:type="dxa"/>
            <w:vAlign w:val="bottom"/>
          </w:tcPr>
          <w:p>
            <w:pPr>
              <w:spacing w:after="0"/>
              <w:rPr>
                <w:sz w:val="17"/>
                <w:szCs w:val="17"/>
                <w:color w:val="auto"/>
              </w:rPr>
            </w:pPr>
          </w:p>
        </w:tc>
        <w:tc>
          <w:tcPr>
            <w:tcW w:w="1540" w:type="dxa"/>
            <w:vAlign w:val="bottom"/>
            <w:gridSpan w:val="6"/>
          </w:tcPr>
          <w:p>
            <w:pPr>
              <w:jc w:val="center"/>
              <w:ind w:left="316"/>
              <w:spacing w:after="0"/>
              <w:rPr>
                <w:sz w:val="20"/>
                <w:szCs w:val="20"/>
                <w:color w:val="auto"/>
              </w:rPr>
            </w:pPr>
            <w:r>
              <w:rPr>
                <w:rFonts w:ascii="Arial" w:cs="Arial" w:eastAsia="Arial" w:hAnsi="Arial"/>
                <w:sz w:val="17"/>
                <w:szCs w:val="17"/>
                <w:b w:val="1"/>
                <w:bCs w:val="1"/>
                <w:color w:val="auto"/>
                <w:w w:val="86"/>
              </w:rPr>
              <w:t>Income on</w:t>
            </w:r>
          </w:p>
        </w:tc>
        <w:tc>
          <w:tcPr>
            <w:tcW w:w="380" w:type="dxa"/>
            <w:vAlign w:val="bottom"/>
          </w:tcPr>
          <w:p>
            <w:pPr>
              <w:spacing w:after="0"/>
              <w:rPr>
                <w:sz w:val="17"/>
                <w:szCs w:val="17"/>
                <w:color w:val="auto"/>
              </w:rPr>
            </w:pPr>
          </w:p>
        </w:tc>
      </w:tr>
      <w:tr>
        <w:trPr>
          <w:trHeight w:val="202"/>
        </w:trPr>
        <w:tc>
          <w:tcPr>
            <w:tcW w:w="1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gridSpan w:val="3"/>
          </w:tcPr>
          <w:p>
            <w:pPr>
              <w:jc w:val="center"/>
              <w:ind w:right="20"/>
              <w:spacing w:after="0"/>
              <w:rPr>
                <w:sz w:val="20"/>
                <w:szCs w:val="20"/>
                <w:color w:val="auto"/>
              </w:rPr>
            </w:pPr>
            <w:r>
              <w:rPr>
                <w:rFonts w:ascii="Arial" w:cs="Arial" w:eastAsia="Arial" w:hAnsi="Arial"/>
                <w:sz w:val="17"/>
                <w:szCs w:val="17"/>
                <w:b w:val="1"/>
                <w:bCs w:val="1"/>
                <w:color w:val="auto"/>
                <w:w w:val="86"/>
              </w:rPr>
              <w:t>Recognized in</w:t>
            </w:r>
          </w:p>
        </w:tc>
        <w:tc>
          <w:tcPr>
            <w:tcW w:w="120" w:type="dxa"/>
            <w:vAlign w:val="bottom"/>
          </w:tcPr>
          <w:p>
            <w:pPr>
              <w:spacing w:after="0"/>
              <w:rPr>
                <w:sz w:val="17"/>
                <w:szCs w:val="17"/>
                <w:color w:val="auto"/>
              </w:rPr>
            </w:pPr>
          </w:p>
        </w:tc>
        <w:tc>
          <w:tcPr>
            <w:tcW w:w="1540" w:type="dxa"/>
            <w:vAlign w:val="bottom"/>
            <w:gridSpan w:val="6"/>
          </w:tcPr>
          <w:p>
            <w:pPr>
              <w:jc w:val="center"/>
              <w:ind w:left="316"/>
              <w:spacing w:after="0"/>
              <w:rPr>
                <w:sz w:val="20"/>
                <w:szCs w:val="20"/>
                <w:color w:val="auto"/>
              </w:rPr>
            </w:pPr>
            <w:r>
              <w:rPr>
                <w:rFonts w:ascii="Arial" w:cs="Arial" w:eastAsia="Arial" w:hAnsi="Arial"/>
                <w:sz w:val="17"/>
                <w:szCs w:val="17"/>
                <w:b w:val="1"/>
                <w:bCs w:val="1"/>
                <w:color w:val="auto"/>
                <w:w w:val="91"/>
              </w:rPr>
              <w:t>Derivative</w:t>
            </w:r>
          </w:p>
        </w:tc>
        <w:tc>
          <w:tcPr>
            <w:tcW w:w="380" w:type="dxa"/>
            <w:vAlign w:val="bottom"/>
          </w:tcPr>
          <w:p>
            <w:pPr>
              <w:spacing w:after="0"/>
              <w:rPr>
                <w:sz w:val="17"/>
                <w:szCs w:val="17"/>
                <w:color w:val="auto"/>
              </w:rPr>
            </w:pPr>
          </w:p>
        </w:tc>
      </w:tr>
      <w:tr>
        <w:trPr>
          <w:trHeight w:val="202"/>
        </w:trPr>
        <w:tc>
          <w:tcPr>
            <w:tcW w:w="1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gridSpan w:val="3"/>
          </w:tcPr>
          <w:p>
            <w:pPr>
              <w:jc w:val="center"/>
              <w:ind w:right="20"/>
              <w:spacing w:after="0"/>
              <w:rPr>
                <w:sz w:val="20"/>
                <w:szCs w:val="20"/>
                <w:color w:val="auto"/>
              </w:rPr>
            </w:pPr>
            <w:r>
              <w:rPr>
                <w:rFonts w:ascii="Arial" w:cs="Arial" w:eastAsia="Arial" w:hAnsi="Arial"/>
                <w:sz w:val="17"/>
                <w:szCs w:val="17"/>
                <w:b w:val="1"/>
                <w:bCs w:val="1"/>
                <w:color w:val="auto"/>
                <w:w w:val="89"/>
              </w:rPr>
              <w:t>Income on</w:t>
            </w:r>
          </w:p>
        </w:tc>
        <w:tc>
          <w:tcPr>
            <w:tcW w:w="120" w:type="dxa"/>
            <w:vAlign w:val="bottom"/>
          </w:tcPr>
          <w:p>
            <w:pPr>
              <w:spacing w:after="0"/>
              <w:rPr>
                <w:sz w:val="17"/>
                <w:szCs w:val="17"/>
                <w:color w:val="auto"/>
              </w:rPr>
            </w:pPr>
          </w:p>
        </w:tc>
        <w:tc>
          <w:tcPr>
            <w:tcW w:w="1540" w:type="dxa"/>
            <w:vAlign w:val="bottom"/>
            <w:gridSpan w:val="6"/>
          </w:tcPr>
          <w:p>
            <w:pPr>
              <w:jc w:val="center"/>
              <w:ind w:left="316"/>
              <w:spacing w:after="0"/>
              <w:rPr>
                <w:sz w:val="20"/>
                <w:szCs w:val="20"/>
                <w:color w:val="auto"/>
              </w:rPr>
            </w:pPr>
            <w:r>
              <w:rPr>
                <w:rFonts w:ascii="Arial" w:cs="Arial" w:eastAsia="Arial" w:hAnsi="Arial"/>
                <w:sz w:val="17"/>
                <w:szCs w:val="17"/>
                <w:b w:val="1"/>
                <w:bCs w:val="1"/>
                <w:color w:val="auto"/>
                <w:w w:val="91"/>
              </w:rPr>
              <w:t>(Ineffective</w:t>
            </w:r>
          </w:p>
        </w:tc>
        <w:tc>
          <w:tcPr>
            <w:tcW w:w="380" w:type="dxa"/>
            <w:vAlign w:val="bottom"/>
          </w:tcPr>
          <w:p>
            <w:pPr>
              <w:spacing w:after="0"/>
              <w:rPr>
                <w:sz w:val="17"/>
                <w:szCs w:val="17"/>
                <w:color w:val="auto"/>
              </w:rPr>
            </w:pPr>
          </w:p>
        </w:tc>
      </w:tr>
      <w:tr>
        <w:trPr>
          <w:trHeight w:val="202"/>
        </w:trPr>
        <w:tc>
          <w:tcPr>
            <w:tcW w:w="1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gridSpan w:val="3"/>
          </w:tcPr>
          <w:p>
            <w:pPr>
              <w:jc w:val="center"/>
              <w:ind w:left="256"/>
              <w:spacing w:after="0"/>
              <w:rPr>
                <w:sz w:val="20"/>
                <w:szCs w:val="20"/>
                <w:color w:val="auto"/>
              </w:rPr>
            </w:pPr>
            <w:r>
              <w:rPr>
                <w:rFonts w:ascii="Arial" w:cs="Arial" w:eastAsia="Arial" w:hAnsi="Arial"/>
                <w:sz w:val="17"/>
                <w:szCs w:val="17"/>
                <w:b w:val="1"/>
                <w:bCs w:val="1"/>
                <w:color w:val="auto"/>
                <w:w w:val="89"/>
              </w:rPr>
              <w:t>Amount of</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gridSpan w:val="3"/>
          </w:tcPr>
          <w:p>
            <w:pPr>
              <w:jc w:val="center"/>
              <w:spacing w:after="0"/>
              <w:rPr>
                <w:sz w:val="20"/>
                <w:szCs w:val="20"/>
                <w:color w:val="auto"/>
              </w:rPr>
            </w:pPr>
            <w:r>
              <w:rPr>
                <w:rFonts w:ascii="Arial" w:cs="Arial" w:eastAsia="Arial" w:hAnsi="Arial"/>
                <w:sz w:val="17"/>
                <w:szCs w:val="17"/>
                <w:b w:val="1"/>
                <w:bCs w:val="1"/>
                <w:color w:val="auto"/>
                <w:w w:val="91"/>
              </w:rPr>
              <w:t>Derivative</w:t>
            </w:r>
          </w:p>
        </w:tc>
        <w:tc>
          <w:tcPr>
            <w:tcW w:w="120" w:type="dxa"/>
            <w:vAlign w:val="bottom"/>
          </w:tcPr>
          <w:p>
            <w:pPr>
              <w:spacing w:after="0"/>
              <w:rPr>
                <w:sz w:val="17"/>
                <w:szCs w:val="17"/>
                <w:color w:val="auto"/>
              </w:rPr>
            </w:pPr>
          </w:p>
        </w:tc>
        <w:tc>
          <w:tcPr>
            <w:tcW w:w="1540" w:type="dxa"/>
            <w:vAlign w:val="bottom"/>
            <w:gridSpan w:val="6"/>
          </w:tcPr>
          <w:p>
            <w:pPr>
              <w:jc w:val="center"/>
              <w:ind w:left="316"/>
              <w:spacing w:after="0"/>
              <w:rPr>
                <w:sz w:val="20"/>
                <w:szCs w:val="20"/>
                <w:color w:val="auto"/>
              </w:rPr>
            </w:pPr>
            <w:r>
              <w:rPr>
                <w:rFonts w:ascii="Arial" w:cs="Arial" w:eastAsia="Arial" w:hAnsi="Arial"/>
                <w:sz w:val="17"/>
                <w:szCs w:val="17"/>
                <w:b w:val="1"/>
                <w:bCs w:val="1"/>
                <w:color w:val="auto"/>
                <w:w w:val="90"/>
              </w:rPr>
              <w:t>Portion and</w:t>
            </w:r>
          </w:p>
        </w:tc>
        <w:tc>
          <w:tcPr>
            <w:tcW w:w="380" w:type="dxa"/>
            <w:vAlign w:val="bottom"/>
          </w:tcPr>
          <w:p>
            <w:pPr>
              <w:spacing w:after="0"/>
              <w:rPr>
                <w:sz w:val="17"/>
                <w:szCs w:val="17"/>
                <w:color w:val="auto"/>
              </w:rPr>
            </w:pPr>
          </w:p>
        </w:tc>
      </w:tr>
      <w:tr>
        <w:trPr>
          <w:trHeight w:val="202"/>
        </w:trPr>
        <w:tc>
          <w:tcPr>
            <w:tcW w:w="1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80" w:type="dxa"/>
            <w:vAlign w:val="bottom"/>
            <w:gridSpan w:val="4"/>
          </w:tcPr>
          <w:p>
            <w:pPr>
              <w:jc w:val="center"/>
              <w:ind w:right="216"/>
              <w:spacing w:after="0"/>
              <w:rPr>
                <w:sz w:val="20"/>
                <w:szCs w:val="20"/>
                <w:color w:val="auto"/>
              </w:rPr>
            </w:pPr>
            <w:r>
              <w:rPr>
                <w:rFonts w:ascii="Arial" w:cs="Arial" w:eastAsia="Arial" w:hAnsi="Arial"/>
                <w:sz w:val="17"/>
                <w:szCs w:val="17"/>
                <w:b w:val="1"/>
                <w:bCs w:val="1"/>
                <w:color w:val="auto"/>
                <w:w w:val="89"/>
              </w:rPr>
              <w:t>Gain/(Loss)</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460"/>
              <w:spacing w:after="0"/>
              <w:rPr>
                <w:sz w:val="20"/>
                <w:szCs w:val="20"/>
                <w:color w:val="auto"/>
              </w:rPr>
            </w:pPr>
            <w:r>
              <w:rPr>
                <w:rFonts w:ascii="Arial" w:cs="Arial" w:eastAsia="Arial" w:hAnsi="Arial"/>
                <w:sz w:val="17"/>
                <w:szCs w:val="17"/>
                <w:b w:val="1"/>
                <w:bCs w:val="1"/>
                <w:color w:val="auto"/>
                <w:w w:val="89"/>
              </w:rPr>
              <w:t>Location of</w:t>
            </w:r>
          </w:p>
        </w:tc>
        <w:tc>
          <w:tcPr>
            <w:tcW w:w="120" w:type="dxa"/>
            <w:vAlign w:val="bottom"/>
          </w:tcPr>
          <w:p>
            <w:pPr>
              <w:spacing w:after="0"/>
              <w:rPr>
                <w:sz w:val="17"/>
                <w:szCs w:val="17"/>
                <w:color w:val="auto"/>
              </w:rPr>
            </w:pPr>
          </w:p>
        </w:tc>
        <w:tc>
          <w:tcPr>
            <w:tcW w:w="1820" w:type="dxa"/>
            <w:vAlign w:val="bottom"/>
            <w:gridSpan w:val="4"/>
          </w:tcPr>
          <w:p>
            <w:pPr>
              <w:jc w:val="center"/>
              <w:spacing w:after="0"/>
              <w:rPr>
                <w:sz w:val="20"/>
                <w:szCs w:val="20"/>
                <w:color w:val="auto"/>
              </w:rPr>
            </w:pPr>
            <w:r>
              <w:rPr>
                <w:rFonts w:ascii="Arial" w:cs="Arial" w:eastAsia="Arial" w:hAnsi="Arial"/>
                <w:sz w:val="17"/>
                <w:szCs w:val="17"/>
                <w:b w:val="1"/>
                <w:bCs w:val="1"/>
                <w:color w:val="auto"/>
                <w:w w:val="91"/>
              </w:rPr>
              <w:t>Amount of</w:t>
            </w:r>
          </w:p>
        </w:tc>
        <w:tc>
          <w:tcPr>
            <w:tcW w:w="120" w:type="dxa"/>
            <w:vAlign w:val="bottom"/>
          </w:tcPr>
          <w:p>
            <w:pPr>
              <w:spacing w:after="0"/>
              <w:rPr>
                <w:sz w:val="17"/>
                <w:szCs w:val="17"/>
                <w:color w:val="auto"/>
              </w:rPr>
            </w:pPr>
          </w:p>
        </w:tc>
        <w:tc>
          <w:tcPr>
            <w:tcW w:w="1700" w:type="dxa"/>
            <w:vAlign w:val="bottom"/>
            <w:gridSpan w:val="3"/>
          </w:tcPr>
          <w:p>
            <w:pPr>
              <w:jc w:val="center"/>
              <w:ind w:right="20"/>
              <w:spacing w:after="0"/>
              <w:rPr>
                <w:sz w:val="20"/>
                <w:szCs w:val="20"/>
                <w:color w:val="auto"/>
              </w:rPr>
            </w:pPr>
            <w:r>
              <w:rPr>
                <w:rFonts w:ascii="Arial" w:cs="Arial" w:eastAsia="Arial" w:hAnsi="Arial"/>
                <w:sz w:val="17"/>
                <w:szCs w:val="17"/>
                <w:b w:val="1"/>
                <w:bCs w:val="1"/>
                <w:color w:val="auto"/>
                <w:w w:val="90"/>
              </w:rPr>
              <w:t>(Ineffective Portion</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gridSpan w:val="4"/>
          </w:tcPr>
          <w:p>
            <w:pPr>
              <w:jc w:val="center"/>
              <w:ind w:right="280"/>
              <w:spacing w:after="0"/>
              <w:rPr>
                <w:sz w:val="20"/>
                <w:szCs w:val="20"/>
                <w:color w:val="auto"/>
              </w:rPr>
            </w:pPr>
            <w:r>
              <w:rPr>
                <w:rFonts w:ascii="Arial" w:cs="Arial" w:eastAsia="Arial" w:hAnsi="Arial"/>
                <w:sz w:val="17"/>
                <w:szCs w:val="17"/>
                <w:b w:val="1"/>
                <w:bCs w:val="1"/>
                <w:color w:val="auto"/>
                <w:w w:val="90"/>
              </w:rPr>
              <w:t>Amount</w:t>
            </w:r>
          </w:p>
        </w:tc>
        <w:tc>
          <w:tcPr>
            <w:tcW w:w="380" w:type="dxa"/>
            <w:vAlign w:val="bottom"/>
          </w:tcPr>
          <w:p>
            <w:pPr>
              <w:spacing w:after="0"/>
              <w:rPr>
                <w:sz w:val="17"/>
                <w:szCs w:val="17"/>
                <w:color w:val="auto"/>
              </w:rPr>
            </w:pPr>
          </w:p>
        </w:tc>
      </w:tr>
      <w:tr>
        <w:trPr>
          <w:trHeight w:val="202"/>
        </w:trPr>
        <w:tc>
          <w:tcPr>
            <w:tcW w:w="1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80" w:type="dxa"/>
            <w:vAlign w:val="bottom"/>
            <w:gridSpan w:val="4"/>
          </w:tcPr>
          <w:p>
            <w:pPr>
              <w:jc w:val="center"/>
              <w:ind w:right="216"/>
              <w:spacing w:after="0"/>
              <w:rPr>
                <w:sz w:val="20"/>
                <w:szCs w:val="20"/>
                <w:color w:val="auto"/>
              </w:rPr>
            </w:pPr>
            <w:r>
              <w:rPr>
                <w:rFonts w:ascii="Arial" w:cs="Arial" w:eastAsia="Arial" w:hAnsi="Arial"/>
                <w:sz w:val="17"/>
                <w:szCs w:val="17"/>
                <w:b w:val="1"/>
                <w:bCs w:val="1"/>
                <w:color w:val="auto"/>
                <w:w w:val="87"/>
              </w:rPr>
              <w:t>Recognized</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7"/>
                <w:szCs w:val="17"/>
                <w:b w:val="1"/>
                <w:bCs w:val="1"/>
                <w:color w:val="auto"/>
                <w:w w:val="89"/>
              </w:rPr>
              <w:t>Gain/(Loss)</w:t>
            </w:r>
          </w:p>
        </w:tc>
        <w:tc>
          <w:tcPr>
            <w:tcW w:w="120" w:type="dxa"/>
            <w:vAlign w:val="bottom"/>
          </w:tcPr>
          <w:p>
            <w:pPr>
              <w:spacing w:after="0"/>
              <w:rPr>
                <w:sz w:val="17"/>
                <w:szCs w:val="17"/>
                <w:color w:val="auto"/>
              </w:rPr>
            </w:pPr>
          </w:p>
        </w:tc>
        <w:tc>
          <w:tcPr>
            <w:tcW w:w="1820" w:type="dxa"/>
            <w:vAlign w:val="bottom"/>
            <w:gridSpan w:val="4"/>
          </w:tcPr>
          <w:p>
            <w:pPr>
              <w:jc w:val="center"/>
              <w:spacing w:after="0"/>
              <w:rPr>
                <w:sz w:val="20"/>
                <w:szCs w:val="20"/>
                <w:color w:val="auto"/>
              </w:rPr>
            </w:pPr>
            <w:r>
              <w:rPr>
                <w:rFonts w:ascii="Arial" w:cs="Arial" w:eastAsia="Arial" w:hAnsi="Arial"/>
                <w:sz w:val="17"/>
                <w:szCs w:val="17"/>
                <w:b w:val="1"/>
                <w:bCs w:val="1"/>
                <w:color w:val="auto"/>
                <w:w w:val="88"/>
              </w:rPr>
              <w:t>Gain/(Loss) Reclassified</w:t>
            </w:r>
          </w:p>
        </w:tc>
        <w:tc>
          <w:tcPr>
            <w:tcW w:w="120" w:type="dxa"/>
            <w:vAlign w:val="bottom"/>
          </w:tcPr>
          <w:p>
            <w:pPr>
              <w:spacing w:after="0"/>
              <w:rPr>
                <w:sz w:val="17"/>
                <w:szCs w:val="17"/>
                <w:color w:val="auto"/>
              </w:rPr>
            </w:pPr>
          </w:p>
        </w:tc>
        <w:tc>
          <w:tcPr>
            <w:tcW w:w="1700" w:type="dxa"/>
            <w:vAlign w:val="bottom"/>
            <w:gridSpan w:val="3"/>
          </w:tcPr>
          <w:p>
            <w:pPr>
              <w:jc w:val="center"/>
              <w:spacing w:after="0"/>
              <w:rPr>
                <w:sz w:val="20"/>
                <w:szCs w:val="20"/>
                <w:color w:val="auto"/>
              </w:rPr>
            </w:pPr>
            <w:r>
              <w:rPr>
                <w:rFonts w:ascii="Arial" w:cs="Arial" w:eastAsia="Arial" w:hAnsi="Arial"/>
                <w:sz w:val="17"/>
                <w:szCs w:val="17"/>
                <w:b w:val="1"/>
                <w:bCs w:val="1"/>
                <w:color w:val="auto"/>
                <w:w w:val="90"/>
              </w:rPr>
              <w:t>and Amount</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20" w:type="dxa"/>
            <w:vAlign w:val="bottom"/>
            <w:gridSpan w:val="5"/>
          </w:tcPr>
          <w:p>
            <w:pPr>
              <w:jc w:val="center"/>
              <w:ind w:right="220"/>
              <w:spacing w:after="0"/>
              <w:rPr>
                <w:sz w:val="20"/>
                <w:szCs w:val="20"/>
                <w:color w:val="auto"/>
              </w:rPr>
            </w:pPr>
            <w:r>
              <w:rPr>
                <w:rFonts w:ascii="Arial" w:cs="Arial" w:eastAsia="Arial" w:hAnsi="Arial"/>
                <w:sz w:val="17"/>
                <w:szCs w:val="17"/>
                <w:b w:val="1"/>
                <w:bCs w:val="1"/>
                <w:color w:val="auto"/>
                <w:w w:val="87"/>
              </w:rPr>
              <w:t>Excluded</w:t>
            </w:r>
          </w:p>
        </w:tc>
        <w:tc>
          <w:tcPr>
            <w:tcW w:w="380" w:type="dxa"/>
            <w:vAlign w:val="bottom"/>
          </w:tcPr>
          <w:p>
            <w:pPr>
              <w:spacing w:after="0"/>
              <w:rPr>
                <w:sz w:val="17"/>
                <w:szCs w:val="17"/>
                <w:color w:val="auto"/>
              </w:rPr>
            </w:pPr>
          </w:p>
        </w:tc>
      </w:tr>
      <w:tr>
        <w:trPr>
          <w:trHeight w:val="202"/>
        </w:trPr>
        <w:tc>
          <w:tcPr>
            <w:tcW w:w="1600" w:type="dxa"/>
            <w:vAlign w:val="bottom"/>
          </w:tcPr>
          <w:p>
            <w:pPr>
              <w:ind w:left="20"/>
              <w:spacing w:after="0"/>
              <w:rPr>
                <w:sz w:val="20"/>
                <w:szCs w:val="20"/>
                <w:color w:val="auto"/>
              </w:rPr>
            </w:pPr>
            <w:r>
              <w:rPr>
                <w:rFonts w:ascii="Arial" w:cs="Arial" w:eastAsia="Arial" w:hAnsi="Arial"/>
                <w:sz w:val="17"/>
                <w:szCs w:val="17"/>
                <w:b w:val="1"/>
                <w:bCs w:val="1"/>
                <w:color w:val="auto"/>
                <w:w w:val="99"/>
              </w:rPr>
              <w:t>Derivatives in Cash</w:t>
            </w:r>
          </w:p>
        </w:tc>
        <w:tc>
          <w:tcPr>
            <w:tcW w:w="320" w:type="dxa"/>
            <w:vAlign w:val="bottom"/>
          </w:tcPr>
          <w:p>
            <w:pPr>
              <w:spacing w:after="0"/>
              <w:rPr>
                <w:sz w:val="17"/>
                <w:szCs w:val="17"/>
                <w:color w:val="auto"/>
              </w:rPr>
            </w:pPr>
          </w:p>
        </w:tc>
        <w:tc>
          <w:tcPr>
            <w:tcW w:w="1780" w:type="dxa"/>
            <w:vAlign w:val="bottom"/>
            <w:gridSpan w:val="4"/>
          </w:tcPr>
          <w:p>
            <w:pPr>
              <w:jc w:val="center"/>
              <w:ind w:right="216"/>
              <w:spacing w:after="0"/>
              <w:rPr>
                <w:sz w:val="20"/>
                <w:szCs w:val="20"/>
                <w:color w:val="auto"/>
              </w:rPr>
            </w:pPr>
            <w:r>
              <w:rPr>
                <w:rFonts w:ascii="Arial" w:cs="Arial" w:eastAsia="Arial" w:hAnsi="Arial"/>
                <w:sz w:val="17"/>
                <w:szCs w:val="17"/>
                <w:b w:val="1"/>
                <w:bCs w:val="1"/>
                <w:color w:val="auto"/>
                <w:w w:val="95"/>
              </w:rPr>
              <w:t>in AOCI on</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gridSpan w:val="3"/>
          </w:tcPr>
          <w:p>
            <w:pPr>
              <w:jc w:val="center"/>
              <w:ind w:right="300"/>
              <w:spacing w:after="0"/>
              <w:rPr>
                <w:sz w:val="20"/>
                <w:szCs w:val="20"/>
                <w:color w:val="auto"/>
              </w:rPr>
            </w:pPr>
            <w:r>
              <w:rPr>
                <w:rFonts w:ascii="Arial" w:cs="Arial" w:eastAsia="Arial" w:hAnsi="Arial"/>
                <w:sz w:val="17"/>
                <w:szCs w:val="17"/>
                <w:b w:val="1"/>
                <w:bCs w:val="1"/>
                <w:color w:val="auto"/>
                <w:w w:val="87"/>
              </w:rPr>
              <w:t>Reclassified from</w:t>
            </w:r>
          </w:p>
        </w:tc>
        <w:tc>
          <w:tcPr>
            <w:tcW w:w="120" w:type="dxa"/>
            <w:vAlign w:val="bottom"/>
          </w:tcPr>
          <w:p>
            <w:pPr>
              <w:spacing w:after="0"/>
              <w:rPr>
                <w:sz w:val="17"/>
                <w:szCs w:val="17"/>
                <w:color w:val="auto"/>
              </w:rPr>
            </w:pPr>
          </w:p>
        </w:tc>
        <w:tc>
          <w:tcPr>
            <w:tcW w:w="1820" w:type="dxa"/>
            <w:vAlign w:val="bottom"/>
            <w:gridSpan w:val="4"/>
          </w:tcPr>
          <w:p>
            <w:pPr>
              <w:jc w:val="center"/>
              <w:spacing w:after="0"/>
              <w:rPr>
                <w:sz w:val="20"/>
                <w:szCs w:val="20"/>
                <w:color w:val="auto"/>
              </w:rPr>
            </w:pPr>
            <w:r>
              <w:rPr>
                <w:rFonts w:ascii="Arial" w:cs="Arial" w:eastAsia="Arial" w:hAnsi="Arial"/>
                <w:sz w:val="17"/>
                <w:szCs w:val="17"/>
                <w:b w:val="1"/>
                <w:bCs w:val="1"/>
                <w:color w:val="auto"/>
                <w:w w:val="94"/>
              </w:rPr>
              <w:t>from AOCI into</w:t>
            </w:r>
          </w:p>
        </w:tc>
        <w:tc>
          <w:tcPr>
            <w:tcW w:w="120" w:type="dxa"/>
            <w:vAlign w:val="bottom"/>
          </w:tcPr>
          <w:p>
            <w:pPr>
              <w:spacing w:after="0"/>
              <w:rPr>
                <w:sz w:val="17"/>
                <w:szCs w:val="17"/>
                <w:color w:val="auto"/>
              </w:rPr>
            </w:pPr>
          </w:p>
        </w:tc>
        <w:tc>
          <w:tcPr>
            <w:tcW w:w="1700" w:type="dxa"/>
            <w:vAlign w:val="bottom"/>
            <w:gridSpan w:val="3"/>
          </w:tcPr>
          <w:p>
            <w:pPr>
              <w:jc w:val="center"/>
              <w:spacing w:after="0"/>
              <w:rPr>
                <w:sz w:val="20"/>
                <w:szCs w:val="20"/>
                <w:color w:val="auto"/>
              </w:rPr>
            </w:pPr>
            <w:r>
              <w:rPr>
                <w:rFonts w:ascii="Arial" w:cs="Arial" w:eastAsia="Arial" w:hAnsi="Arial"/>
                <w:sz w:val="17"/>
                <w:szCs w:val="17"/>
                <w:b w:val="1"/>
                <w:bCs w:val="1"/>
                <w:color w:val="auto"/>
                <w:w w:val="89"/>
              </w:rPr>
              <w:t>Excluded from</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3"/>
          </w:tcPr>
          <w:p>
            <w:pPr>
              <w:jc w:val="center"/>
              <w:ind w:right="380"/>
              <w:spacing w:after="0"/>
              <w:rPr>
                <w:sz w:val="20"/>
                <w:szCs w:val="20"/>
                <w:color w:val="auto"/>
              </w:rPr>
            </w:pPr>
            <w:r>
              <w:rPr>
                <w:rFonts w:ascii="Arial" w:cs="Arial" w:eastAsia="Arial" w:hAnsi="Arial"/>
                <w:sz w:val="17"/>
                <w:szCs w:val="17"/>
                <w:b w:val="1"/>
                <w:bCs w:val="1"/>
                <w:color w:val="auto"/>
                <w:w w:val="89"/>
              </w:rPr>
              <w:t>from</w:t>
            </w:r>
          </w:p>
        </w:tc>
        <w:tc>
          <w:tcPr>
            <w:tcW w:w="380" w:type="dxa"/>
            <w:vAlign w:val="bottom"/>
          </w:tcPr>
          <w:p>
            <w:pPr>
              <w:spacing w:after="0"/>
              <w:rPr>
                <w:sz w:val="17"/>
                <w:szCs w:val="17"/>
                <w:color w:val="auto"/>
              </w:rPr>
            </w:pPr>
          </w:p>
        </w:tc>
      </w:tr>
      <w:tr>
        <w:trPr>
          <w:trHeight w:val="202"/>
        </w:trPr>
        <w:tc>
          <w:tcPr>
            <w:tcW w:w="1600" w:type="dxa"/>
            <w:vAlign w:val="bottom"/>
          </w:tcPr>
          <w:p>
            <w:pPr>
              <w:ind w:left="20"/>
              <w:spacing w:after="0"/>
              <w:rPr>
                <w:sz w:val="20"/>
                <w:szCs w:val="20"/>
                <w:color w:val="auto"/>
              </w:rPr>
            </w:pPr>
            <w:r>
              <w:rPr>
                <w:rFonts w:ascii="Arial" w:cs="Arial" w:eastAsia="Arial" w:hAnsi="Arial"/>
                <w:sz w:val="17"/>
                <w:szCs w:val="17"/>
                <w:b w:val="1"/>
                <w:bCs w:val="1"/>
                <w:color w:val="auto"/>
              </w:rPr>
              <w:t>Flow Hedging</w:t>
            </w:r>
          </w:p>
        </w:tc>
        <w:tc>
          <w:tcPr>
            <w:tcW w:w="320" w:type="dxa"/>
            <w:vAlign w:val="bottom"/>
          </w:tcPr>
          <w:p>
            <w:pPr>
              <w:spacing w:after="0"/>
              <w:rPr>
                <w:sz w:val="17"/>
                <w:szCs w:val="17"/>
                <w:color w:val="auto"/>
              </w:rPr>
            </w:pPr>
          </w:p>
        </w:tc>
        <w:tc>
          <w:tcPr>
            <w:tcW w:w="1140" w:type="dxa"/>
            <w:vAlign w:val="bottom"/>
            <w:gridSpan w:val="3"/>
          </w:tcPr>
          <w:p>
            <w:pPr>
              <w:jc w:val="center"/>
              <w:ind w:left="256"/>
              <w:spacing w:after="0"/>
              <w:rPr>
                <w:sz w:val="20"/>
                <w:szCs w:val="20"/>
                <w:color w:val="auto"/>
              </w:rPr>
            </w:pPr>
            <w:r>
              <w:rPr>
                <w:rFonts w:ascii="Arial" w:cs="Arial" w:eastAsia="Arial" w:hAnsi="Arial"/>
                <w:sz w:val="17"/>
                <w:szCs w:val="17"/>
                <w:b w:val="1"/>
                <w:bCs w:val="1"/>
                <w:color w:val="auto"/>
                <w:w w:val="93"/>
              </w:rPr>
              <w:t>Derivative</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gridSpan w:val="4"/>
          </w:tcPr>
          <w:p>
            <w:pPr>
              <w:jc w:val="center"/>
              <w:ind w:right="120"/>
              <w:spacing w:after="0"/>
              <w:rPr>
                <w:sz w:val="20"/>
                <w:szCs w:val="20"/>
                <w:color w:val="auto"/>
              </w:rPr>
            </w:pPr>
            <w:r>
              <w:rPr>
                <w:rFonts w:ascii="Arial" w:cs="Arial" w:eastAsia="Arial" w:hAnsi="Arial"/>
                <w:sz w:val="17"/>
                <w:szCs w:val="17"/>
                <w:b w:val="1"/>
                <w:bCs w:val="1"/>
                <w:color w:val="auto"/>
                <w:w w:val="93"/>
              </w:rPr>
              <w:t>AOCI into Income</w:t>
            </w:r>
          </w:p>
        </w:tc>
        <w:tc>
          <w:tcPr>
            <w:tcW w:w="120" w:type="dxa"/>
            <w:vAlign w:val="bottom"/>
          </w:tcPr>
          <w:p>
            <w:pPr>
              <w:spacing w:after="0"/>
              <w:rPr>
                <w:sz w:val="17"/>
                <w:szCs w:val="17"/>
                <w:color w:val="auto"/>
              </w:rPr>
            </w:pPr>
          </w:p>
        </w:tc>
        <w:tc>
          <w:tcPr>
            <w:tcW w:w="1820" w:type="dxa"/>
            <w:vAlign w:val="bottom"/>
            <w:gridSpan w:val="4"/>
          </w:tcPr>
          <w:p>
            <w:pPr>
              <w:jc w:val="center"/>
              <w:spacing w:after="0"/>
              <w:rPr>
                <w:sz w:val="20"/>
                <w:szCs w:val="20"/>
                <w:color w:val="auto"/>
              </w:rPr>
            </w:pPr>
            <w:r>
              <w:rPr>
                <w:rFonts w:ascii="Arial" w:cs="Arial" w:eastAsia="Arial" w:hAnsi="Arial"/>
                <w:sz w:val="17"/>
                <w:szCs w:val="17"/>
                <w:b w:val="1"/>
                <w:bCs w:val="1"/>
                <w:color w:val="auto"/>
                <w:w w:val="89"/>
              </w:rPr>
              <w:t>Income (Effective</w:t>
            </w:r>
          </w:p>
        </w:tc>
        <w:tc>
          <w:tcPr>
            <w:tcW w:w="120" w:type="dxa"/>
            <w:vAlign w:val="bottom"/>
          </w:tcPr>
          <w:p>
            <w:pPr>
              <w:spacing w:after="0"/>
              <w:rPr>
                <w:sz w:val="17"/>
                <w:szCs w:val="17"/>
                <w:color w:val="auto"/>
              </w:rPr>
            </w:pPr>
          </w:p>
        </w:tc>
        <w:tc>
          <w:tcPr>
            <w:tcW w:w="1700" w:type="dxa"/>
            <w:vAlign w:val="bottom"/>
            <w:gridSpan w:val="3"/>
          </w:tcPr>
          <w:p>
            <w:pPr>
              <w:jc w:val="center"/>
              <w:spacing w:after="0"/>
              <w:rPr>
                <w:sz w:val="20"/>
                <w:szCs w:val="20"/>
                <w:color w:val="auto"/>
              </w:rPr>
            </w:pPr>
            <w:r>
              <w:rPr>
                <w:rFonts w:ascii="Arial" w:cs="Arial" w:eastAsia="Arial" w:hAnsi="Arial"/>
                <w:sz w:val="17"/>
                <w:szCs w:val="17"/>
                <w:b w:val="1"/>
                <w:bCs w:val="1"/>
                <w:color w:val="auto"/>
                <w:w w:val="85"/>
              </w:rPr>
              <w:t>Effectiveness</w:t>
            </w:r>
          </w:p>
        </w:tc>
        <w:tc>
          <w:tcPr>
            <w:tcW w:w="120" w:type="dxa"/>
            <w:vAlign w:val="bottom"/>
          </w:tcPr>
          <w:p>
            <w:pPr>
              <w:spacing w:after="0"/>
              <w:rPr>
                <w:sz w:val="17"/>
                <w:szCs w:val="17"/>
                <w:color w:val="auto"/>
              </w:rPr>
            </w:pPr>
          </w:p>
        </w:tc>
        <w:tc>
          <w:tcPr>
            <w:tcW w:w="1540" w:type="dxa"/>
            <w:vAlign w:val="bottom"/>
            <w:gridSpan w:val="6"/>
          </w:tcPr>
          <w:p>
            <w:pPr>
              <w:jc w:val="center"/>
              <w:ind w:left="316"/>
              <w:spacing w:after="0"/>
              <w:rPr>
                <w:sz w:val="20"/>
                <w:szCs w:val="20"/>
                <w:color w:val="auto"/>
              </w:rPr>
            </w:pPr>
            <w:r>
              <w:rPr>
                <w:rFonts w:ascii="Arial" w:cs="Arial" w:eastAsia="Arial" w:hAnsi="Arial"/>
                <w:sz w:val="17"/>
                <w:szCs w:val="17"/>
                <w:b w:val="1"/>
                <w:bCs w:val="1"/>
                <w:color w:val="auto"/>
                <w:w w:val="85"/>
              </w:rPr>
              <w:t>Effectiveness</w:t>
            </w:r>
          </w:p>
        </w:tc>
        <w:tc>
          <w:tcPr>
            <w:tcW w:w="380" w:type="dxa"/>
            <w:vAlign w:val="bottom"/>
          </w:tcPr>
          <w:p>
            <w:pPr>
              <w:spacing w:after="0"/>
              <w:rPr>
                <w:sz w:val="17"/>
                <w:szCs w:val="17"/>
                <w:color w:val="auto"/>
              </w:rPr>
            </w:pPr>
          </w:p>
        </w:tc>
      </w:tr>
      <w:tr>
        <w:trPr>
          <w:trHeight w:val="218"/>
        </w:trPr>
        <w:tc>
          <w:tcPr>
            <w:tcW w:w="1600" w:type="dxa"/>
            <w:vAlign w:val="bottom"/>
          </w:tcPr>
          <w:p>
            <w:pPr>
              <w:ind w:left="20"/>
              <w:spacing w:after="0"/>
              <w:rPr>
                <w:sz w:val="20"/>
                <w:szCs w:val="20"/>
                <w:color w:val="auto"/>
              </w:rPr>
            </w:pPr>
            <w:r>
              <w:rPr>
                <w:rFonts w:ascii="Arial" w:cs="Arial" w:eastAsia="Arial" w:hAnsi="Arial"/>
                <w:sz w:val="17"/>
                <w:szCs w:val="17"/>
                <w:b w:val="1"/>
                <w:bCs w:val="1"/>
                <w:color w:val="auto"/>
              </w:rPr>
              <w:t>Relationships</w:t>
            </w:r>
          </w:p>
        </w:tc>
        <w:tc>
          <w:tcPr>
            <w:tcW w:w="320" w:type="dxa"/>
            <w:vAlign w:val="bottom"/>
          </w:tcPr>
          <w:p>
            <w:pPr>
              <w:spacing w:after="0"/>
              <w:rPr>
                <w:sz w:val="18"/>
                <w:szCs w:val="18"/>
                <w:color w:val="auto"/>
              </w:rPr>
            </w:pPr>
          </w:p>
        </w:tc>
        <w:tc>
          <w:tcPr>
            <w:tcW w:w="1780" w:type="dxa"/>
            <w:vAlign w:val="bottom"/>
            <w:gridSpan w:val="4"/>
          </w:tcPr>
          <w:p>
            <w:pPr>
              <w:jc w:val="center"/>
              <w:ind w:right="216"/>
              <w:spacing w:after="0"/>
              <w:rPr>
                <w:sz w:val="20"/>
                <w:szCs w:val="20"/>
                <w:color w:val="auto"/>
              </w:rPr>
            </w:pPr>
            <w:r>
              <w:rPr>
                <w:rFonts w:ascii="Arial" w:cs="Arial" w:eastAsia="Arial" w:hAnsi="Arial"/>
                <w:sz w:val="17"/>
                <w:szCs w:val="17"/>
                <w:b w:val="1"/>
                <w:bCs w:val="1"/>
                <w:color w:val="auto"/>
                <w:w w:val="90"/>
              </w:rPr>
              <w:t>(Effective Portion)</w:t>
            </w:r>
          </w:p>
        </w:tc>
        <w:tc>
          <w:tcPr>
            <w:tcW w:w="100" w:type="dxa"/>
            <w:vAlign w:val="bottom"/>
          </w:tcPr>
          <w:p>
            <w:pPr>
              <w:spacing w:after="0"/>
              <w:rPr>
                <w:sz w:val="18"/>
                <w:szCs w:val="18"/>
                <w:color w:val="auto"/>
              </w:rPr>
            </w:pPr>
          </w:p>
        </w:tc>
        <w:tc>
          <w:tcPr>
            <w:tcW w:w="1820" w:type="dxa"/>
            <w:vAlign w:val="bottom"/>
            <w:gridSpan w:val="4"/>
          </w:tcPr>
          <w:p>
            <w:pPr>
              <w:jc w:val="center"/>
              <w:ind w:right="100"/>
              <w:spacing w:after="0"/>
              <w:rPr>
                <w:sz w:val="20"/>
                <w:szCs w:val="20"/>
                <w:color w:val="auto"/>
              </w:rPr>
            </w:pPr>
            <w:r>
              <w:rPr>
                <w:rFonts w:ascii="Arial" w:cs="Arial" w:eastAsia="Arial" w:hAnsi="Arial"/>
                <w:sz w:val="17"/>
                <w:szCs w:val="17"/>
                <w:b w:val="1"/>
                <w:bCs w:val="1"/>
                <w:color w:val="auto"/>
                <w:w w:val="90"/>
              </w:rPr>
              <w:t>(Effective Portion)</w:t>
            </w:r>
          </w:p>
        </w:tc>
        <w:tc>
          <w:tcPr>
            <w:tcW w:w="120" w:type="dxa"/>
            <w:vAlign w:val="bottom"/>
          </w:tcPr>
          <w:p>
            <w:pPr>
              <w:spacing w:after="0"/>
              <w:rPr>
                <w:sz w:val="18"/>
                <w:szCs w:val="18"/>
                <w:color w:val="auto"/>
              </w:rPr>
            </w:pPr>
          </w:p>
        </w:tc>
        <w:tc>
          <w:tcPr>
            <w:tcW w:w="1180" w:type="dxa"/>
            <w:vAlign w:val="bottom"/>
            <w:gridSpan w:val="3"/>
          </w:tcPr>
          <w:p>
            <w:pPr>
              <w:jc w:val="center"/>
              <w:ind w:left="456"/>
              <w:spacing w:after="0"/>
              <w:rPr>
                <w:sz w:val="20"/>
                <w:szCs w:val="20"/>
                <w:color w:val="auto"/>
              </w:rPr>
            </w:pPr>
            <w:r>
              <w:rPr>
                <w:rFonts w:ascii="Arial" w:cs="Arial" w:eastAsia="Arial" w:hAnsi="Arial"/>
                <w:sz w:val="17"/>
                <w:szCs w:val="17"/>
                <w:b w:val="1"/>
                <w:bCs w:val="1"/>
                <w:color w:val="auto"/>
                <w:w w:val="92"/>
              </w:rPr>
              <w:t>Portion)</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3"/>
          </w:tcPr>
          <w:p>
            <w:pPr>
              <w:jc w:val="center"/>
              <w:spacing w:after="0"/>
              <w:rPr>
                <w:sz w:val="20"/>
                <w:szCs w:val="20"/>
                <w:color w:val="auto"/>
              </w:rPr>
            </w:pPr>
            <w:r>
              <w:rPr>
                <w:rFonts w:ascii="Arial" w:cs="Arial" w:eastAsia="Arial" w:hAnsi="Arial"/>
                <w:sz w:val="17"/>
                <w:szCs w:val="17"/>
                <w:b w:val="1"/>
                <w:bCs w:val="1"/>
                <w:color w:val="auto"/>
                <w:w w:val="87"/>
              </w:rPr>
              <w:t>Testing)</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4"/>
          </w:tcPr>
          <w:p>
            <w:pPr>
              <w:jc w:val="center"/>
              <w:ind w:right="280"/>
              <w:spacing w:after="0"/>
              <w:rPr>
                <w:sz w:val="20"/>
                <w:szCs w:val="20"/>
                <w:color w:val="auto"/>
              </w:rPr>
            </w:pPr>
            <w:r>
              <w:rPr>
                <w:rFonts w:ascii="Arial" w:cs="Arial" w:eastAsia="Arial" w:hAnsi="Arial"/>
                <w:sz w:val="17"/>
                <w:szCs w:val="17"/>
                <w:b w:val="1"/>
                <w:bCs w:val="1"/>
                <w:color w:val="auto"/>
                <w:w w:val="87"/>
              </w:rPr>
              <w:t>Testing)</w:t>
            </w:r>
          </w:p>
        </w:tc>
        <w:tc>
          <w:tcPr>
            <w:tcW w:w="380" w:type="dxa"/>
            <w:vAlign w:val="bottom"/>
          </w:tcPr>
          <w:p>
            <w:pPr>
              <w:spacing w:after="0"/>
              <w:rPr>
                <w:sz w:val="18"/>
                <w:szCs w:val="18"/>
                <w:color w:val="auto"/>
              </w:rPr>
            </w:pPr>
          </w:p>
        </w:tc>
      </w:tr>
      <w:tr>
        <w:trPr>
          <w:trHeight w:val="26"/>
        </w:trPr>
        <w:tc>
          <w:tcPr>
            <w:tcW w:w="16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4"/>
          </w:tcPr>
          <w:p>
            <w:pPr>
              <w:spacing w:after="0"/>
              <w:rPr>
                <w:sz w:val="2"/>
                <w:szCs w:val="2"/>
                <w:color w:val="auto"/>
              </w:rPr>
            </w:pPr>
          </w:p>
        </w:tc>
      </w:tr>
      <w:tr>
        <w:trPr>
          <w:trHeight w:val="220"/>
        </w:trPr>
        <w:tc>
          <w:tcPr>
            <w:tcW w:w="1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jc w:val="right"/>
              <w:ind w:right="276"/>
              <w:spacing w:after="0"/>
              <w:rPr>
                <w:sz w:val="20"/>
                <w:szCs w:val="20"/>
                <w:color w:val="auto"/>
              </w:rPr>
            </w:pPr>
            <w:r>
              <w:rPr>
                <w:rFonts w:ascii="Arial" w:cs="Arial" w:eastAsia="Arial" w:hAnsi="Arial"/>
                <w:sz w:val="17"/>
                <w:szCs w:val="17"/>
                <w:b w:val="1"/>
                <w:bCs w:val="1"/>
                <w:color w:val="auto"/>
                <w:w w:val="95"/>
              </w:rPr>
              <w:t>2016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jc w:val="right"/>
              <w:ind w:right="216"/>
              <w:spacing w:after="0"/>
              <w:rPr>
                <w:sz w:val="20"/>
                <w:szCs w:val="20"/>
                <w:color w:val="auto"/>
              </w:rPr>
            </w:pPr>
            <w:r>
              <w:rPr>
                <w:rFonts w:ascii="Arial" w:cs="Arial" w:eastAsia="Arial" w:hAnsi="Arial"/>
                <w:sz w:val="17"/>
                <w:szCs w:val="17"/>
                <w:b w:val="1"/>
                <w:bCs w:val="1"/>
                <w:color w:val="auto"/>
                <w:w w:val="84"/>
              </w:rPr>
              <w:t>2015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ind w:right="216"/>
              <w:spacing w:after="0"/>
              <w:rPr>
                <w:sz w:val="20"/>
                <w:szCs w:val="20"/>
                <w:color w:val="auto"/>
              </w:rPr>
            </w:pPr>
            <w:r>
              <w:rPr>
                <w:rFonts w:ascii="Arial" w:cs="Arial" w:eastAsia="Arial" w:hAnsi="Arial"/>
                <w:sz w:val="17"/>
                <w:szCs w:val="17"/>
                <w:b w:val="1"/>
                <w:bCs w:val="1"/>
                <w:color w:val="auto"/>
              </w:rPr>
              <w:t>2016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jc w:val="right"/>
              <w:ind w:right="196"/>
              <w:spacing w:after="0"/>
              <w:rPr>
                <w:sz w:val="20"/>
                <w:szCs w:val="20"/>
                <w:color w:val="auto"/>
              </w:rPr>
            </w:pPr>
            <w:r>
              <w:rPr>
                <w:rFonts w:ascii="Arial" w:cs="Arial" w:eastAsia="Arial" w:hAnsi="Arial"/>
                <w:sz w:val="17"/>
                <w:szCs w:val="17"/>
                <w:b w:val="1"/>
                <w:bCs w:val="1"/>
                <w:color w:val="auto"/>
                <w:w w:val="89"/>
              </w:rPr>
              <w:t>2015</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gridSpan w:val="2"/>
          </w:tcPr>
          <w:p>
            <w:pPr>
              <w:ind w:left="400"/>
              <w:spacing w:after="0"/>
              <w:rPr>
                <w:sz w:val="20"/>
                <w:szCs w:val="20"/>
                <w:color w:val="auto"/>
              </w:rPr>
            </w:pPr>
            <w:r>
              <w:rPr>
                <w:rFonts w:ascii="Arial" w:cs="Arial" w:eastAsia="Arial" w:hAnsi="Arial"/>
                <w:sz w:val="17"/>
                <w:szCs w:val="17"/>
                <w:b w:val="1"/>
                <w:bCs w:val="1"/>
                <w:color w:val="auto"/>
                <w:w w:val="84"/>
              </w:rPr>
              <w:t>2016</w:t>
            </w:r>
          </w:p>
        </w:tc>
        <w:tc>
          <w:tcPr>
            <w:tcW w:w="1300" w:type="dxa"/>
            <w:vAlign w:val="bottom"/>
            <w:gridSpan w:val="6"/>
          </w:tcPr>
          <w:p>
            <w:pPr>
              <w:jc w:val="right"/>
              <w:ind w:right="196"/>
              <w:spacing w:after="0"/>
              <w:rPr>
                <w:sz w:val="20"/>
                <w:szCs w:val="20"/>
                <w:color w:val="auto"/>
              </w:rPr>
            </w:pPr>
            <w:r>
              <w:rPr>
                <w:rFonts w:ascii="Arial" w:cs="Arial" w:eastAsia="Arial" w:hAnsi="Arial"/>
                <w:sz w:val="17"/>
                <w:szCs w:val="17"/>
                <w:b w:val="1"/>
                <w:bCs w:val="1"/>
                <w:color w:val="auto"/>
              </w:rPr>
              <w:t>2015</w:t>
            </w:r>
          </w:p>
        </w:tc>
      </w:tr>
      <w:tr>
        <w:trPr>
          <w:trHeight w:val="26"/>
        </w:trPr>
        <w:tc>
          <w:tcPr>
            <w:tcW w:w="16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195"/>
        </w:trPr>
        <w:tc>
          <w:tcPr>
            <w:tcW w:w="1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Foreign exchange</w:t>
            </w:r>
          </w:p>
        </w:tc>
        <w:tc>
          <w:tcPr>
            <w:tcW w:w="32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3,607</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(3,526)</w:t>
            </w:r>
          </w:p>
        </w:tc>
        <w:tc>
          <w:tcPr>
            <w:tcW w:w="100" w:type="dxa"/>
            <w:vAlign w:val="bottom"/>
            <w:shd w:val="clear" w:color="auto" w:fill="CCEEFF"/>
          </w:tcPr>
          <w:p>
            <w:pPr>
              <w:spacing w:after="0"/>
              <w:rPr>
                <w:sz w:val="16"/>
                <w:szCs w:val="16"/>
                <w:color w:val="auto"/>
              </w:rPr>
            </w:pPr>
          </w:p>
        </w:tc>
        <w:tc>
          <w:tcPr>
            <w:tcW w:w="1820" w:type="dxa"/>
            <w:vAlign w:val="bottom"/>
            <w:gridSpan w:val="4"/>
            <w:shd w:val="clear" w:color="auto" w:fill="CCEEFF"/>
          </w:tcPr>
          <w:p>
            <w:pPr>
              <w:ind w:left="40"/>
              <w:spacing w:after="0"/>
              <w:rPr>
                <w:sz w:val="20"/>
                <w:szCs w:val="20"/>
                <w:color w:val="auto"/>
              </w:rPr>
            </w:pPr>
            <w:r>
              <w:rPr>
                <w:rFonts w:ascii="Arial" w:cs="Arial" w:eastAsia="Arial" w:hAnsi="Arial"/>
                <w:sz w:val="17"/>
                <w:szCs w:val="17"/>
                <w:color w:val="auto"/>
              </w:rPr>
              <w:t>Foreign exchange</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466</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(430)</w:t>
            </w:r>
          </w:p>
        </w:tc>
        <w:tc>
          <w:tcPr>
            <w:tcW w:w="120" w:type="dxa"/>
            <w:vAlign w:val="bottom"/>
            <w:shd w:val="clear" w:color="auto" w:fill="CCEEFF"/>
          </w:tcPr>
          <w:p>
            <w:pPr>
              <w:spacing w:after="0"/>
              <w:rPr>
                <w:sz w:val="16"/>
                <w:szCs w:val="16"/>
                <w:color w:val="auto"/>
              </w:rPr>
            </w:pPr>
          </w:p>
        </w:tc>
        <w:tc>
          <w:tcPr>
            <w:tcW w:w="170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Foreign exchange</w:t>
            </w:r>
          </w:p>
        </w:tc>
        <w:tc>
          <w:tcPr>
            <w:tcW w:w="74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920" w:type="dxa"/>
            <w:vAlign w:val="bottom"/>
            <w:gridSpan w:val="5"/>
            <w:shd w:val="clear" w:color="auto" w:fill="CCEEFF"/>
          </w:tcPr>
          <w:p>
            <w:pPr>
              <w:jc w:val="center"/>
              <w:ind w:right="420"/>
              <w:spacing w:after="0"/>
              <w:rPr>
                <w:sz w:val="20"/>
                <w:szCs w:val="20"/>
                <w:color w:val="auto"/>
              </w:rPr>
            </w:pPr>
            <w:r>
              <w:rPr>
                <w:rFonts w:ascii="Arial" w:cs="Arial" w:eastAsia="Arial" w:hAnsi="Arial"/>
                <w:sz w:val="17"/>
                <w:szCs w:val="17"/>
                <w:color w:val="auto"/>
              </w:rPr>
              <w:t>—   $</w:t>
            </w:r>
          </w:p>
        </w:tc>
        <w:tc>
          <w:tcPr>
            <w:tcW w:w="3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r>
      <w:tr>
        <w:trPr>
          <w:trHeight w:val="220"/>
        </w:trPr>
        <w:tc>
          <w:tcPr>
            <w:tcW w:w="1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contracts</w:t>
            </w:r>
          </w:p>
        </w:tc>
        <w:tc>
          <w:tcPr>
            <w:tcW w:w="3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7"/>
                <w:szCs w:val="17"/>
                <w:color w:val="auto"/>
              </w:rPr>
              <w:t>gain/(loss)</w:t>
            </w: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7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color w:val="auto"/>
              </w:rPr>
              <w:t>gain/(loss)</w:t>
            </w:r>
          </w:p>
        </w:tc>
        <w:tc>
          <w:tcPr>
            <w:tcW w:w="1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r>
      <w:tr>
        <w:trPr>
          <w:trHeight w:val="337"/>
        </w:trPr>
        <w:tc>
          <w:tcPr>
            <w:tcW w:w="1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40" w:type="dxa"/>
            <w:vAlign w:val="bottom"/>
            <w:gridSpan w:val="8"/>
          </w:tcPr>
          <w:p>
            <w:pPr>
              <w:jc w:val="right"/>
              <w:ind w:right="196"/>
              <w:spacing w:after="0"/>
              <w:rPr>
                <w:sz w:val="20"/>
                <w:szCs w:val="20"/>
                <w:color w:val="auto"/>
              </w:rPr>
            </w:pPr>
            <w:r>
              <w:rPr>
                <w:rFonts w:ascii="Arial" w:cs="Arial" w:eastAsia="Arial" w:hAnsi="Arial"/>
                <w:sz w:val="17"/>
                <w:szCs w:val="17"/>
                <w:b w:val="1"/>
                <w:bCs w:val="1"/>
                <w:color w:val="auto"/>
                <w:w w:val="94"/>
              </w:rPr>
              <w:t>Amount of Gain/(Loss)</w:t>
            </w:r>
          </w:p>
        </w:tc>
      </w:tr>
      <w:tr>
        <w:trPr>
          <w:trHeight w:val="202"/>
        </w:trPr>
        <w:tc>
          <w:tcPr>
            <w:tcW w:w="1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gridSpan w:val="7"/>
          </w:tcPr>
          <w:p>
            <w:pPr>
              <w:ind w:left="20"/>
              <w:spacing w:after="0"/>
              <w:rPr>
                <w:sz w:val="20"/>
                <w:szCs w:val="20"/>
                <w:color w:val="auto"/>
              </w:rPr>
            </w:pPr>
            <w:r>
              <w:rPr>
                <w:rFonts w:ascii="Arial" w:cs="Arial" w:eastAsia="Arial" w:hAnsi="Arial"/>
                <w:sz w:val="17"/>
                <w:szCs w:val="17"/>
                <w:b w:val="1"/>
                <w:bCs w:val="1"/>
                <w:color w:val="auto"/>
              </w:rPr>
              <w:t>Recognized in Income</w:t>
            </w:r>
          </w:p>
        </w:tc>
      </w:tr>
      <w:tr>
        <w:trPr>
          <w:trHeight w:val="218"/>
        </w:trPr>
        <w:tc>
          <w:tcPr>
            <w:tcW w:w="1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6"/>
          </w:tcPr>
          <w:p>
            <w:pPr>
              <w:ind w:left="280"/>
              <w:spacing w:after="0"/>
              <w:rPr>
                <w:sz w:val="20"/>
                <w:szCs w:val="20"/>
                <w:color w:val="auto"/>
              </w:rPr>
            </w:pPr>
            <w:r>
              <w:rPr>
                <w:rFonts w:ascii="Arial" w:cs="Arial" w:eastAsia="Arial" w:hAnsi="Arial"/>
                <w:sz w:val="17"/>
                <w:szCs w:val="17"/>
                <w:b w:val="1"/>
                <w:bCs w:val="1"/>
                <w:color w:val="auto"/>
              </w:rPr>
              <w:t>on Derivatives</w:t>
            </w:r>
          </w:p>
        </w:tc>
        <w:tc>
          <w:tcPr>
            <w:tcW w:w="380" w:type="dxa"/>
            <w:vAlign w:val="bottom"/>
          </w:tcPr>
          <w:p>
            <w:pPr>
              <w:spacing w:after="0"/>
              <w:rPr>
                <w:sz w:val="18"/>
                <w:szCs w:val="18"/>
                <w:color w:val="auto"/>
              </w:rPr>
            </w:pPr>
          </w:p>
        </w:tc>
      </w:tr>
      <w:tr>
        <w:trPr>
          <w:trHeight w:val="26"/>
        </w:trPr>
        <w:tc>
          <w:tcPr>
            <w:tcW w:w="1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40" w:type="dxa"/>
            <w:vAlign w:val="bottom"/>
            <w:gridSpan w:val="11"/>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191"/>
        </w:trPr>
        <w:tc>
          <w:tcPr>
            <w:tcW w:w="1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20" w:type="dxa"/>
            <w:vAlign w:val="bottom"/>
            <w:gridSpan w:val="10"/>
          </w:tcPr>
          <w:p>
            <w:pPr>
              <w:jc w:val="center"/>
              <w:ind w:right="120"/>
              <w:spacing w:after="0" w:line="191" w:lineRule="exact"/>
              <w:rPr>
                <w:sz w:val="20"/>
                <w:szCs w:val="20"/>
                <w:color w:val="auto"/>
              </w:rPr>
            </w:pPr>
            <w:r>
              <w:rPr>
                <w:rFonts w:ascii="Arial" w:cs="Arial" w:eastAsia="Arial" w:hAnsi="Arial"/>
                <w:sz w:val="17"/>
                <w:szCs w:val="17"/>
                <w:b w:val="1"/>
                <w:bCs w:val="1"/>
                <w:color w:val="auto"/>
                <w:w w:val="88"/>
              </w:rPr>
              <w:t>Location of Gain or (Loss) Recognized in</w:t>
            </w: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r>
      <w:tr>
        <w:trPr>
          <w:trHeight w:val="218"/>
        </w:trPr>
        <w:tc>
          <w:tcPr>
            <w:tcW w:w="3700" w:type="dxa"/>
            <w:vAlign w:val="bottom"/>
            <w:gridSpan w:val="6"/>
          </w:tcPr>
          <w:p>
            <w:pPr>
              <w:ind w:left="20"/>
              <w:spacing w:after="0"/>
              <w:rPr>
                <w:sz w:val="20"/>
                <w:szCs w:val="20"/>
                <w:color w:val="auto"/>
              </w:rPr>
            </w:pPr>
            <w:r>
              <w:rPr>
                <w:rFonts w:ascii="Arial" w:cs="Arial" w:eastAsia="Arial" w:hAnsi="Arial"/>
                <w:sz w:val="17"/>
                <w:szCs w:val="17"/>
                <w:b w:val="1"/>
                <w:bCs w:val="1"/>
                <w:color w:val="auto"/>
                <w:w w:val="88"/>
              </w:rPr>
              <w:t>Derivatives not designated as Hedging Instruments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4"/>
          </w:tcPr>
          <w:p>
            <w:pPr>
              <w:jc w:val="center"/>
              <w:ind w:right="36"/>
              <w:spacing w:after="0"/>
              <w:rPr>
                <w:sz w:val="20"/>
                <w:szCs w:val="20"/>
                <w:color w:val="auto"/>
              </w:rPr>
            </w:pPr>
            <w:r>
              <w:rPr>
                <w:rFonts w:ascii="Arial" w:cs="Arial" w:eastAsia="Arial" w:hAnsi="Arial"/>
                <w:sz w:val="17"/>
                <w:szCs w:val="17"/>
                <w:b w:val="1"/>
                <w:bCs w:val="1"/>
                <w:color w:val="auto"/>
                <w:w w:val="89"/>
              </w:rPr>
              <w:t>Income on Derivatives</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ind w:left="120"/>
              <w:spacing w:after="0"/>
              <w:rPr>
                <w:sz w:val="20"/>
                <w:szCs w:val="20"/>
                <w:color w:val="auto"/>
              </w:rPr>
            </w:pPr>
            <w:r>
              <w:rPr>
                <w:rFonts w:ascii="Arial" w:cs="Arial" w:eastAsia="Arial" w:hAnsi="Arial"/>
                <w:sz w:val="17"/>
                <w:szCs w:val="17"/>
                <w:b w:val="1"/>
                <w:bCs w:val="1"/>
                <w:color w:val="auto"/>
              </w:rPr>
              <w:t>2016</w:t>
            </w:r>
          </w:p>
        </w:tc>
        <w:tc>
          <w:tcPr>
            <w:tcW w:w="920" w:type="dxa"/>
            <w:vAlign w:val="bottom"/>
            <w:gridSpan w:val="5"/>
          </w:tcPr>
          <w:p>
            <w:pPr>
              <w:jc w:val="right"/>
              <w:ind w:right="20"/>
              <w:spacing w:after="0"/>
              <w:rPr>
                <w:sz w:val="20"/>
                <w:szCs w:val="20"/>
                <w:color w:val="auto"/>
              </w:rPr>
            </w:pPr>
            <w:r>
              <w:rPr>
                <w:rFonts w:ascii="Arial" w:cs="Arial" w:eastAsia="Arial" w:hAnsi="Arial"/>
                <w:sz w:val="17"/>
                <w:szCs w:val="17"/>
                <w:b w:val="1"/>
                <w:bCs w:val="1"/>
                <w:color w:val="auto"/>
              </w:rPr>
              <w:t>2015</w:t>
            </w:r>
          </w:p>
        </w:tc>
        <w:tc>
          <w:tcPr>
            <w:tcW w:w="380" w:type="dxa"/>
            <w:vAlign w:val="bottom"/>
          </w:tcPr>
          <w:p>
            <w:pPr>
              <w:spacing w:after="0"/>
              <w:rPr>
                <w:sz w:val="18"/>
                <w:szCs w:val="18"/>
                <w:color w:val="auto"/>
              </w:rPr>
            </w:pPr>
          </w:p>
        </w:tc>
      </w:tr>
      <w:tr>
        <w:trPr>
          <w:trHeight w:val="26"/>
        </w:trPr>
        <w:tc>
          <w:tcPr>
            <w:tcW w:w="1920" w:type="dxa"/>
            <w:vAlign w:val="bottom"/>
            <w:tcBorders>
              <w:bottom w:val="single" w:sz="8" w:color="auto"/>
            </w:tcBorders>
            <w:gridSpan w:val="2"/>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500" w:type="dxa"/>
            <w:vAlign w:val="bottom"/>
            <w:tcBorders>
              <w:bottom w:val="single" w:sz="8" w:color="auto"/>
            </w:tcBorders>
            <w:gridSpan w:val="5"/>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220"/>
        </w:trPr>
        <w:tc>
          <w:tcPr>
            <w:tcW w:w="19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w w:val="89"/>
              </w:rPr>
              <w:t>Foreign exchange contracts</w:t>
            </w: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500" w:type="dxa"/>
            <w:vAlign w:val="bottom"/>
            <w:gridSpan w:val="5"/>
            <w:shd w:val="clear" w:color="auto" w:fill="CCEEFF"/>
          </w:tcPr>
          <w:p>
            <w:pPr>
              <w:ind w:left="20"/>
              <w:spacing w:after="0"/>
              <w:rPr>
                <w:sz w:val="20"/>
                <w:szCs w:val="20"/>
                <w:color w:val="auto"/>
              </w:rPr>
            </w:pPr>
            <w:r>
              <w:rPr>
                <w:rFonts w:ascii="Arial" w:cs="Arial" w:eastAsia="Arial" w:hAnsi="Arial"/>
                <w:sz w:val="17"/>
                <w:szCs w:val="17"/>
                <w:color w:val="auto"/>
              </w:rPr>
              <w:t>Foreign exchange gain/(loss)</w:t>
            </w: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820" w:type="dxa"/>
            <w:vAlign w:val="bottom"/>
            <w:gridSpan w:val="4"/>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1,382</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w w:val="91"/>
              </w:rPr>
              <w:t>705</w:t>
            </w:r>
          </w:p>
        </w:tc>
      </w:tr>
      <w:tr>
        <w:trPr>
          <w:trHeight w:val="26"/>
        </w:trPr>
        <w:tc>
          <w:tcPr>
            <w:tcW w:w="16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r>
    </w:tbl>
    <w:p>
      <w:pPr>
        <w:spacing w:after="0" w:line="190" w:lineRule="exact"/>
        <w:rPr>
          <w:sz w:val="20"/>
          <w:szCs w:val="20"/>
          <w:color w:val="auto"/>
        </w:rPr>
      </w:pPr>
    </w:p>
    <w:p>
      <w:pPr>
        <w:ind w:left="400"/>
        <w:spacing w:after="0"/>
        <w:rPr>
          <w:sz w:val="20"/>
          <w:szCs w:val="20"/>
          <w:color w:val="auto"/>
        </w:rPr>
      </w:pPr>
      <w:r>
        <w:rPr>
          <w:rFonts w:ascii="Arial" w:cs="Arial" w:eastAsia="Arial" w:hAnsi="Arial"/>
          <w:sz w:val="15"/>
          <w:szCs w:val="15"/>
          <w:color w:val="auto"/>
        </w:rPr>
        <w:t>The following tables set forth the effect of foreign currency exchange contracts on the unaudited consolidated statements of income for the nine months ended</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color w:val="auto"/>
        </w:rPr>
        <w:t>September 30, 2016 and 2015:</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0" w:type="dxa"/>
            <w:vAlign w:val="bottom"/>
            <w:gridSpan w:val="2"/>
          </w:tcPr>
          <w:p>
            <w:pPr>
              <w:jc w:val="center"/>
              <w:ind w:right="60"/>
              <w:spacing w:after="0"/>
              <w:rPr>
                <w:sz w:val="20"/>
                <w:szCs w:val="20"/>
                <w:color w:val="auto"/>
              </w:rPr>
            </w:pPr>
            <w:r>
              <w:rPr>
                <w:rFonts w:ascii="Arial" w:cs="Arial" w:eastAsia="Arial" w:hAnsi="Arial"/>
                <w:sz w:val="17"/>
                <w:szCs w:val="17"/>
                <w:b w:val="1"/>
                <w:bCs w:val="1"/>
                <w:color w:val="auto"/>
                <w:w w:val="89"/>
              </w:rPr>
              <w:t>Location of Gain/(Loss)</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2"/>
        </w:trPr>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0" w:type="dxa"/>
            <w:vAlign w:val="bottom"/>
            <w:gridSpan w:val="2"/>
          </w:tcPr>
          <w:p>
            <w:pPr>
              <w:jc w:val="center"/>
              <w:ind w:right="60"/>
              <w:spacing w:after="0"/>
              <w:rPr>
                <w:sz w:val="20"/>
                <w:szCs w:val="20"/>
                <w:color w:val="auto"/>
              </w:rPr>
            </w:pPr>
            <w:r>
              <w:rPr>
                <w:rFonts w:ascii="Arial" w:cs="Arial" w:eastAsia="Arial" w:hAnsi="Arial"/>
                <w:sz w:val="17"/>
                <w:szCs w:val="17"/>
                <w:b w:val="1"/>
                <w:bCs w:val="1"/>
                <w:color w:val="auto"/>
                <w:w w:val="88"/>
              </w:rPr>
              <w:t>Recognized in Income</w:t>
            </w:r>
          </w:p>
        </w:tc>
        <w:tc>
          <w:tcPr>
            <w:tcW w:w="120" w:type="dxa"/>
            <w:vAlign w:val="bottom"/>
          </w:tcPr>
          <w:p>
            <w:pPr>
              <w:spacing w:after="0"/>
              <w:rPr>
                <w:sz w:val="17"/>
                <w:szCs w:val="17"/>
                <w:color w:val="auto"/>
              </w:rPr>
            </w:pPr>
          </w:p>
        </w:tc>
        <w:tc>
          <w:tcPr>
            <w:tcW w:w="1820" w:type="dxa"/>
            <w:vAlign w:val="bottom"/>
            <w:gridSpan w:val="4"/>
          </w:tcPr>
          <w:p>
            <w:pPr>
              <w:jc w:val="center"/>
              <w:spacing w:after="0"/>
              <w:rPr>
                <w:sz w:val="20"/>
                <w:szCs w:val="20"/>
                <w:color w:val="auto"/>
              </w:rPr>
            </w:pPr>
            <w:r>
              <w:rPr>
                <w:rFonts w:ascii="Arial" w:cs="Arial" w:eastAsia="Arial" w:hAnsi="Arial"/>
                <w:sz w:val="17"/>
                <w:szCs w:val="17"/>
                <w:b w:val="1"/>
                <w:bCs w:val="1"/>
                <w:color w:val="auto"/>
                <w:w w:val="91"/>
              </w:rPr>
              <w:t>Amount of</w:t>
            </w:r>
          </w:p>
        </w:tc>
      </w:tr>
      <w:tr>
        <w:trPr>
          <w:trHeight w:val="202"/>
        </w:trPr>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0" w:type="dxa"/>
            <w:vAlign w:val="bottom"/>
            <w:gridSpan w:val="2"/>
          </w:tcPr>
          <w:p>
            <w:pPr>
              <w:jc w:val="center"/>
              <w:ind w:right="60"/>
              <w:spacing w:after="0"/>
              <w:rPr>
                <w:sz w:val="20"/>
                <w:szCs w:val="20"/>
                <w:color w:val="auto"/>
              </w:rPr>
            </w:pPr>
            <w:r>
              <w:rPr>
                <w:rFonts w:ascii="Arial" w:cs="Arial" w:eastAsia="Arial" w:hAnsi="Arial"/>
                <w:sz w:val="17"/>
                <w:szCs w:val="17"/>
                <w:b w:val="1"/>
                <w:bCs w:val="1"/>
                <w:color w:val="auto"/>
                <w:w w:val="91"/>
              </w:rPr>
              <w:t>on Derivative</w:t>
            </w:r>
          </w:p>
        </w:tc>
        <w:tc>
          <w:tcPr>
            <w:tcW w:w="1940" w:type="dxa"/>
            <w:vAlign w:val="bottom"/>
            <w:gridSpan w:val="5"/>
          </w:tcPr>
          <w:p>
            <w:pPr>
              <w:jc w:val="center"/>
              <w:spacing w:after="0"/>
              <w:rPr>
                <w:sz w:val="20"/>
                <w:szCs w:val="20"/>
                <w:color w:val="auto"/>
              </w:rPr>
            </w:pPr>
            <w:r>
              <w:rPr>
                <w:rFonts w:ascii="Arial" w:cs="Arial" w:eastAsia="Arial" w:hAnsi="Arial"/>
                <w:sz w:val="17"/>
                <w:szCs w:val="17"/>
                <w:b w:val="1"/>
                <w:bCs w:val="1"/>
                <w:color w:val="auto"/>
                <w:w w:val="88"/>
              </w:rPr>
              <w:t>Gain/(Loss) Recognized in</w:t>
            </w:r>
          </w:p>
        </w:tc>
      </w:tr>
      <w:tr>
        <w:trPr>
          <w:trHeight w:val="202"/>
        </w:trPr>
        <w:tc>
          <w:tcPr>
            <w:tcW w:w="1040" w:type="dxa"/>
            <w:vAlign w:val="bottom"/>
          </w:tcPr>
          <w:p>
            <w:pPr>
              <w:ind w:left="20"/>
              <w:spacing w:after="0"/>
              <w:rPr>
                <w:sz w:val="20"/>
                <w:szCs w:val="20"/>
                <w:color w:val="auto"/>
              </w:rPr>
            </w:pPr>
            <w:r>
              <w:rPr>
                <w:rFonts w:ascii="Arial" w:cs="Arial" w:eastAsia="Arial" w:hAnsi="Arial"/>
                <w:sz w:val="17"/>
                <w:szCs w:val="17"/>
                <w:b w:val="1"/>
                <w:bCs w:val="1"/>
                <w:color w:val="auto"/>
              </w:rPr>
              <w:t>Derivatives</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0" w:type="dxa"/>
            <w:vAlign w:val="bottom"/>
            <w:gridSpan w:val="2"/>
          </w:tcPr>
          <w:p>
            <w:pPr>
              <w:jc w:val="center"/>
              <w:ind w:right="60"/>
              <w:spacing w:after="0"/>
              <w:rPr>
                <w:sz w:val="20"/>
                <w:szCs w:val="20"/>
                <w:color w:val="auto"/>
              </w:rPr>
            </w:pPr>
            <w:r>
              <w:rPr>
                <w:rFonts w:ascii="Arial" w:cs="Arial" w:eastAsia="Arial" w:hAnsi="Arial"/>
                <w:sz w:val="17"/>
                <w:szCs w:val="17"/>
                <w:b w:val="1"/>
                <w:bCs w:val="1"/>
                <w:color w:val="auto"/>
                <w:w w:val="89"/>
              </w:rPr>
              <w:t>Location of Gain/(Loss)</w:t>
            </w:r>
          </w:p>
        </w:tc>
        <w:tc>
          <w:tcPr>
            <w:tcW w:w="280" w:type="dxa"/>
            <w:vAlign w:val="bottom"/>
          </w:tcPr>
          <w:p>
            <w:pPr>
              <w:spacing w:after="0"/>
              <w:rPr>
                <w:sz w:val="17"/>
                <w:szCs w:val="17"/>
                <w:color w:val="auto"/>
              </w:rPr>
            </w:pPr>
          </w:p>
        </w:tc>
        <w:tc>
          <w:tcPr>
            <w:tcW w:w="1180" w:type="dxa"/>
            <w:vAlign w:val="bottom"/>
            <w:gridSpan w:val="3"/>
          </w:tcPr>
          <w:p>
            <w:pPr>
              <w:jc w:val="center"/>
              <w:ind w:left="336"/>
              <w:spacing w:after="0"/>
              <w:rPr>
                <w:sz w:val="20"/>
                <w:szCs w:val="20"/>
                <w:color w:val="auto"/>
              </w:rPr>
            </w:pPr>
            <w:r>
              <w:rPr>
                <w:rFonts w:ascii="Arial" w:cs="Arial" w:eastAsia="Arial" w:hAnsi="Arial"/>
                <w:sz w:val="17"/>
                <w:szCs w:val="17"/>
                <w:b w:val="1"/>
                <w:bCs w:val="1"/>
                <w:color w:val="auto"/>
                <w:w w:val="89"/>
              </w:rPr>
              <w:t>Amount of</w:t>
            </w: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0" w:type="dxa"/>
            <w:vAlign w:val="bottom"/>
            <w:gridSpan w:val="2"/>
          </w:tcPr>
          <w:p>
            <w:pPr>
              <w:jc w:val="center"/>
              <w:ind w:right="40"/>
              <w:spacing w:after="0"/>
              <w:rPr>
                <w:sz w:val="20"/>
                <w:szCs w:val="20"/>
                <w:color w:val="auto"/>
              </w:rPr>
            </w:pPr>
            <w:r>
              <w:rPr>
                <w:rFonts w:ascii="Arial" w:cs="Arial" w:eastAsia="Arial" w:hAnsi="Arial"/>
                <w:sz w:val="17"/>
                <w:szCs w:val="17"/>
                <w:b w:val="1"/>
                <w:bCs w:val="1"/>
                <w:color w:val="auto"/>
                <w:w w:val="90"/>
              </w:rPr>
              <w:t>(Ineffective Portion</w:t>
            </w:r>
          </w:p>
        </w:tc>
        <w:tc>
          <w:tcPr>
            <w:tcW w:w="120" w:type="dxa"/>
            <w:vAlign w:val="bottom"/>
          </w:tcPr>
          <w:p>
            <w:pPr>
              <w:spacing w:after="0"/>
              <w:rPr>
                <w:sz w:val="17"/>
                <w:szCs w:val="17"/>
                <w:color w:val="auto"/>
              </w:rPr>
            </w:pPr>
          </w:p>
        </w:tc>
        <w:tc>
          <w:tcPr>
            <w:tcW w:w="1820" w:type="dxa"/>
            <w:vAlign w:val="bottom"/>
            <w:gridSpan w:val="4"/>
          </w:tcPr>
          <w:p>
            <w:pPr>
              <w:jc w:val="center"/>
              <w:spacing w:after="0"/>
              <w:rPr>
                <w:sz w:val="20"/>
                <w:szCs w:val="20"/>
                <w:color w:val="auto"/>
              </w:rPr>
            </w:pPr>
            <w:r>
              <w:rPr>
                <w:rFonts w:ascii="Arial" w:cs="Arial" w:eastAsia="Arial" w:hAnsi="Arial"/>
                <w:sz w:val="17"/>
                <w:szCs w:val="17"/>
                <w:b w:val="1"/>
                <w:bCs w:val="1"/>
                <w:color w:val="auto"/>
                <w:w w:val="90"/>
              </w:rPr>
              <w:t>Income on Derivative</w:t>
            </w:r>
          </w:p>
        </w:tc>
      </w:tr>
      <w:tr>
        <w:trPr>
          <w:trHeight w:val="202"/>
        </w:trPr>
        <w:tc>
          <w:tcPr>
            <w:tcW w:w="1040" w:type="dxa"/>
            <w:vAlign w:val="bottom"/>
          </w:tcPr>
          <w:p>
            <w:pPr>
              <w:ind w:left="20"/>
              <w:spacing w:after="0"/>
              <w:rPr>
                <w:sz w:val="20"/>
                <w:szCs w:val="20"/>
                <w:color w:val="auto"/>
              </w:rPr>
            </w:pPr>
            <w:r>
              <w:rPr>
                <w:rFonts w:ascii="Arial" w:cs="Arial" w:eastAsia="Arial" w:hAnsi="Arial"/>
                <w:sz w:val="17"/>
                <w:szCs w:val="17"/>
                <w:b w:val="1"/>
                <w:bCs w:val="1"/>
                <w:color w:val="auto"/>
                <w:w w:val="95"/>
              </w:rPr>
              <w:t>in Cash Flow</w:t>
            </w:r>
          </w:p>
        </w:tc>
        <w:tc>
          <w:tcPr>
            <w:tcW w:w="2740" w:type="dxa"/>
            <w:vAlign w:val="bottom"/>
            <w:gridSpan w:val="7"/>
          </w:tcPr>
          <w:p>
            <w:pPr>
              <w:ind w:left="20"/>
              <w:spacing w:after="0"/>
              <w:rPr>
                <w:sz w:val="20"/>
                <w:szCs w:val="20"/>
                <w:color w:val="auto"/>
              </w:rPr>
            </w:pPr>
            <w:r>
              <w:rPr>
                <w:rFonts w:ascii="Arial" w:cs="Arial" w:eastAsia="Arial" w:hAnsi="Arial"/>
                <w:sz w:val="17"/>
                <w:szCs w:val="17"/>
                <w:b w:val="1"/>
                <w:bCs w:val="1"/>
                <w:color w:val="auto"/>
                <w:w w:val="89"/>
              </w:rPr>
              <w:t>Amount of Gain/(Loss) Recognized in</w:t>
            </w:r>
          </w:p>
        </w:tc>
        <w:tc>
          <w:tcPr>
            <w:tcW w:w="1800" w:type="dxa"/>
            <w:vAlign w:val="bottom"/>
            <w:gridSpan w:val="2"/>
          </w:tcPr>
          <w:p>
            <w:pPr>
              <w:jc w:val="center"/>
              <w:ind w:right="80"/>
              <w:spacing w:after="0"/>
              <w:rPr>
                <w:sz w:val="20"/>
                <w:szCs w:val="20"/>
                <w:color w:val="auto"/>
              </w:rPr>
            </w:pPr>
            <w:r>
              <w:rPr>
                <w:rFonts w:ascii="Arial" w:cs="Arial" w:eastAsia="Arial" w:hAnsi="Arial"/>
                <w:sz w:val="17"/>
                <w:szCs w:val="17"/>
                <w:b w:val="1"/>
                <w:bCs w:val="1"/>
                <w:color w:val="auto"/>
                <w:w w:val="87"/>
              </w:rPr>
              <w:t>Reclassified from</w:t>
            </w:r>
          </w:p>
        </w:tc>
        <w:tc>
          <w:tcPr>
            <w:tcW w:w="2200" w:type="dxa"/>
            <w:vAlign w:val="bottom"/>
            <w:gridSpan w:val="6"/>
          </w:tcPr>
          <w:p>
            <w:pPr>
              <w:jc w:val="center"/>
              <w:ind w:right="20"/>
              <w:spacing w:after="0"/>
              <w:rPr>
                <w:sz w:val="20"/>
                <w:szCs w:val="20"/>
                <w:color w:val="auto"/>
              </w:rPr>
            </w:pPr>
            <w:r>
              <w:rPr>
                <w:rFonts w:ascii="Arial" w:cs="Arial" w:eastAsia="Arial" w:hAnsi="Arial"/>
                <w:sz w:val="17"/>
                <w:szCs w:val="17"/>
                <w:b w:val="1"/>
                <w:bCs w:val="1"/>
                <w:color w:val="auto"/>
                <w:w w:val="89"/>
              </w:rPr>
              <w:t>Gain/(Loss) Reclassified from</w:t>
            </w:r>
          </w:p>
        </w:tc>
        <w:tc>
          <w:tcPr>
            <w:tcW w:w="1800" w:type="dxa"/>
            <w:vAlign w:val="bottom"/>
            <w:gridSpan w:val="2"/>
          </w:tcPr>
          <w:p>
            <w:pPr>
              <w:jc w:val="center"/>
              <w:ind w:right="60"/>
              <w:spacing w:after="0"/>
              <w:rPr>
                <w:sz w:val="20"/>
                <w:szCs w:val="20"/>
                <w:color w:val="auto"/>
              </w:rPr>
            </w:pPr>
            <w:r>
              <w:rPr>
                <w:rFonts w:ascii="Arial" w:cs="Arial" w:eastAsia="Arial" w:hAnsi="Arial"/>
                <w:sz w:val="17"/>
                <w:szCs w:val="17"/>
                <w:b w:val="1"/>
                <w:bCs w:val="1"/>
                <w:color w:val="auto"/>
                <w:w w:val="90"/>
              </w:rPr>
              <w:t>and Amount Excluded</w:t>
            </w:r>
          </w:p>
        </w:tc>
        <w:tc>
          <w:tcPr>
            <w:tcW w:w="120" w:type="dxa"/>
            <w:vAlign w:val="bottom"/>
          </w:tcPr>
          <w:p>
            <w:pPr>
              <w:spacing w:after="0"/>
              <w:rPr>
                <w:sz w:val="17"/>
                <w:szCs w:val="17"/>
                <w:color w:val="auto"/>
              </w:rPr>
            </w:pPr>
          </w:p>
        </w:tc>
        <w:tc>
          <w:tcPr>
            <w:tcW w:w="1820" w:type="dxa"/>
            <w:vAlign w:val="bottom"/>
            <w:gridSpan w:val="4"/>
          </w:tcPr>
          <w:p>
            <w:pPr>
              <w:jc w:val="center"/>
              <w:spacing w:after="0"/>
              <w:rPr>
                <w:sz w:val="20"/>
                <w:szCs w:val="20"/>
                <w:color w:val="auto"/>
              </w:rPr>
            </w:pPr>
            <w:r>
              <w:rPr>
                <w:rFonts w:ascii="Arial" w:cs="Arial" w:eastAsia="Arial" w:hAnsi="Arial"/>
                <w:sz w:val="17"/>
                <w:szCs w:val="17"/>
                <w:b w:val="1"/>
                <w:bCs w:val="1"/>
                <w:color w:val="auto"/>
                <w:w w:val="89"/>
              </w:rPr>
              <w:t>(Ineffective Portion and</w:t>
            </w:r>
          </w:p>
        </w:tc>
      </w:tr>
      <w:tr>
        <w:trPr>
          <w:trHeight w:val="202"/>
        </w:trPr>
        <w:tc>
          <w:tcPr>
            <w:tcW w:w="1040" w:type="dxa"/>
            <w:vAlign w:val="bottom"/>
          </w:tcPr>
          <w:p>
            <w:pPr>
              <w:ind w:left="20"/>
              <w:spacing w:after="0"/>
              <w:rPr>
                <w:sz w:val="20"/>
                <w:szCs w:val="20"/>
                <w:color w:val="auto"/>
              </w:rPr>
            </w:pPr>
            <w:r>
              <w:rPr>
                <w:rFonts w:ascii="Arial" w:cs="Arial" w:eastAsia="Arial" w:hAnsi="Arial"/>
                <w:sz w:val="17"/>
                <w:szCs w:val="17"/>
                <w:b w:val="1"/>
                <w:bCs w:val="1"/>
                <w:color w:val="auto"/>
              </w:rPr>
              <w:t>Hedging</w:t>
            </w:r>
          </w:p>
        </w:tc>
        <w:tc>
          <w:tcPr>
            <w:tcW w:w="280" w:type="dxa"/>
            <w:vAlign w:val="bottom"/>
          </w:tcPr>
          <w:p>
            <w:pPr>
              <w:spacing w:after="0"/>
              <w:rPr>
                <w:sz w:val="17"/>
                <w:szCs w:val="17"/>
                <w:color w:val="auto"/>
              </w:rPr>
            </w:pPr>
          </w:p>
        </w:tc>
        <w:tc>
          <w:tcPr>
            <w:tcW w:w="2460" w:type="dxa"/>
            <w:vAlign w:val="bottom"/>
            <w:gridSpan w:val="6"/>
          </w:tcPr>
          <w:p>
            <w:pPr>
              <w:jc w:val="center"/>
              <w:ind w:right="320"/>
              <w:spacing w:after="0"/>
              <w:rPr>
                <w:sz w:val="20"/>
                <w:szCs w:val="20"/>
                <w:color w:val="auto"/>
              </w:rPr>
            </w:pPr>
            <w:r>
              <w:rPr>
                <w:rFonts w:ascii="Arial" w:cs="Arial" w:eastAsia="Arial" w:hAnsi="Arial"/>
                <w:sz w:val="17"/>
                <w:szCs w:val="17"/>
                <w:b w:val="1"/>
                <w:bCs w:val="1"/>
                <w:color w:val="auto"/>
                <w:w w:val="94"/>
              </w:rPr>
              <w:t>AOCI on Derivative</w:t>
            </w:r>
          </w:p>
        </w:tc>
        <w:tc>
          <w:tcPr>
            <w:tcW w:w="1800" w:type="dxa"/>
            <w:vAlign w:val="bottom"/>
            <w:gridSpan w:val="2"/>
          </w:tcPr>
          <w:p>
            <w:pPr>
              <w:jc w:val="center"/>
              <w:ind w:right="60"/>
              <w:spacing w:after="0"/>
              <w:rPr>
                <w:sz w:val="20"/>
                <w:szCs w:val="20"/>
                <w:color w:val="auto"/>
              </w:rPr>
            </w:pPr>
            <w:r>
              <w:rPr>
                <w:rFonts w:ascii="Arial" w:cs="Arial" w:eastAsia="Arial" w:hAnsi="Arial"/>
                <w:sz w:val="17"/>
                <w:szCs w:val="17"/>
                <w:b w:val="1"/>
                <w:bCs w:val="1"/>
                <w:color w:val="auto"/>
                <w:w w:val="93"/>
              </w:rPr>
              <w:t>AOCI into Income</w:t>
            </w:r>
          </w:p>
        </w:tc>
        <w:tc>
          <w:tcPr>
            <w:tcW w:w="2200" w:type="dxa"/>
            <w:vAlign w:val="bottom"/>
            <w:gridSpan w:val="6"/>
          </w:tcPr>
          <w:p>
            <w:pPr>
              <w:jc w:val="center"/>
              <w:ind w:right="40"/>
              <w:spacing w:after="0"/>
              <w:rPr>
                <w:sz w:val="20"/>
                <w:szCs w:val="20"/>
                <w:color w:val="auto"/>
              </w:rPr>
            </w:pPr>
            <w:r>
              <w:rPr>
                <w:rFonts w:ascii="Arial" w:cs="Arial" w:eastAsia="Arial" w:hAnsi="Arial"/>
                <w:sz w:val="17"/>
                <w:szCs w:val="17"/>
                <w:b w:val="1"/>
                <w:bCs w:val="1"/>
                <w:color w:val="auto"/>
                <w:w w:val="92"/>
              </w:rPr>
              <w:t>AOCI into Income (Effective</w:t>
            </w:r>
          </w:p>
        </w:tc>
        <w:tc>
          <w:tcPr>
            <w:tcW w:w="1800" w:type="dxa"/>
            <w:vAlign w:val="bottom"/>
            <w:gridSpan w:val="2"/>
          </w:tcPr>
          <w:p>
            <w:pPr>
              <w:jc w:val="center"/>
              <w:ind w:right="60"/>
              <w:spacing w:after="0"/>
              <w:rPr>
                <w:sz w:val="20"/>
                <w:szCs w:val="20"/>
                <w:color w:val="auto"/>
              </w:rPr>
            </w:pPr>
            <w:r>
              <w:rPr>
                <w:rFonts w:ascii="Arial" w:cs="Arial" w:eastAsia="Arial" w:hAnsi="Arial"/>
                <w:sz w:val="17"/>
                <w:szCs w:val="17"/>
                <w:b w:val="1"/>
                <w:bCs w:val="1"/>
                <w:color w:val="auto"/>
                <w:w w:val="88"/>
              </w:rPr>
              <w:t>from Effectiveness</w:t>
            </w:r>
          </w:p>
        </w:tc>
        <w:tc>
          <w:tcPr>
            <w:tcW w:w="120" w:type="dxa"/>
            <w:vAlign w:val="bottom"/>
          </w:tcPr>
          <w:p>
            <w:pPr>
              <w:spacing w:after="0"/>
              <w:rPr>
                <w:sz w:val="17"/>
                <w:szCs w:val="17"/>
                <w:color w:val="auto"/>
              </w:rPr>
            </w:pPr>
          </w:p>
        </w:tc>
        <w:tc>
          <w:tcPr>
            <w:tcW w:w="1820" w:type="dxa"/>
            <w:vAlign w:val="bottom"/>
            <w:gridSpan w:val="4"/>
          </w:tcPr>
          <w:p>
            <w:pPr>
              <w:jc w:val="center"/>
              <w:spacing w:after="0"/>
              <w:rPr>
                <w:sz w:val="20"/>
                <w:szCs w:val="20"/>
                <w:color w:val="auto"/>
              </w:rPr>
            </w:pPr>
            <w:r>
              <w:rPr>
                <w:rFonts w:ascii="Arial" w:cs="Arial" w:eastAsia="Arial" w:hAnsi="Arial"/>
                <w:sz w:val="17"/>
                <w:szCs w:val="17"/>
                <w:b w:val="1"/>
                <w:bCs w:val="1"/>
                <w:color w:val="auto"/>
                <w:w w:val="90"/>
              </w:rPr>
              <w:t>Amount Excluded from</w:t>
            </w:r>
          </w:p>
        </w:tc>
      </w:tr>
      <w:tr>
        <w:trPr>
          <w:trHeight w:val="218"/>
        </w:trPr>
        <w:tc>
          <w:tcPr>
            <w:tcW w:w="1040" w:type="dxa"/>
            <w:vAlign w:val="bottom"/>
          </w:tcPr>
          <w:p>
            <w:pPr>
              <w:ind w:left="20"/>
              <w:spacing w:after="0"/>
              <w:rPr>
                <w:sz w:val="20"/>
                <w:szCs w:val="20"/>
                <w:color w:val="auto"/>
              </w:rPr>
            </w:pPr>
            <w:r>
              <w:rPr>
                <w:rFonts w:ascii="Arial" w:cs="Arial" w:eastAsia="Arial" w:hAnsi="Arial"/>
                <w:sz w:val="17"/>
                <w:szCs w:val="17"/>
                <w:b w:val="1"/>
                <w:bCs w:val="1"/>
                <w:color w:val="auto"/>
                <w:w w:val="89"/>
              </w:rPr>
              <w:t>Relationships</w:t>
            </w:r>
          </w:p>
        </w:tc>
        <w:tc>
          <w:tcPr>
            <w:tcW w:w="280" w:type="dxa"/>
            <w:vAlign w:val="bottom"/>
          </w:tcPr>
          <w:p>
            <w:pPr>
              <w:spacing w:after="0"/>
              <w:rPr>
                <w:sz w:val="18"/>
                <w:szCs w:val="18"/>
                <w:color w:val="auto"/>
              </w:rPr>
            </w:pPr>
          </w:p>
        </w:tc>
        <w:tc>
          <w:tcPr>
            <w:tcW w:w="2460" w:type="dxa"/>
            <w:vAlign w:val="bottom"/>
            <w:gridSpan w:val="6"/>
          </w:tcPr>
          <w:p>
            <w:pPr>
              <w:jc w:val="center"/>
              <w:ind w:right="320"/>
              <w:spacing w:after="0"/>
              <w:rPr>
                <w:sz w:val="20"/>
                <w:szCs w:val="20"/>
                <w:color w:val="auto"/>
              </w:rPr>
            </w:pPr>
            <w:r>
              <w:rPr>
                <w:rFonts w:ascii="Arial" w:cs="Arial" w:eastAsia="Arial" w:hAnsi="Arial"/>
                <w:sz w:val="17"/>
                <w:szCs w:val="17"/>
                <w:b w:val="1"/>
                <w:bCs w:val="1"/>
                <w:color w:val="auto"/>
                <w:w w:val="91"/>
              </w:rPr>
              <w:t>(Effective Portion)</w:t>
            </w:r>
          </w:p>
        </w:tc>
        <w:tc>
          <w:tcPr>
            <w:tcW w:w="1800" w:type="dxa"/>
            <w:vAlign w:val="bottom"/>
            <w:gridSpan w:val="2"/>
          </w:tcPr>
          <w:p>
            <w:pPr>
              <w:jc w:val="center"/>
              <w:ind w:right="60"/>
              <w:spacing w:after="0"/>
              <w:rPr>
                <w:sz w:val="20"/>
                <w:szCs w:val="20"/>
                <w:color w:val="auto"/>
              </w:rPr>
            </w:pPr>
            <w:r>
              <w:rPr>
                <w:rFonts w:ascii="Arial" w:cs="Arial" w:eastAsia="Arial" w:hAnsi="Arial"/>
                <w:sz w:val="17"/>
                <w:szCs w:val="17"/>
                <w:b w:val="1"/>
                <w:bCs w:val="1"/>
                <w:color w:val="auto"/>
                <w:w w:val="91"/>
              </w:rPr>
              <w:t>(Effective Portion)</w:t>
            </w:r>
          </w:p>
        </w:tc>
        <w:tc>
          <w:tcPr>
            <w:tcW w:w="280" w:type="dxa"/>
            <w:vAlign w:val="bottom"/>
          </w:tcPr>
          <w:p>
            <w:pPr>
              <w:spacing w:after="0"/>
              <w:rPr>
                <w:sz w:val="18"/>
                <w:szCs w:val="18"/>
                <w:color w:val="auto"/>
              </w:rPr>
            </w:pPr>
          </w:p>
        </w:tc>
        <w:tc>
          <w:tcPr>
            <w:tcW w:w="1180" w:type="dxa"/>
            <w:vAlign w:val="bottom"/>
            <w:gridSpan w:val="3"/>
          </w:tcPr>
          <w:p>
            <w:pPr>
              <w:jc w:val="center"/>
              <w:ind w:left="336"/>
              <w:spacing w:after="0"/>
              <w:rPr>
                <w:sz w:val="20"/>
                <w:szCs w:val="20"/>
                <w:color w:val="auto"/>
              </w:rPr>
            </w:pPr>
            <w:r>
              <w:rPr>
                <w:rFonts w:ascii="Arial" w:cs="Arial" w:eastAsia="Arial" w:hAnsi="Arial"/>
                <w:sz w:val="17"/>
                <w:szCs w:val="17"/>
                <w:b w:val="1"/>
                <w:bCs w:val="1"/>
                <w:color w:val="auto"/>
                <w:w w:val="92"/>
              </w:rPr>
              <w:t>Portion)</w:t>
            </w: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0" w:type="dxa"/>
            <w:vAlign w:val="bottom"/>
            <w:gridSpan w:val="2"/>
          </w:tcPr>
          <w:p>
            <w:pPr>
              <w:jc w:val="center"/>
              <w:ind w:right="60"/>
              <w:spacing w:after="0"/>
              <w:rPr>
                <w:sz w:val="20"/>
                <w:szCs w:val="20"/>
                <w:color w:val="auto"/>
              </w:rPr>
            </w:pPr>
            <w:r>
              <w:rPr>
                <w:rFonts w:ascii="Arial" w:cs="Arial" w:eastAsia="Arial" w:hAnsi="Arial"/>
                <w:sz w:val="17"/>
                <w:szCs w:val="17"/>
                <w:b w:val="1"/>
                <w:bCs w:val="1"/>
                <w:color w:val="auto"/>
                <w:w w:val="87"/>
              </w:rPr>
              <w:t>Testing)</w:t>
            </w:r>
          </w:p>
        </w:tc>
        <w:tc>
          <w:tcPr>
            <w:tcW w:w="120" w:type="dxa"/>
            <w:vAlign w:val="bottom"/>
          </w:tcPr>
          <w:p>
            <w:pPr>
              <w:spacing w:after="0"/>
              <w:rPr>
                <w:sz w:val="18"/>
                <w:szCs w:val="18"/>
                <w:color w:val="auto"/>
              </w:rPr>
            </w:pPr>
          </w:p>
        </w:tc>
        <w:tc>
          <w:tcPr>
            <w:tcW w:w="1820" w:type="dxa"/>
            <w:vAlign w:val="bottom"/>
            <w:gridSpan w:val="4"/>
          </w:tcPr>
          <w:p>
            <w:pPr>
              <w:jc w:val="center"/>
              <w:spacing w:after="0"/>
              <w:rPr>
                <w:sz w:val="20"/>
                <w:szCs w:val="20"/>
                <w:color w:val="auto"/>
              </w:rPr>
            </w:pPr>
            <w:r>
              <w:rPr>
                <w:rFonts w:ascii="Arial" w:cs="Arial" w:eastAsia="Arial" w:hAnsi="Arial"/>
                <w:sz w:val="17"/>
                <w:szCs w:val="17"/>
                <w:b w:val="1"/>
                <w:bCs w:val="1"/>
                <w:color w:val="auto"/>
                <w:w w:val="85"/>
              </w:rPr>
              <w:t>Effectiveness Testing)</w:t>
            </w:r>
          </w:p>
        </w:tc>
      </w:tr>
      <w:tr>
        <w:trPr>
          <w:trHeight w:val="26"/>
        </w:trPr>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20"/>
        </w:trPr>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376"/>
              <w:spacing w:after="0"/>
              <w:rPr>
                <w:sz w:val="20"/>
                <w:szCs w:val="20"/>
                <w:color w:val="auto"/>
              </w:rPr>
            </w:pPr>
            <w:r>
              <w:rPr>
                <w:rFonts w:ascii="Arial" w:cs="Arial" w:eastAsia="Arial" w:hAnsi="Arial"/>
                <w:sz w:val="17"/>
                <w:szCs w:val="17"/>
                <w:b w:val="1"/>
                <w:bCs w:val="1"/>
                <w:color w:val="auto"/>
              </w:rPr>
              <w:t>2016</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376"/>
              <w:spacing w:after="0"/>
              <w:rPr>
                <w:sz w:val="20"/>
                <w:szCs w:val="20"/>
                <w:color w:val="auto"/>
              </w:rPr>
            </w:pPr>
            <w:r>
              <w:rPr>
                <w:rFonts w:ascii="Arial" w:cs="Arial" w:eastAsia="Arial" w:hAnsi="Arial"/>
                <w:sz w:val="17"/>
                <w:szCs w:val="17"/>
                <w:b w:val="1"/>
                <w:bCs w:val="1"/>
                <w:color w:val="auto"/>
              </w:rPr>
              <w:t>2015</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ind w:right="256"/>
              <w:spacing w:after="0"/>
              <w:rPr>
                <w:sz w:val="20"/>
                <w:szCs w:val="20"/>
                <w:color w:val="auto"/>
              </w:rPr>
            </w:pPr>
            <w:r>
              <w:rPr>
                <w:rFonts w:ascii="Arial" w:cs="Arial" w:eastAsia="Arial" w:hAnsi="Arial"/>
                <w:sz w:val="17"/>
                <w:szCs w:val="17"/>
                <w:b w:val="1"/>
                <w:bCs w:val="1"/>
                <w:color w:val="auto"/>
                <w:w w:val="95"/>
              </w:rPr>
              <w:t>2016</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jc w:val="right"/>
              <w:ind w:right="256"/>
              <w:spacing w:after="0"/>
              <w:rPr>
                <w:sz w:val="20"/>
                <w:szCs w:val="20"/>
                <w:color w:val="auto"/>
              </w:rPr>
            </w:pPr>
            <w:r>
              <w:rPr>
                <w:rFonts w:ascii="Arial" w:cs="Arial" w:eastAsia="Arial" w:hAnsi="Arial"/>
                <w:sz w:val="17"/>
                <w:szCs w:val="17"/>
                <w:b w:val="1"/>
                <w:bCs w:val="1"/>
                <w:color w:val="auto"/>
                <w:w w:val="84"/>
              </w:rPr>
              <w:t>2015</w:t>
            </w:r>
          </w:p>
        </w:tc>
        <w:tc>
          <w:tcPr>
            <w:tcW w:w="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ind w:right="156"/>
              <w:spacing w:after="0"/>
              <w:rPr>
                <w:sz w:val="20"/>
                <w:szCs w:val="20"/>
                <w:color w:val="auto"/>
              </w:rPr>
            </w:pPr>
            <w:r>
              <w:rPr>
                <w:rFonts w:ascii="Arial" w:cs="Arial" w:eastAsia="Arial" w:hAnsi="Arial"/>
                <w:sz w:val="17"/>
                <w:szCs w:val="17"/>
                <w:b w:val="1"/>
                <w:bCs w:val="1"/>
                <w:color w:val="auto"/>
              </w:rPr>
              <w:t>2016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ind w:right="256"/>
              <w:spacing w:after="0"/>
              <w:rPr>
                <w:sz w:val="20"/>
                <w:szCs w:val="20"/>
                <w:color w:val="auto"/>
              </w:rPr>
            </w:pPr>
            <w:r>
              <w:rPr>
                <w:rFonts w:ascii="Arial" w:cs="Arial" w:eastAsia="Arial" w:hAnsi="Arial"/>
                <w:sz w:val="17"/>
                <w:szCs w:val="17"/>
                <w:b w:val="1"/>
                <w:bCs w:val="1"/>
                <w:color w:val="auto"/>
              </w:rPr>
              <w:t>2015</w:t>
            </w:r>
          </w:p>
        </w:tc>
      </w:tr>
      <w:tr>
        <w:trPr>
          <w:trHeight w:val="26"/>
        </w:trPr>
        <w:tc>
          <w:tcPr>
            <w:tcW w:w="10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95"/>
        </w:trPr>
        <w:tc>
          <w:tcPr>
            <w:tcW w:w="1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Foreign</w:t>
            </w:r>
          </w:p>
        </w:tc>
        <w:tc>
          <w:tcPr>
            <w:tcW w:w="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4,160</w:t>
            </w: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(2,741)</w:t>
            </w: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Foreign exchange</w:t>
            </w:r>
          </w:p>
        </w:tc>
        <w:tc>
          <w:tcPr>
            <w:tcW w:w="28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872</w:t>
            </w:r>
          </w:p>
        </w:tc>
        <w:tc>
          <w:tcPr>
            <w:tcW w:w="14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(963)</w:t>
            </w:r>
          </w:p>
        </w:tc>
        <w:tc>
          <w:tcPr>
            <w:tcW w:w="60" w:type="dxa"/>
            <w:vAlign w:val="bottom"/>
            <w:shd w:val="clear" w:color="auto" w:fill="CCEEFF"/>
          </w:tcPr>
          <w:p>
            <w:pPr>
              <w:spacing w:after="0"/>
              <w:rPr>
                <w:sz w:val="16"/>
                <w:szCs w:val="16"/>
                <w:color w:val="auto"/>
              </w:rPr>
            </w:pPr>
          </w:p>
        </w:tc>
        <w:tc>
          <w:tcPr>
            <w:tcW w:w="18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Foreign exchange</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gridSpan w:val="3"/>
            <w:shd w:val="clear" w:color="auto" w:fill="CCEEFF"/>
          </w:tcPr>
          <w:p>
            <w:pPr>
              <w:ind w:left="440"/>
              <w:spacing w:after="0"/>
              <w:rPr>
                <w:sz w:val="20"/>
                <w:szCs w:val="20"/>
                <w:color w:val="auto"/>
              </w:rPr>
            </w:pPr>
            <w:r>
              <w:rPr>
                <w:rFonts w:ascii="Arial" w:cs="Arial" w:eastAsia="Arial" w:hAnsi="Arial"/>
                <w:sz w:val="17"/>
                <w:szCs w:val="17"/>
                <w:color w:val="auto"/>
              </w:rPr>
              <w:t>—   $</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r>
      <w:tr>
        <w:trPr>
          <w:trHeight w:val="202"/>
        </w:trPr>
        <w:tc>
          <w:tcPr>
            <w:tcW w:w="1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exchange</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gain/(loss)</w:t>
            </w: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gain/(loss)</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20"/>
        </w:trPr>
        <w:tc>
          <w:tcPr>
            <w:tcW w:w="1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contracts</w:t>
            </w:r>
          </w:p>
        </w:tc>
        <w:tc>
          <w:tcPr>
            <w:tcW w:w="2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7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r>
      <w:tr>
        <w:trPr>
          <w:trHeight w:val="429"/>
        </w:trPr>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rPr>
              <w:t>18</w:t>
            </w: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1520"/>
          </w:cols>
          <w:pgMar w:left="240" w:top="123" w:right="139" w:bottom="1440" w:gutter="0" w:footer="0" w:header="0"/>
        </w:sectPr>
      </w:pPr>
    </w:p>
    <w:bookmarkStart w:id="18" w:name="page19"/>
    <w:bookmarkEnd w:id="18"/>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23" w:lineRule="exact"/>
        <w:rPr>
          <w:sz w:val="20"/>
          <w:szCs w:val="20"/>
          <w:color w:val="auto"/>
        </w:rPr>
      </w:pPr>
    </w:p>
    <w:p>
      <w:pPr>
        <w:ind w:left="4480"/>
        <w:spacing w:after="0"/>
        <w:rPr>
          <w:sz w:val="20"/>
          <w:szCs w:val="20"/>
          <w:color w:val="auto"/>
        </w:rPr>
      </w:pPr>
      <w:r>
        <w:rPr>
          <w:rFonts w:ascii="Arial" w:cs="Arial" w:eastAsia="Arial" w:hAnsi="Arial"/>
          <w:sz w:val="17"/>
          <w:szCs w:val="17"/>
          <w:b w:val="1"/>
          <w:bCs w:val="1"/>
          <w:color w:val="auto"/>
        </w:rPr>
        <w:t>EXLSERVICE HOLDINGS, INC.</w:t>
      </w:r>
    </w:p>
    <w:p>
      <w:pPr>
        <w:spacing w:after="0" w:line="92" w:lineRule="exact"/>
        <w:rPr>
          <w:sz w:val="20"/>
          <w:szCs w:val="20"/>
          <w:color w:val="auto"/>
        </w:rPr>
      </w:pPr>
    </w:p>
    <w:p>
      <w:pPr>
        <w:ind w:left="2480"/>
        <w:spacing w:after="0"/>
        <w:rPr>
          <w:sz w:val="20"/>
          <w:szCs w:val="20"/>
          <w:color w:val="auto"/>
        </w:rPr>
      </w:pPr>
      <w:r>
        <w:rPr>
          <w:rFonts w:ascii="Arial" w:cs="Arial" w:eastAsia="Arial" w:hAnsi="Arial"/>
          <w:sz w:val="17"/>
          <w:szCs w:val="17"/>
          <w:b w:val="1"/>
          <w:bCs w:val="1"/>
          <w:color w:val="auto"/>
        </w:rPr>
        <w:t>NOTES TO UNAUDITED CONSOLIDATED FINANCIAL STATEMENTS—(continued)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September 30, 2016</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2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40" w:type="dxa"/>
            <w:vAlign w:val="bottom"/>
            <w:gridSpan w:val="4"/>
          </w:tcPr>
          <w:p>
            <w:pPr>
              <w:jc w:val="center"/>
              <w:ind w:left="96"/>
              <w:spacing w:after="0"/>
              <w:rPr>
                <w:sz w:val="20"/>
                <w:szCs w:val="20"/>
                <w:color w:val="auto"/>
              </w:rPr>
            </w:pPr>
            <w:r>
              <w:rPr>
                <w:rFonts w:ascii="Arial" w:cs="Arial" w:eastAsia="Arial" w:hAnsi="Arial"/>
                <w:sz w:val="17"/>
                <w:szCs w:val="17"/>
                <w:b w:val="1"/>
                <w:bCs w:val="1"/>
                <w:color w:val="auto"/>
                <w:w w:val="90"/>
              </w:rPr>
              <w:t>Amount of Gain/(Loss)</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2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40" w:type="dxa"/>
            <w:vAlign w:val="bottom"/>
            <w:gridSpan w:val="4"/>
          </w:tcPr>
          <w:p>
            <w:pPr>
              <w:jc w:val="center"/>
              <w:ind w:left="96"/>
              <w:spacing w:after="0"/>
              <w:rPr>
                <w:sz w:val="20"/>
                <w:szCs w:val="20"/>
                <w:color w:val="auto"/>
              </w:rPr>
            </w:pPr>
            <w:r>
              <w:rPr>
                <w:rFonts w:ascii="Arial" w:cs="Arial" w:eastAsia="Arial" w:hAnsi="Arial"/>
                <w:sz w:val="17"/>
                <w:szCs w:val="17"/>
                <w:b w:val="1"/>
                <w:bCs w:val="1"/>
                <w:color w:val="auto"/>
                <w:w w:val="88"/>
              </w:rPr>
              <w:t>Recognized in Income</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gridSpan w:val="4"/>
          </w:tcPr>
          <w:p>
            <w:pPr>
              <w:jc w:val="center"/>
              <w:ind w:left="76"/>
              <w:spacing w:after="0"/>
              <w:rPr>
                <w:sz w:val="20"/>
                <w:szCs w:val="20"/>
                <w:color w:val="auto"/>
              </w:rPr>
            </w:pPr>
            <w:r>
              <w:rPr>
                <w:rFonts w:ascii="Arial" w:cs="Arial" w:eastAsia="Arial" w:hAnsi="Arial"/>
                <w:sz w:val="17"/>
                <w:szCs w:val="17"/>
                <w:b w:val="1"/>
                <w:bCs w:val="1"/>
                <w:color w:val="auto"/>
                <w:w w:val="89"/>
              </w:rPr>
              <w:t>on Derivatives</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140" w:type="dxa"/>
            <w:vAlign w:val="bottom"/>
            <w:gridSpan w:val="3"/>
            <w:vMerge w:val="restart"/>
          </w:tcPr>
          <w:p>
            <w:pPr>
              <w:ind w:left="20"/>
              <w:spacing w:after="0"/>
              <w:rPr>
                <w:sz w:val="20"/>
                <w:szCs w:val="20"/>
                <w:color w:val="auto"/>
              </w:rPr>
            </w:pPr>
            <w:r>
              <w:rPr>
                <w:rFonts w:ascii="Arial" w:cs="Arial" w:eastAsia="Arial" w:hAnsi="Arial"/>
                <w:sz w:val="17"/>
                <w:szCs w:val="17"/>
                <w:b w:val="1"/>
                <w:bCs w:val="1"/>
                <w:color w:val="auto"/>
              </w:rPr>
              <w:t>Derivatives not designated</w:t>
            </w:r>
          </w:p>
        </w:tc>
        <w:tc>
          <w:tcPr>
            <w:tcW w:w="3980" w:type="dxa"/>
            <w:vAlign w:val="bottom"/>
            <w:gridSpan w:val="2"/>
            <w:vMerge w:val="restart"/>
          </w:tcPr>
          <w:p>
            <w:pPr>
              <w:jc w:val="right"/>
              <w:spacing w:after="0"/>
              <w:rPr>
                <w:sz w:val="20"/>
                <w:szCs w:val="20"/>
                <w:color w:val="auto"/>
              </w:rPr>
            </w:pPr>
            <w:r>
              <w:rPr>
                <w:rFonts w:ascii="Arial" w:cs="Arial" w:eastAsia="Arial" w:hAnsi="Arial"/>
                <w:sz w:val="17"/>
                <w:szCs w:val="17"/>
                <w:b w:val="1"/>
                <w:bCs w:val="1"/>
                <w:color w:val="auto"/>
              </w:rPr>
              <w:t>Location of Gain or (Loss) Recognized in</w:t>
            </w: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4140" w:type="dxa"/>
            <w:vAlign w:val="bottom"/>
            <w:gridSpan w:val="3"/>
            <w:vMerge w:val="continue"/>
          </w:tcPr>
          <w:p>
            <w:pPr>
              <w:spacing w:after="0"/>
              <w:rPr>
                <w:sz w:val="16"/>
                <w:szCs w:val="16"/>
                <w:color w:val="auto"/>
              </w:rPr>
            </w:pPr>
          </w:p>
        </w:tc>
        <w:tc>
          <w:tcPr>
            <w:tcW w:w="3980" w:type="dxa"/>
            <w:vAlign w:val="bottom"/>
            <w:gridSpan w:val="2"/>
            <w:vMerge w:val="continue"/>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140" w:type="dxa"/>
            <w:vAlign w:val="bottom"/>
            <w:gridSpan w:val="3"/>
          </w:tcPr>
          <w:p>
            <w:pPr>
              <w:ind w:left="20"/>
              <w:spacing w:after="0"/>
              <w:rPr>
                <w:sz w:val="20"/>
                <w:szCs w:val="20"/>
                <w:color w:val="auto"/>
              </w:rPr>
            </w:pPr>
            <w:r>
              <w:rPr>
                <w:rFonts w:ascii="Arial" w:cs="Arial" w:eastAsia="Arial" w:hAnsi="Arial"/>
                <w:sz w:val="17"/>
                <w:szCs w:val="17"/>
                <w:b w:val="1"/>
                <w:bCs w:val="1"/>
                <w:color w:val="auto"/>
              </w:rPr>
              <w:t>as Hedging Instruments</w:t>
            </w:r>
          </w:p>
        </w:tc>
        <w:tc>
          <w:tcPr>
            <w:tcW w:w="3980" w:type="dxa"/>
            <w:vAlign w:val="bottom"/>
            <w:gridSpan w:val="2"/>
          </w:tcPr>
          <w:p>
            <w:pPr>
              <w:jc w:val="right"/>
              <w:ind w:right="636"/>
              <w:spacing w:after="0"/>
              <w:rPr>
                <w:sz w:val="20"/>
                <w:szCs w:val="20"/>
                <w:color w:val="auto"/>
              </w:rPr>
            </w:pPr>
            <w:r>
              <w:rPr>
                <w:rFonts w:ascii="Arial" w:cs="Arial" w:eastAsia="Arial" w:hAnsi="Arial"/>
                <w:sz w:val="17"/>
                <w:szCs w:val="17"/>
                <w:b w:val="1"/>
                <w:bCs w:val="1"/>
                <w:color w:val="auto"/>
              </w:rPr>
              <w:t>Income on Derivatives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256"/>
              <w:spacing w:after="0"/>
              <w:rPr>
                <w:sz w:val="20"/>
                <w:szCs w:val="20"/>
                <w:color w:val="auto"/>
              </w:rPr>
            </w:pPr>
            <w:r>
              <w:rPr>
                <w:rFonts w:ascii="Arial" w:cs="Arial" w:eastAsia="Arial" w:hAnsi="Arial"/>
                <w:sz w:val="17"/>
                <w:szCs w:val="17"/>
                <w:b w:val="1"/>
                <w:bCs w:val="1"/>
                <w:color w:val="auto"/>
              </w:rPr>
              <w:t>2016</w:t>
            </w: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auto"/>
              </w:rPr>
              <w:t>2015</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2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41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color w:val="auto"/>
              </w:rPr>
              <w:t>Foreign exchange contracts</w:t>
            </w:r>
          </w:p>
        </w:tc>
        <w:tc>
          <w:tcPr>
            <w:tcW w:w="3980" w:type="dxa"/>
            <w:vAlign w:val="bottom"/>
            <w:tcBorders>
              <w:bottom w:val="single" w:sz="8" w:color="CCEEFF"/>
            </w:tcBorders>
            <w:gridSpan w:val="2"/>
            <w:shd w:val="clear" w:color="auto" w:fill="CCEEFF"/>
          </w:tcPr>
          <w:p>
            <w:pPr>
              <w:jc w:val="right"/>
              <w:ind w:right="1916"/>
              <w:spacing w:after="0"/>
              <w:rPr>
                <w:sz w:val="20"/>
                <w:szCs w:val="20"/>
                <w:color w:val="auto"/>
              </w:rPr>
            </w:pPr>
            <w:r>
              <w:rPr>
                <w:rFonts w:ascii="Arial" w:cs="Arial" w:eastAsia="Arial" w:hAnsi="Arial"/>
                <w:sz w:val="17"/>
                <w:szCs w:val="17"/>
                <w:color w:val="auto"/>
                <w:w w:val="89"/>
              </w:rPr>
              <w:t>Foreign exchange gain/(loss)</w:t>
            </w:r>
          </w:p>
        </w:tc>
        <w:tc>
          <w:tcPr>
            <w:tcW w:w="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4,110</w:t>
            </w:r>
          </w:p>
        </w:tc>
        <w:tc>
          <w:tcPr>
            <w:tcW w:w="1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516"/>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w w:val="84"/>
              </w:rPr>
              <w:t>94</w:t>
            </w:r>
          </w:p>
        </w:tc>
        <w:tc>
          <w:tcPr>
            <w:tcW w:w="0" w:type="dxa"/>
            <w:vAlign w:val="bottom"/>
          </w:tcPr>
          <w:p>
            <w:pPr>
              <w:spacing w:after="0"/>
              <w:rPr>
                <w:sz w:val="1"/>
                <w:szCs w:val="1"/>
                <w:color w:val="auto"/>
              </w:rPr>
            </w:pPr>
          </w:p>
        </w:tc>
      </w:tr>
      <w:tr>
        <w:trPr>
          <w:trHeight w:val="505"/>
        </w:trPr>
        <w:tc>
          <w:tcPr>
            <w:tcW w:w="4140" w:type="dxa"/>
            <w:vAlign w:val="bottom"/>
            <w:gridSpan w:val="3"/>
          </w:tcPr>
          <w:p>
            <w:pPr>
              <w:spacing w:after="0"/>
              <w:rPr>
                <w:sz w:val="20"/>
                <w:szCs w:val="20"/>
                <w:color w:val="auto"/>
              </w:rPr>
            </w:pPr>
            <w:r>
              <w:rPr>
                <w:rFonts w:ascii="Arial" w:cs="Arial" w:eastAsia="Arial" w:hAnsi="Arial"/>
                <w:sz w:val="17"/>
                <w:szCs w:val="17"/>
                <w:b w:val="1"/>
                <w:bCs w:val="1"/>
                <w:color w:val="auto"/>
              </w:rPr>
              <w:t>8. Fixed Assets</w:t>
            </w:r>
          </w:p>
        </w:tc>
        <w:tc>
          <w:tcPr>
            <w:tcW w:w="26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4140" w:type="dxa"/>
            <w:vAlign w:val="bottom"/>
            <w:gridSpan w:val="3"/>
          </w:tcPr>
          <w:p>
            <w:pPr>
              <w:ind w:left="400"/>
              <w:spacing w:after="0"/>
              <w:rPr>
                <w:sz w:val="20"/>
                <w:szCs w:val="20"/>
                <w:color w:val="auto"/>
              </w:rPr>
            </w:pPr>
            <w:r>
              <w:rPr>
                <w:rFonts w:ascii="Arial" w:cs="Arial" w:eastAsia="Arial" w:hAnsi="Arial"/>
                <w:sz w:val="17"/>
                <w:szCs w:val="17"/>
                <w:color w:val="auto"/>
              </w:rPr>
              <w:t>Fixed assets consist of the following:</w:t>
            </w:r>
          </w:p>
        </w:tc>
        <w:tc>
          <w:tcPr>
            <w:tcW w:w="26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5"/>
        </w:trPr>
        <w:tc>
          <w:tcPr>
            <w:tcW w:w="4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220" w:type="dxa"/>
            <w:vAlign w:val="bottom"/>
            <w:gridSpan w:val="3"/>
          </w:tcPr>
          <w:p>
            <w:pPr>
              <w:ind w:left="360"/>
              <w:spacing w:after="0"/>
              <w:rPr>
                <w:sz w:val="20"/>
                <w:szCs w:val="20"/>
                <w:color w:val="auto"/>
              </w:rPr>
            </w:pPr>
            <w:r>
              <w:rPr>
                <w:rFonts w:ascii="Arial" w:cs="Arial" w:eastAsia="Arial" w:hAnsi="Arial"/>
                <w:sz w:val="17"/>
                <w:szCs w:val="17"/>
                <w:b w:val="1"/>
                <w:bCs w:val="1"/>
                <w:color w:val="auto"/>
              </w:rPr>
              <w:t>September 30, 2016</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40" w:type="dxa"/>
            <w:vAlign w:val="bottom"/>
            <w:gridSpan w:val="4"/>
          </w:tcPr>
          <w:p>
            <w:pPr>
              <w:jc w:val="right"/>
              <w:ind w:right="460"/>
              <w:spacing w:after="0"/>
              <w:rPr>
                <w:sz w:val="20"/>
                <w:szCs w:val="20"/>
                <w:color w:val="auto"/>
              </w:rPr>
            </w:pPr>
            <w:r>
              <w:rPr>
                <w:rFonts w:ascii="Arial" w:cs="Arial" w:eastAsia="Arial" w:hAnsi="Arial"/>
                <w:sz w:val="17"/>
                <w:szCs w:val="17"/>
                <w:b w:val="1"/>
                <w:bCs w:val="1"/>
                <w:color w:val="auto"/>
                <w:w w:val="88"/>
              </w:rPr>
              <w:t>December 31, 2015</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420" w:type="dxa"/>
            <w:vAlign w:val="bottom"/>
          </w:tcPr>
          <w:p>
            <w:pPr>
              <w:spacing w:after="0"/>
              <w:rPr>
                <w:sz w:val="2"/>
                <w:szCs w:val="2"/>
                <w:color w:val="auto"/>
              </w:rPr>
            </w:pPr>
          </w:p>
        </w:tc>
        <w:tc>
          <w:tcPr>
            <w:tcW w:w="3720" w:type="dxa"/>
            <w:vAlign w:val="bottom"/>
            <w:tcBorders>
              <w:bottom w:val="single" w:sz="8" w:color="CCEEFF"/>
            </w:tcBorders>
            <w:gridSpan w:val="2"/>
          </w:tcPr>
          <w:p>
            <w:pPr>
              <w:spacing w:after="0"/>
              <w:rPr>
                <w:sz w:val="2"/>
                <w:szCs w:val="2"/>
                <w:color w:val="auto"/>
              </w:rPr>
            </w:pPr>
          </w:p>
        </w:tc>
        <w:tc>
          <w:tcPr>
            <w:tcW w:w="264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420" w:type="dxa"/>
            <w:vAlign w:val="bottom"/>
          </w:tcPr>
          <w:p>
            <w:pPr>
              <w:spacing w:after="0"/>
              <w:rPr>
                <w:sz w:val="19"/>
                <w:szCs w:val="19"/>
                <w:color w:val="auto"/>
              </w:rPr>
            </w:pPr>
          </w:p>
        </w:tc>
        <w:tc>
          <w:tcPr>
            <w:tcW w:w="3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Owned Assets:</w:t>
            </w:r>
          </w:p>
        </w:tc>
        <w:tc>
          <w:tcPr>
            <w:tcW w:w="264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0" w:type="dxa"/>
            <w:vAlign w:val="bottom"/>
          </w:tcPr>
          <w:p>
            <w:pPr>
              <w:spacing w:after="0"/>
              <w:rPr>
                <w:sz w:val="19"/>
                <w:szCs w:val="19"/>
                <w:color w:val="auto"/>
              </w:rPr>
            </w:pPr>
          </w:p>
        </w:tc>
        <w:tc>
          <w:tcPr>
            <w:tcW w:w="3720" w:type="dxa"/>
            <w:vAlign w:val="bottom"/>
            <w:gridSpan w:val="2"/>
          </w:tcPr>
          <w:p>
            <w:pPr>
              <w:ind w:left="360"/>
              <w:spacing w:after="0"/>
              <w:rPr>
                <w:sz w:val="20"/>
                <w:szCs w:val="20"/>
                <w:color w:val="auto"/>
              </w:rPr>
            </w:pPr>
            <w:r>
              <w:rPr>
                <w:rFonts w:ascii="Arial" w:cs="Arial" w:eastAsia="Arial" w:hAnsi="Arial"/>
                <w:sz w:val="17"/>
                <w:szCs w:val="17"/>
                <w:color w:val="auto"/>
                <w:w w:val="99"/>
              </w:rPr>
              <w:t>Network equipment, computers and software</w:t>
            </w:r>
          </w:p>
        </w:tc>
        <w:tc>
          <w:tcPr>
            <w:tcW w:w="3980" w:type="dxa"/>
            <w:vAlign w:val="bottom"/>
            <w:gridSpan w:val="2"/>
          </w:tcPr>
          <w:p>
            <w:pPr>
              <w:jc w:val="right"/>
              <w:ind w:right="1156"/>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16"/>
              <w:spacing w:after="0"/>
              <w:rPr>
                <w:sz w:val="20"/>
                <w:szCs w:val="20"/>
                <w:color w:val="auto"/>
              </w:rPr>
            </w:pPr>
            <w:r>
              <w:rPr>
                <w:rFonts w:ascii="Arial" w:cs="Arial" w:eastAsia="Arial" w:hAnsi="Arial"/>
                <w:sz w:val="17"/>
                <w:szCs w:val="17"/>
                <w:color w:val="auto"/>
              </w:rPr>
              <w:t>104,843</w:t>
            </w:r>
          </w:p>
        </w:tc>
        <w:tc>
          <w:tcPr>
            <w:tcW w:w="100" w:type="dxa"/>
            <w:vAlign w:val="bottom"/>
          </w:tcPr>
          <w:p>
            <w:pPr>
              <w:spacing w:after="0"/>
              <w:rPr>
                <w:sz w:val="19"/>
                <w:szCs w:val="19"/>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7"/>
                <w:szCs w:val="17"/>
                <w:color w:val="auto"/>
                <w:w w:val="84"/>
              </w:rPr>
              <w:t>$</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ind w:right="16"/>
              <w:spacing w:after="0"/>
              <w:rPr>
                <w:sz w:val="20"/>
                <w:szCs w:val="20"/>
                <w:color w:val="auto"/>
              </w:rPr>
            </w:pPr>
            <w:r>
              <w:rPr>
                <w:rFonts w:ascii="Arial" w:cs="Arial" w:eastAsia="Arial" w:hAnsi="Arial"/>
                <w:sz w:val="17"/>
                <w:szCs w:val="17"/>
                <w:color w:val="auto"/>
              </w:rPr>
              <w:t>95,245</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420" w:type="dxa"/>
            <w:vAlign w:val="bottom"/>
          </w:tcPr>
          <w:p>
            <w:pPr>
              <w:spacing w:after="0"/>
              <w:rPr>
                <w:sz w:val="2"/>
                <w:szCs w:val="2"/>
                <w:color w:val="auto"/>
              </w:rPr>
            </w:pPr>
          </w:p>
        </w:tc>
        <w:tc>
          <w:tcPr>
            <w:tcW w:w="3720" w:type="dxa"/>
            <w:vAlign w:val="bottom"/>
            <w:gridSpan w:val="2"/>
          </w:tcPr>
          <w:p>
            <w:pPr>
              <w:spacing w:after="0"/>
              <w:rPr>
                <w:sz w:val="2"/>
                <w:szCs w:val="2"/>
                <w:color w:val="auto"/>
              </w:rPr>
            </w:pPr>
          </w:p>
        </w:tc>
        <w:tc>
          <w:tcPr>
            <w:tcW w:w="26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420" w:type="dxa"/>
            <w:vAlign w:val="bottom"/>
          </w:tcPr>
          <w:p>
            <w:pPr>
              <w:spacing w:after="0"/>
              <w:rPr>
                <w:sz w:val="20"/>
                <w:szCs w:val="20"/>
                <w:color w:val="auto"/>
              </w:rPr>
            </w:pPr>
          </w:p>
        </w:tc>
        <w:tc>
          <w:tcPr>
            <w:tcW w:w="37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7"/>
                <w:szCs w:val="17"/>
                <w:color w:val="auto"/>
              </w:rPr>
              <w:t>Leasehold improvements</w:t>
            </w:r>
          </w:p>
        </w:tc>
        <w:tc>
          <w:tcPr>
            <w:tcW w:w="26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30,383</w:t>
            </w:r>
          </w:p>
        </w:tc>
        <w:tc>
          <w:tcPr>
            <w:tcW w:w="1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28,603</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420" w:type="dxa"/>
            <w:vAlign w:val="bottom"/>
          </w:tcPr>
          <w:p>
            <w:pPr>
              <w:spacing w:after="0"/>
              <w:rPr>
                <w:sz w:val="19"/>
                <w:szCs w:val="19"/>
                <w:color w:val="auto"/>
              </w:rPr>
            </w:pPr>
          </w:p>
        </w:tc>
        <w:tc>
          <w:tcPr>
            <w:tcW w:w="3720" w:type="dxa"/>
            <w:vAlign w:val="bottom"/>
            <w:gridSpan w:val="2"/>
          </w:tcPr>
          <w:p>
            <w:pPr>
              <w:ind w:left="360"/>
              <w:spacing w:after="0"/>
              <w:rPr>
                <w:sz w:val="20"/>
                <w:szCs w:val="20"/>
                <w:color w:val="auto"/>
              </w:rPr>
            </w:pPr>
            <w:r>
              <w:rPr>
                <w:rFonts w:ascii="Arial" w:cs="Arial" w:eastAsia="Arial" w:hAnsi="Arial"/>
                <w:sz w:val="17"/>
                <w:szCs w:val="17"/>
                <w:color w:val="auto"/>
              </w:rPr>
              <w:t>Office furniture and equipment</w:t>
            </w:r>
          </w:p>
        </w:tc>
        <w:tc>
          <w:tcPr>
            <w:tcW w:w="26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780" w:type="dxa"/>
            <w:vAlign w:val="bottom"/>
          </w:tcPr>
          <w:p>
            <w:pPr>
              <w:jc w:val="right"/>
              <w:ind w:right="16"/>
              <w:spacing w:after="0"/>
              <w:rPr>
                <w:sz w:val="20"/>
                <w:szCs w:val="20"/>
                <w:color w:val="auto"/>
              </w:rPr>
            </w:pPr>
            <w:r>
              <w:rPr>
                <w:rFonts w:ascii="Arial" w:cs="Arial" w:eastAsia="Arial" w:hAnsi="Arial"/>
                <w:sz w:val="17"/>
                <w:szCs w:val="17"/>
                <w:color w:val="auto"/>
              </w:rPr>
              <w:t>15,146</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ind w:right="16"/>
              <w:spacing w:after="0"/>
              <w:rPr>
                <w:sz w:val="20"/>
                <w:szCs w:val="20"/>
                <w:color w:val="auto"/>
              </w:rPr>
            </w:pPr>
            <w:r>
              <w:rPr>
                <w:rFonts w:ascii="Arial" w:cs="Arial" w:eastAsia="Arial" w:hAnsi="Arial"/>
                <w:sz w:val="17"/>
                <w:szCs w:val="17"/>
                <w:color w:val="auto"/>
              </w:rPr>
              <w:t>14,000</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420" w:type="dxa"/>
            <w:vAlign w:val="bottom"/>
          </w:tcPr>
          <w:p>
            <w:pPr>
              <w:spacing w:after="0"/>
              <w:rPr>
                <w:sz w:val="2"/>
                <w:szCs w:val="2"/>
                <w:color w:val="auto"/>
              </w:rPr>
            </w:pPr>
          </w:p>
        </w:tc>
        <w:tc>
          <w:tcPr>
            <w:tcW w:w="3720" w:type="dxa"/>
            <w:vAlign w:val="bottom"/>
            <w:gridSpan w:val="2"/>
          </w:tcPr>
          <w:p>
            <w:pPr>
              <w:spacing w:after="0"/>
              <w:rPr>
                <w:sz w:val="2"/>
                <w:szCs w:val="2"/>
                <w:color w:val="auto"/>
              </w:rPr>
            </w:pPr>
          </w:p>
        </w:tc>
        <w:tc>
          <w:tcPr>
            <w:tcW w:w="26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420" w:type="dxa"/>
            <w:vAlign w:val="bottom"/>
          </w:tcPr>
          <w:p>
            <w:pPr>
              <w:spacing w:after="0"/>
              <w:rPr>
                <w:sz w:val="20"/>
                <w:szCs w:val="20"/>
                <w:color w:val="auto"/>
              </w:rPr>
            </w:pPr>
          </w:p>
        </w:tc>
        <w:tc>
          <w:tcPr>
            <w:tcW w:w="37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7"/>
                <w:szCs w:val="17"/>
                <w:color w:val="auto"/>
              </w:rPr>
              <w:t>Capital work in progress</w:t>
            </w:r>
          </w:p>
        </w:tc>
        <w:tc>
          <w:tcPr>
            <w:tcW w:w="26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5,554</w:t>
            </w:r>
          </w:p>
        </w:tc>
        <w:tc>
          <w:tcPr>
            <w:tcW w:w="1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3,140</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420" w:type="dxa"/>
            <w:vAlign w:val="bottom"/>
          </w:tcPr>
          <w:p>
            <w:pPr>
              <w:spacing w:after="0"/>
              <w:rPr>
                <w:sz w:val="19"/>
                <w:szCs w:val="19"/>
                <w:color w:val="auto"/>
              </w:rPr>
            </w:pPr>
          </w:p>
        </w:tc>
        <w:tc>
          <w:tcPr>
            <w:tcW w:w="3720" w:type="dxa"/>
            <w:vAlign w:val="bottom"/>
            <w:gridSpan w:val="2"/>
          </w:tcPr>
          <w:p>
            <w:pPr>
              <w:ind w:left="360"/>
              <w:spacing w:after="0"/>
              <w:rPr>
                <w:sz w:val="20"/>
                <w:szCs w:val="20"/>
                <w:color w:val="auto"/>
              </w:rPr>
            </w:pPr>
            <w:r>
              <w:rPr>
                <w:rFonts w:ascii="Arial" w:cs="Arial" w:eastAsia="Arial" w:hAnsi="Arial"/>
                <w:sz w:val="17"/>
                <w:szCs w:val="17"/>
                <w:color w:val="auto"/>
              </w:rPr>
              <w:t>Buildings</w:t>
            </w:r>
          </w:p>
        </w:tc>
        <w:tc>
          <w:tcPr>
            <w:tcW w:w="26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780" w:type="dxa"/>
            <w:vAlign w:val="bottom"/>
          </w:tcPr>
          <w:p>
            <w:pPr>
              <w:jc w:val="right"/>
              <w:ind w:right="16"/>
              <w:spacing w:after="0"/>
              <w:rPr>
                <w:sz w:val="20"/>
                <w:szCs w:val="20"/>
                <w:color w:val="auto"/>
              </w:rPr>
            </w:pPr>
            <w:r>
              <w:rPr>
                <w:rFonts w:ascii="Arial" w:cs="Arial" w:eastAsia="Arial" w:hAnsi="Arial"/>
                <w:sz w:val="17"/>
                <w:szCs w:val="17"/>
                <w:color w:val="auto"/>
              </w:rPr>
              <w:t>1,194</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ind w:right="16"/>
              <w:spacing w:after="0"/>
              <w:rPr>
                <w:sz w:val="20"/>
                <w:szCs w:val="20"/>
                <w:color w:val="auto"/>
              </w:rPr>
            </w:pPr>
            <w:r>
              <w:rPr>
                <w:rFonts w:ascii="Arial" w:cs="Arial" w:eastAsia="Arial" w:hAnsi="Arial"/>
                <w:sz w:val="17"/>
                <w:szCs w:val="17"/>
                <w:color w:val="auto"/>
              </w:rPr>
              <w:t>1,202</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420" w:type="dxa"/>
            <w:vAlign w:val="bottom"/>
          </w:tcPr>
          <w:p>
            <w:pPr>
              <w:spacing w:after="0"/>
              <w:rPr>
                <w:sz w:val="2"/>
                <w:szCs w:val="2"/>
                <w:color w:val="auto"/>
              </w:rPr>
            </w:pPr>
          </w:p>
        </w:tc>
        <w:tc>
          <w:tcPr>
            <w:tcW w:w="3720" w:type="dxa"/>
            <w:vAlign w:val="bottom"/>
            <w:gridSpan w:val="2"/>
          </w:tcPr>
          <w:p>
            <w:pPr>
              <w:spacing w:after="0"/>
              <w:rPr>
                <w:sz w:val="2"/>
                <w:szCs w:val="2"/>
                <w:color w:val="auto"/>
              </w:rPr>
            </w:pPr>
          </w:p>
        </w:tc>
        <w:tc>
          <w:tcPr>
            <w:tcW w:w="26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420" w:type="dxa"/>
            <w:vAlign w:val="bottom"/>
          </w:tcPr>
          <w:p>
            <w:pPr>
              <w:spacing w:after="0"/>
              <w:rPr>
                <w:sz w:val="20"/>
                <w:szCs w:val="20"/>
                <w:color w:val="auto"/>
              </w:rPr>
            </w:pPr>
          </w:p>
        </w:tc>
        <w:tc>
          <w:tcPr>
            <w:tcW w:w="37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7"/>
                <w:szCs w:val="17"/>
                <w:color w:val="auto"/>
              </w:rPr>
              <w:t>Land</w:t>
            </w:r>
          </w:p>
        </w:tc>
        <w:tc>
          <w:tcPr>
            <w:tcW w:w="26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781</w:t>
            </w:r>
          </w:p>
        </w:tc>
        <w:tc>
          <w:tcPr>
            <w:tcW w:w="1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787</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420" w:type="dxa"/>
            <w:vAlign w:val="bottom"/>
          </w:tcPr>
          <w:p>
            <w:pPr>
              <w:spacing w:after="0"/>
              <w:rPr>
                <w:sz w:val="19"/>
                <w:szCs w:val="19"/>
                <w:color w:val="auto"/>
              </w:rPr>
            </w:pPr>
          </w:p>
        </w:tc>
        <w:tc>
          <w:tcPr>
            <w:tcW w:w="3720" w:type="dxa"/>
            <w:vAlign w:val="bottom"/>
            <w:gridSpan w:val="2"/>
          </w:tcPr>
          <w:p>
            <w:pPr>
              <w:ind w:left="360"/>
              <w:spacing w:after="0"/>
              <w:rPr>
                <w:sz w:val="20"/>
                <w:szCs w:val="20"/>
                <w:color w:val="auto"/>
              </w:rPr>
            </w:pPr>
            <w:r>
              <w:rPr>
                <w:rFonts w:ascii="Arial" w:cs="Arial" w:eastAsia="Arial" w:hAnsi="Arial"/>
                <w:sz w:val="17"/>
                <w:szCs w:val="17"/>
                <w:color w:val="auto"/>
              </w:rPr>
              <w:t>Motor vehicles</w:t>
            </w:r>
          </w:p>
        </w:tc>
        <w:tc>
          <w:tcPr>
            <w:tcW w:w="26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780" w:type="dxa"/>
            <w:vAlign w:val="bottom"/>
          </w:tcPr>
          <w:p>
            <w:pPr>
              <w:jc w:val="right"/>
              <w:ind w:right="16"/>
              <w:spacing w:after="0"/>
              <w:rPr>
                <w:sz w:val="20"/>
                <w:szCs w:val="20"/>
                <w:color w:val="auto"/>
              </w:rPr>
            </w:pPr>
            <w:r>
              <w:rPr>
                <w:rFonts w:ascii="Arial" w:cs="Arial" w:eastAsia="Arial" w:hAnsi="Arial"/>
                <w:sz w:val="17"/>
                <w:szCs w:val="17"/>
                <w:color w:val="auto"/>
              </w:rPr>
              <w:t>565</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ind w:right="16"/>
              <w:spacing w:after="0"/>
              <w:rPr>
                <w:sz w:val="20"/>
                <w:szCs w:val="20"/>
                <w:color w:val="auto"/>
              </w:rPr>
            </w:pPr>
            <w:r>
              <w:rPr>
                <w:rFonts w:ascii="Arial" w:cs="Arial" w:eastAsia="Arial" w:hAnsi="Arial"/>
                <w:sz w:val="17"/>
                <w:szCs w:val="17"/>
                <w:color w:val="auto"/>
              </w:rPr>
              <w:t>540</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420" w:type="dxa"/>
            <w:vAlign w:val="bottom"/>
          </w:tcPr>
          <w:p>
            <w:pPr>
              <w:spacing w:after="0"/>
              <w:rPr>
                <w:sz w:val="2"/>
                <w:szCs w:val="2"/>
                <w:color w:val="auto"/>
              </w:rPr>
            </w:pPr>
          </w:p>
        </w:tc>
        <w:tc>
          <w:tcPr>
            <w:tcW w:w="35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64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420" w:type="dxa"/>
            <w:vAlign w:val="bottom"/>
          </w:tcPr>
          <w:p>
            <w:pPr>
              <w:spacing w:after="0"/>
              <w:rPr>
                <w:sz w:val="19"/>
                <w:szCs w:val="19"/>
                <w:color w:val="auto"/>
              </w:rPr>
            </w:pPr>
          </w:p>
        </w:tc>
        <w:tc>
          <w:tcPr>
            <w:tcW w:w="35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64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158,466</w:t>
            </w:r>
          </w:p>
        </w:tc>
        <w:tc>
          <w:tcPr>
            <w:tcW w:w="10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w w:val="97"/>
              </w:rPr>
              <w:t>143,517</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0" w:type="dxa"/>
            <w:vAlign w:val="bottom"/>
          </w:tcPr>
          <w:p>
            <w:pPr>
              <w:spacing w:after="0"/>
              <w:rPr>
                <w:sz w:val="19"/>
                <w:szCs w:val="19"/>
                <w:color w:val="auto"/>
              </w:rPr>
            </w:pPr>
          </w:p>
        </w:tc>
        <w:tc>
          <w:tcPr>
            <w:tcW w:w="3720" w:type="dxa"/>
            <w:vAlign w:val="bottom"/>
            <w:gridSpan w:val="2"/>
          </w:tcPr>
          <w:p>
            <w:pPr>
              <w:ind w:left="360"/>
              <w:spacing w:after="0"/>
              <w:rPr>
                <w:sz w:val="20"/>
                <w:szCs w:val="20"/>
                <w:color w:val="auto"/>
              </w:rPr>
            </w:pPr>
            <w:r>
              <w:rPr>
                <w:rFonts w:ascii="Arial" w:cs="Arial" w:eastAsia="Arial" w:hAnsi="Arial"/>
                <w:sz w:val="17"/>
                <w:szCs w:val="17"/>
                <w:color w:val="auto"/>
                <w:w w:val="89"/>
              </w:rPr>
              <w:t>Less: Accumulated depreciation and amortization</w:t>
            </w:r>
          </w:p>
        </w:tc>
        <w:tc>
          <w:tcPr>
            <w:tcW w:w="26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w w:val="98"/>
              </w:rPr>
              <w:t>(109,869)</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(96,079)</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420" w:type="dxa"/>
            <w:vAlign w:val="bottom"/>
          </w:tcPr>
          <w:p>
            <w:pPr>
              <w:spacing w:after="0"/>
              <w:rPr>
                <w:sz w:val="2"/>
                <w:szCs w:val="2"/>
                <w:color w:val="auto"/>
              </w:rPr>
            </w:pPr>
          </w:p>
        </w:tc>
        <w:tc>
          <w:tcPr>
            <w:tcW w:w="35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64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420" w:type="dxa"/>
            <w:vAlign w:val="bottom"/>
          </w:tcPr>
          <w:p>
            <w:pPr>
              <w:spacing w:after="0"/>
              <w:rPr>
                <w:sz w:val="21"/>
                <w:szCs w:val="21"/>
                <w:color w:val="auto"/>
              </w:rPr>
            </w:pPr>
          </w:p>
        </w:tc>
        <w:tc>
          <w:tcPr>
            <w:tcW w:w="35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980" w:type="dxa"/>
            <w:vAlign w:val="bottom"/>
            <w:tcBorders>
              <w:bottom w:val="single" w:sz="8" w:color="CCEEFF"/>
            </w:tcBorders>
            <w:gridSpan w:val="2"/>
            <w:shd w:val="clear" w:color="auto" w:fill="CCEEFF"/>
          </w:tcPr>
          <w:p>
            <w:pPr>
              <w:jc w:val="right"/>
              <w:ind w:right="1156"/>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48,597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84"/>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47,438</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420" w:type="dxa"/>
            <w:vAlign w:val="bottom"/>
          </w:tcPr>
          <w:p>
            <w:pPr>
              <w:spacing w:after="0"/>
              <w:rPr>
                <w:sz w:val="17"/>
                <w:szCs w:val="17"/>
                <w:color w:val="auto"/>
              </w:rPr>
            </w:pPr>
          </w:p>
        </w:tc>
        <w:tc>
          <w:tcPr>
            <w:tcW w:w="3720" w:type="dxa"/>
            <w:vAlign w:val="bottom"/>
            <w:gridSpan w:val="2"/>
          </w:tcPr>
          <w:p>
            <w:pPr>
              <w:ind w:left="20"/>
              <w:spacing w:after="0"/>
              <w:rPr>
                <w:sz w:val="20"/>
                <w:szCs w:val="20"/>
                <w:color w:val="auto"/>
              </w:rPr>
            </w:pPr>
            <w:r>
              <w:rPr>
                <w:rFonts w:ascii="Arial" w:cs="Arial" w:eastAsia="Arial" w:hAnsi="Arial"/>
                <w:sz w:val="17"/>
                <w:szCs w:val="17"/>
                <w:b w:val="1"/>
                <w:bCs w:val="1"/>
                <w:color w:val="auto"/>
              </w:rPr>
              <w:t>Assets under capital leases:</w:t>
            </w:r>
          </w:p>
        </w:tc>
        <w:tc>
          <w:tcPr>
            <w:tcW w:w="2640" w:type="dxa"/>
            <w:vAlign w:val="bottom"/>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
        </w:trPr>
        <w:tc>
          <w:tcPr>
            <w:tcW w:w="420" w:type="dxa"/>
            <w:vAlign w:val="bottom"/>
          </w:tcPr>
          <w:p>
            <w:pPr>
              <w:spacing w:after="0"/>
              <w:rPr>
                <w:sz w:val="3"/>
                <w:szCs w:val="3"/>
                <w:color w:val="auto"/>
              </w:rPr>
            </w:pPr>
          </w:p>
        </w:tc>
        <w:tc>
          <w:tcPr>
            <w:tcW w:w="3720" w:type="dxa"/>
            <w:vAlign w:val="bottom"/>
            <w:gridSpan w:val="2"/>
          </w:tcPr>
          <w:p>
            <w:pPr>
              <w:spacing w:after="0"/>
              <w:rPr>
                <w:sz w:val="3"/>
                <w:szCs w:val="3"/>
                <w:color w:val="auto"/>
              </w:rPr>
            </w:pPr>
          </w:p>
        </w:tc>
        <w:tc>
          <w:tcPr>
            <w:tcW w:w="26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gridSpan w:val="2"/>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3"/>
        </w:trPr>
        <w:tc>
          <w:tcPr>
            <w:tcW w:w="420" w:type="dxa"/>
            <w:vAlign w:val="bottom"/>
          </w:tcPr>
          <w:p>
            <w:pPr>
              <w:spacing w:after="0"/>
              <w:rPr>
                <w:sz w:val="20"/>
                <w:szCs w:val="20"/>
                <w:color w:val="auto"/>
              </w:rPr>
            </w:pPr>
          </w:p>
        </w:tc>
        <w:tc>
          <w:tcPr>
            <w:tcW w:w="37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7"/>
                <w:szCs w:val="17"/>
                <w:color w:val="auto"/>
              </w:rPr>
              <w:t>Leasehold improvements</w:t>
            </w:r>
          </w:p>
        </w:tc>
        <w:tc>
          <w:tcPr>
            <w:tcW w:w="3980" w:type="dxa"/>
            <w:vAlign w:val="bottom"/>
            <w:tcBorders>
              <w:bottom w:val="single" w:sz="8" w:color="CCEEFF"/>
            </w:tcBorders>
            <w:gridSpan w:val="2"/>
            <w:shd w:val="clear" w:color="auto" w:fill="CCEEFF"/>
          </w:tcPr>
          <w:p>
            <w:pPr>
              <w:jc w:val="right"/>
              <w:ind w:right="1156"/>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864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84"/>
              </w:rPr>
              <w:t>$</w:t>
            </w: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877</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420" w:type="dxa"/>
            <w:vAlign w:val="bottom"/>
          </w:tcPr>
          <w:p>
            <w:pPr>
              <w:spacing w:after="0"/>
              <w:rPr>
                <w:sz w:val="19"/>
                <w:szCs w:val="19"/>
                <w:color w:val="auto"/>
              </w:rPr>
            </w:pPr>
          </w:p>
        </w:tc>
        <w:tc>
          <w:tcPr>
            <w:tcW w:w="3720" w:type="dxa"/>
            <w:vAlign w:val="bottom"/>
            <w:gridSpan w:val="2"/>
          </w:tcPr>
          <w:p>
            <w:pPr>
              <w:ind w:left="360"/>
              <w:spacing w:after="0"/>
              <w:rPr>
                <w:sz w:val="20"/>
                <w:szCs w:val="20"/>
                <w:color w:val="auto"/>
              </w:rPr>
            </w:pPr>
            <w:r>
              <w:rPr>
                <w:rFonts w:ascii="Arial" w:cs="Arial" w:eastAsia="Arial" w:hAnsi="Arial"/>
                <w:sz w:val="17"/>
                <w:szCs w:val="17"/>
                <w:color w:val="auto"/>
              </w:rPr>
              <w:t>Office furniture and equipment</w:t>
            </w:r>
          </w:p>
        </w:tc>
        <w:tc>
          <w:tcPr>
            <w:tcW w:w="26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780" w:type="dxa"/>
            <w:vAlign w:val="bottom"/>
          </w:tcPr>
          <w:p>
            <w:pPr>
              <w:jc w:val="right"/>
              <w:ind w:right="16"/>
              <w:spacing w:after="0"/>
              <w:rPr>
                <w:sz w:val="20"/>
                <w:szCs w:val="20"/>
                <w:color w:val="auto"/>
              </w:rPr>
            </w:pPr>
            <w:r>
              <w:rPr>
                <w:rFonts w:ascii="Arial" w:cs="Arial" w:eastAsia="Arial" w:hAnsi="Arial"/>
                <w:sz w:val="17"/>
                <w:szCs w:val="17"/>
                <w:color w:val="auto"/>
              </w:rPr>
              <w:t>127</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ind w:right="16"/>
              <w:spacing w:after="0"/>
              <w:rPr>
                <w:sz w:val="20"/>
                <w:szCs w:val="20"/>
                <w:color w:val="auto"/>
              </w:rPr>
            </w:pPr>
            <w:r>
              <w:rPr>
                <w:rFonts w:ascii="Arial" w:cs="Arial" w:eastAsia="Arial" w:hAnsi="Arial"/>
                <w:sz w:val="17"/>
                <w:szCs w:val="17"/>
                <w:color w:val="auto"/>
              </w:rPr>
              <w:t>136</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420" w:type="dxa"/>
            <w:vAlign w:val="bottom"/>
          </w:tcPr>
          <w:p>
            <w:pPr>
              <w:spacing w:after="0"/>
              <w:rPr>
                <w:sz w:val="2"/>
                <w:szCs w:val="2"/>
                <w:color w:val="auto"/>
              </w:rPr>
            </w:pPr>
          </w:p>
        </w:tc>
        <w:tc>
          <w:tcPr>
            <w:tcW w:w="3720" w:type="dxa"/>
            <w:vAlign w:val="bottom"/>
            <w:gridSpan w:val="2"/>
          </w:tcPr>
          <w:p>
            <w:pPr>
              <w:spacing w:after="0"/>
              <w:rPr>
                <w:sz w:val="2"/>
                <w:szCs w:val="2"/>
                <w:color w:val="auto"/>
              </w:rPr>
            </w:pPr>
          </w:p>
        </w:tc>
        <w:tc>
          <w:tcPr>
            <w:tcW w:w="26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3"/>
        </w:trPr>
        <w:tc>
          <w:tcPr>
            <w:tcW w:w="420" w:type="dxa"/>
            <w:vAlign w:val="bottom"/>
          </w:tcPr>
          <w:p>
            <w:pPr>
              <w:spacing w:after="0"/>
              <w:rPr>
                <w:sz w:val="21"/>
                <w:szCs w:val="21"/>
                <w:color w:val="auto"/>
              </w:rPr>
            </w:pPr>
          </w:p>
        </w:tc>
        <w:tc>
          <w:tcPr>
            <w:tcW w:w="37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7"/>
                <w:szCs w:val="17"/>
                <w:color w:val="auto"/>
              </w:rPr>
              <w:t>Motor vehicles</w:t>
            </w:r>
          </w:p>
        </w:tc>
        <w:tc>
          <w:tcPr>
            <w:tcW w:w="26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743</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806</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42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1,734</w:t>
            </w:r>
          </w:p>
        </w:tc>
        <w:tc>
          <w:tcPr>
            <w:tcW w:w="10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1,819</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420" w:type="dxa"/>
            <w:vAlign w:val="bottom"/>
          </w:tcPr>
          <w:p>
            <w:pPr>
              <w:spacing w:after="0"/>
              <w:rPr>
                <w:sz w:val="2"/>
                <w:szCs w:val="2"/>
                <w:color w:val="auto"/>
              </w:rPr>
            </w:pPr>
          </w:p>
        </w:tc>
        <w:tc>
          <w:tcPr>
            <w:tcW w:w="3720" w:type="dxa"/>
            <w:vAlign w:val="bottom"/>
            <w:gridSpan w:val="2"/>
          </w:tcPr>
          <w:p>
            <w:pPr>
              <w:spacing w:after="0"/>
              <w:rPr>
                <w:sz w:val="2"/>
                <w:szCs w:val="2"/>
                <w:color w:val="auto"/>
              </w:rPr>
            </w:pPr>
          </w:p>
        </w:tc>
        <w:tc>
          <w:tcPr>
            <w:tcW w:w="26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3"/>
        </w:trPr>
        <w:tc>
          <w:tcPr>
            <w:tcW w:w="420" w:type="dxa"/>
            <w:vAlign w:val="bottom"/>
          </w:tcPr>
          <w:p>
            <w:pPr>
              <w:spacing w:after="0"/>
              <w:rPr>
                <w:sz w:val="21"/>
                <w:szCs w:val="21"/>
                <w:color w:val="auto"/>
              </w:rPr>
            </w:pPr>
          </w:p>
        </w:tc>
        <w:tc>
          <w:tcPr>
            <w:tcW w:w="37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7"/>
                <w:szCs w:val="17"/>
                <w:color w:val="auto"/>
                <w:w w:val="89"/>
              </w:rPr>
              <w:t>Less: Accumulated depreciation and amortization</w:t>
            </w:r>
          </w:p>
        </w:tc>
        <w:tc>
          <w:tcPr>
            <w:tcW w:w="26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(1,325)</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(1,266)</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42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1340" w:type="dxa"/>
            <w:vAlign w:val="bottom"/>
            <w:tcBorders>
              <w:top w:val="single" w:sz="8" w:color="auto"/>
            </w:tcBorders>
          </w:tcPr>
          <w:p>
            <w:pPr>
              <w:jc w:val="right"/>
              <w:ind w:right="1156"/>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409</w:t>
            </w:r>
          </w:p>
        </w:tc>
        <w:tc>
          <w:tcPr>
            <w:tcW w:w="100" w:type="dxa"/>
            <w:vAlign w:val="bottom"/>
          </w:tcPr>
          <w:p>
            <w:pPr>
              <w:spacing w:after="0"/>
              <w:rPr>
                <w:sz w:val="19"/>
                <w:szCs w:val="19"/>
                <w:color w:val="auto"/>
              </w:rPr>
            </w:pPr>
          </w:p>
        </w:tc>
        <w:tc>
          <w:tcPr>
            <w:tcW w:w="16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7"/>
                <w:szCs w:val="17"/>
                <w:color w:val="auto"/>
                <w:w w:val="84"/>
              </w:rPr>
              <w:t>$</w:t>
            </w: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553</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420" w:type="dxa"/>
            <w:vAlign w:val="bottom"/>
          </w:tcPr>
          <w:p>
            <w:pPr>
              <w:spacing w:after="0"/>
              <w:rPr>
                <w:sz w:val="2"/>
                <w:szCs w:val="2"/>
                <w:color w:val="auto"/>
              </w:rPr>
            </w:pPr>
          </w:p>
        </w:tc>
        <w:tc>
          <w:tcPr>
            <w:tcW w:w="3720" w:type="dxa"/>
            <w:vAlign w:val="bottom"/>
            <w:tcBorders>
              <w:bottom w:val="single" w:sz="8" w:color="CCEEFF"/>
            </w:tcBorders>
            <w:gridSpan w:val="2"/>
          </w:tcPr>
          <w:p>
            <w:pPr>
              <w:spacing w:after="0"/>
              <w:rPr>
                <w:sz w:val="2"/>
                <w:szCs w:val="2"/>
                <w:color w:val="auto"/>
              </w:rPr>
            </w:pPr>
          </w:p>
        </w:tc>
        <w:tc>
          <w:tcPr>
            <w:tcW w:w="264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20" w:type="dxa"/>
            <w:vAlign w:val="bottom"/>
          </w:tcPr>
          <w:p>
            <w:pPr>
              <w:spacing w:after="0"/>
              <w:rPr>
                <w:sz w:val="21"/>
                <w:szCs w:val="21"/>
                <w:color w:val="auto"/>
              </w:rPr>
            </w:pPr>
          </w:p>
        </w:tc>
        <w:tc>
          <w:tcPr>
            <w:tcW w:w="37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7"/>
                <w:szCs w:val="17"/>
                <w:color w:val="auto"/>
              </w:rPr>
              <w:t>Fixed assets, net</w:t>
            </w:r>
          </w:p>
        </w:tc>
        <w:tc>
          <w:tcPr>
            <w:tcW w:w="3980" w:type="dxa"/>
            <w:vAlign w:val="bottom"/>
            <w:tcBorders>
              <w:bottom w:val="single" w:sz="8" w:color="CCEEFF"/>
            </w:tcBorders>
            <w:gridSpan w:val="2"/>
            <w:shd w:val="clear" w:color="auto" w:fill="CCEEFF"/>
          </w:tcPr>
          <w:p>
            <w:pPr>
              <w:jc w:val="right"/>
              <w:ind w:right="1156"/>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49,006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84"/>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47,991</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35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ind w:right="320" w:firstLine="404"/>
        <w:spacing w:after="0" w:line="303" w:lineRule="auto"/>
        <w:rPr>
          <w:sz w:val="20"/>
          <w:szCs w:val="20"/>
          <w:color w:val="auto"/>
        </w:rPr>
      </w:pPr>
      <w:r>
        <w:rPr>
          <w:rFonts w:ascii="Arial" w:cs="Arial" w:eastAsia="Arial" w:hAnsi="Arial"/>
          <w:sz w:val="16"/>
          <w:szCs w:val="16"/>
          <w:color w:val="auto"/>
        </w:rPr>
        <w:t>Depreciation and amortization expense excluding amortization of acquisition-related intangibles for the three months ended September 30, 2016 and 2015 was $5,749, and $5,415, respectively, and for the nine months ended September 30, 2016 and 2015 was $16,719 and $15,662, respectively.</w:t>
      </w:r>
    </w:p>
    <w:p>
      <w:pPr>
        <w:spacing w:after="0" w:line="142" w:lineRule="exact"/>
        <w:rPr>
          <w:sz w:val="20"/>
          <w:szCs w:val="20"/>
          <w:color w:val="auto"/>
        </w:rPr>
      </w:pPr>
    </w:p>
    <w:p>
      <w:pPr>
        <w:ind w:right="80" w:firstLine="404"/>
        <w:spacing w:after="0" w:line="271" w:lineRule="auto"/>
        <w:rPr>
          <w:sz w:val="20"/>
          <w:szCs w:val="20"/>
          <w:color w:val="auto"/>
        </w:rPr>
      </w:pPr>
      <w:r>
        <w:rPr>
          <w:rFonts w:ascii="Arial" w:cs="Arial" w:eastAsia="Arial" w:hAnsi="Arial"/>
          <w:sz w:val="17"/>
          <w:szCs w:val="17"/>
          <w:color w:val="auto"/>
        </w:rPr>
        <w:t>Capital work in progress represents advances paid towards acquisition of fixed assets and cost of fixed assets and internally generated software costs not yet ready to be placed in service.</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Capital Structure</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Common Stock</w:t>
      </w:r>
    </w:p>
    <w:p>
      <w:pPr>
        <w:spacing w:after="0" w:line="108"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Company has one class of common stock outstanding.</w:t>
      </w:r>
    </w:p>
    <w:p>
      <w:pPr>
        <w:spacing w:after="0" w:line="209" w:lineRule="exact"/>
        <w:rPr>
          <w:sz w:val="20"/>
          <w:szCs w:val="20"/>
          <w:color w:val="auto"/>
        </w:rPr>
      </w:pPr>
    </w:p>
    <w:p>
      <w:pPr>
        <w:ind w:firstLine="404"/>
        <w:spacing w:after="0" w:line="271" w:lineRule="auto"/>
        <w:rPr>
          <w:sz w:val="20"/>
          <w:szCs w:val="20"/>
          <w:color w:val="auto"/>
        </w:rPr>
      </w:pPr>
      <w:r>
        <w:rPr>
          <w:rFonts w:ascii="Arial" w:cs="Arial" w:eastAsia="Arial" w:hAnsi="Arial"/>
          <w:sz w:val="17"/>
          <w:szCs w:val="17"/>
          <w:color w:val="auto"/>
        </w:rPr>
        <w:t>During the three months ended September 30, 2016 and 2015, the Company did not acquire any shares of common stock from employees in connection with withholding tax payments related to the vesting of restricted stock.</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420"/>
          </w:cols>
          <w:pgMar w:left="240" w:top="123" w:right="239" w:bottom="1440" w:gutter="0" w:footer="0" w:header="0"/>
        </w:sectPr>
      </w:pPr>
    </w:p>
    <w:bookmarkStart w:id="19" w:name="page20"/>
    <w:bookmarkEnd w:id="19"/>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23" w:lineRule="exact"/>
        <w:rPr>
          <w:sz w:val="20"/>
          <w:szCs w:val="20"/>
          <w:color w:val="auto"/>
        </w:rPr>
      </w:pPr>
    </w:p>
    <w:p>
      <w:pPr>
        <w:ind w:left="4480"/>
        <w:spacing w:after="0"/>
        <w:rPr>
          <w:sz w:val="20"/>
          <w:szCs w:val="20"/>
          <w:color w:val="auto"/>
        </w:rPr>
      </w:pPr>
      <w:r>
        <w:rPr>
          <w:rFonts w:ascii="Arial" w:cs="Arial" w:eastAsia="Arial" w:hAnsi="Arial"/>
          <w:sz w:val="17"/>
          <w:szCs w:val="17"/>
          <w:b w:val="1"/>
          <w:bCs w:val="1"/>
          <w:color w:val="auto"/>
        </w:rPr>
        <w:t>EXLSERVICE HOLDINGS, INC.</w:t>
      </w:r>
    </w:p>
    <w:p>
      <w:pPr>
        <w:spacing w:after="0" w:line="92" w:lineRule="exact"/>
        <w:rPr>
          <w:sz w:val="20"/>
          <w:szCs w:val="20"/>
          <w:color w:val="auto"/>
        </w:rPr>
      </w:pPr>
    </w:p>
    <w:p>
      <w:pPr>
        <w:ind w:left="2480"/>
        <w:spacing w:after="0"/>
        <w:rPr>
          <w:sz w:val="20"/>
          <w:szCs w:val="20"/>
          <w:color w:val="auto"/>
        </w:rPr>
      </w:pPr>
      <w:r>
        <w:rPr>
          <w:rFonts w:ascii="Arial" w:cs="Arial" w:eastAsia="Arial" w:hAnsi="Arial"/>
          <w:sz w:val="17"/>
          <w:szCs w:val="17"/>
          <w:b w:val="1"/>
          <w:bCs w:val="1"/>
          <w:color w:val="auto"/>
        </w:rPr>
        <w:t>NOTES TO UNAUDITED CONSOLIDATED FINANCIAL STATEMENTS—(continued)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September 30, 2016</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ind w:firstLine="404"/>
        <w:spacing w:after="0" w:line="255" w:lineRule="auto"/>
        <w:rPr>
          <w:sz w:val="20"/>
          <w:szCs w:val="20"/>
          <w:color w:val="auto"/>
        </w:rPr>
      </w:pPr>
      <w:r>
        <w:rPr>
          <w:rFonts w:ascii="Arial" w:cs="Arial" w:eastAsia="Arial" w:hAnsi="Arial"/>
          <w:sz w:val="17"/>
          <w:szCs w:val="17"/>
          <w:color w:val="auto"/>
        </w:rPr>
        <w:t>During the nine months ended September 30, 2016 and 2015, the Company acquired 16,027 and 13,573 shares of common stock, respectively, from employees in connection with withholding tax payments related to the vesting of restricted stock units for a total consideration of $728 and $421, respectively. The weighted average purchase price of $45.44 and $30.99, respectively, was the average of the high and low price of a share of the Company’s common stock on the Nasdaq Global Select Market on the trading day prior to the vesting date of the shares of restricted stock.</w:t>
      </w:r>
    </w:p>
    <w:p>
      <w:pPr>
        <w:spacing w:after="0" w:line="180" w:lineRule="exact"/>
        <w:rPr>
          <w:sz w:val="20"/>
          <w:szCs w:val="20"/>
          <w:color w:val="auto"/>
        </w:rPr>
      </w:pPr>
    </w:p>
    <w:p>
      <w:pPr>
        <w:jc w:val="both"/>
        <w:ind w:firstLine="404"/>
        <w:spacing w:after="0" w:line="259" w:lineRule="auto"/>
        <w:rPr>
          <w:sz w:val="20"/>
          <w:szCs w:val="20"/>
          <w:color w:val="auto"/>
        </w:rPr>
      </w:pPr>
      <w:r>
        <w:rPr>
          <w:rFonts w:ascii="Arial" w:cs="Arial" w:eastAsia="Arial" w:hAnsi="Arial"/>
          <w:sz w:val="17"/>
          <w:szCs w:val="17"/>
          <w:color w:val="auto"/>
        </w:rPr>
        <w:t>On December 30, 2014, the Company’s Board of Directors authorized up to an annual $20,000 common stock repurchase program (the “2014 Repurchase Program”), under which shares may be purchased by the Company from time to time from the open market and through private transactions during each of the fiscal years 2015 to 2017.</w:t>
      </w:r>
    </w:p>
    <w:p>
      <w:pPr>
        <w:spacing w:after="0" w:line="176" w:lineRule="exact"/>
        <w:rPr>
          <w:sz w:val="20"/>
          <w:szCs w:val="20"/>
          <w:color w:val="auto"/>
        </w:rPr>
      </w:pPr>
    </w:p>
    <w:p>
      <w:pPr>
        <w:jc w:val="both"/>
        <w:ind w:firstLine="404"/>
        <w:spacing w:after="0" w:line="259" w:lineRule="auto"/>
        <w:rPr>
          <w:sz w:val="20"/>
          <w:szCs w:val="20"/>
          <w:color w:val="auto"/>
        </w:rPr>
      </w:pPr>
      <w:r>
        <w:rPr>
          <w:rFonts w:ascii="Arial" w:cs="Arial" w:eastAsia="Arial" w:hAnsi="Arial"/>
          <w:sz w:val="17"/>
          <w:szCs w:val="17"/>
          <w:color w:val="auto"/>
        </w:rPr>
        <w:t>During the three and nine months ended September 30, 2016, the Company purchased 108,143 and 302,953 shares of its common stock, respectively, for an aggregate purchase price of approximately $5,466 and $14,441, respectively, including commissions, representing an average purchase price per share of $50.54 and $47.67, respectively, under the 2014 Repurchase program.</w:t>
      </w:r>
    </w:p>
    <w:p>
      <w:pPr>
        <w:spacing w:after="0" w:line="176" w:lineRule="exact"/>
        <w:rPr>
          <w:sz w:val="20"/>
          <w:szCs w:val="20"/>
          <w:color w:val="auto"/>
        </w:rPr>
      </w:pPr>
    </w:p>
    <w:p>
      <w:pPr>
        <w:jc w:val="both"/>
        <w:ind w:firstLine="404"/>
        <w:spacing w:after="0" w:line="259" w:lineRule="auto"/>
        <w:rPr>
          <w:sz w:val="20"/>
          <w:szCs w:val="20"/>
          <w:color w:val="auto"/>
        </w:rPr>
      </w:pPr>
      <w:r>
        <w:rPr>
          <w:rFonts w:ascii="Arial" w:cs="Arial" w:eastAsia="Arial" w:hAnsi="Arial"/>
          <w:sz w:val="17"/>
          <w:szCs w:val="17"/>
          <w:color w:val="auto"/>
        </w:rPr>
        <w:t>During the three and nine months ended September 30, 2015, the Company purchased 220,579 and 354,448 shares of its common stock, respectively, for an aggregate purchase price of approximately $8,149 and $12,834, respectively, including commissions, representing an average purchase price per share of $36.94 and $36.21, respectively, under the 2014 Repurchase Program.</w:t>
      </w:r>
    </w:p>
    <w:p>
      <w:pPr>
        <w:spacing w:after="0" w:line="176" w:lineRule="exact"/>
        <w:rPr>
          <w:sz w:val="20"/>
          <w:szCs w:val="20"/>
          <w:color w:val="auto"/>
        </w:rPr>
      </w:pPr>
    </w:p>
    <w:p>
      <w:pPr>
        <w:jc w:val="both"/>
        <w:ind w:firstLine="404"/>
        <w:spacing w:after="0" w:line="271" w:lineRule="auto"/>
        <w:rPr>
          <w:sz w:val="20"/>
          <w:szCs w:val="20"/>
          <w:color w:val="auto"/>
        </w:rPr>
      </w:pPr>
      <w:r>
        <w:rPr>
          <w:rFonts w:ascii="Arial" w:cs="Arial" w:eastAsia="Arial" w:hAnsi="Arial"/>
          <w:sz w:val="17"/>
          <w:szCs w:val="17"/>
          <w:color w:val="auto"/>
        </w:rPr>
        <w:t>Repurchased shares have been recorded as treasury shares and will be held until the Board of Directors designates that these shares be retired or used for other purposes.</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Borrowings</w:t>
      </w:r>
    </w:p>
    <w:p>
      <w:pPr>
        <w:spacing w:after="0" w:line="213" w:lineRule="exact"/>
        <w:rPr>
          <w:sz w:val="20"/>
          <w:szCs w:val="20"/>
          <w:color w:val="auto"/>
        </w:rPr>
      </w:pPr>
    </w:p>
    <w:p>
      <w:pPr>
        <w:jc w:val="both"/>
        <w:ind w:firstLine="379"/>
        <w:spacing w:after="0" w:line="283" w:lineRule="auto"/>
        <w:rPr>
          <w:sz w:val="20"/>
          <w:szCs w:val="20"/>
          <w:color w:val="auto"/>
        </w:rPr>
      </w:pPr>
      <w:r>
        <w:rPr>
          <w:rFonts w:ascii="Arial" w:cs="Arial" w:eastAsia="Arial" w:hAnsi="Arial"/>
          <w:sz w:val="16"/>
          <w:szCs w:val="16"/>
          <w:color w:val="auto"/>
        </w:rPr>
        <w:t>On October 24, 2014, the Company entered into a credit agreement (as amended, the “Credit Agreement”) with certain lenders and JPMorgan Chase Bank, N.A., as Administrative Agent. The Credit Agreement, as amended, provides for a $100,000 revolving credit facility (the “Credit Facility”), including a letter of credit sub-facility. The Credit Facility has a maturity date of October 24, 2019 and is voluntarily pre-payable from time to time without premium or penalty.</w:t>
      </w:r>
    </w:p>
    <w:p>
      <w:pPr>
        <w:spacing w:after="0" w:line="158" w:lineRule="exact"/>
        <w:rPr>
          <w:sz w:val="20"/>
          <w:szCs w:val="20"/>
          <w:color w:val="auto"/>
        </w:rPr>
      </w:pPr>
    </w:p>
    <w:p>
      <w:pPr>
        <w:jc w:val="both"/>
        <w:ind w:firstLine="379"/>
        <w:spacing w:after="0" w:line="255" w:lineRule="auto"/>
        <w:rPr>
          <w:sz w:val="20"/>
          <w:szCs w:val="20"/>
          <w:color w:val="auto"/>
        </w:rPr>
      </w:pPr>
      <w:r>
        <w:rPr>
          <w:rFonts w:ascii="Arial" w:cs="Arial" w:eastAsia="Arial" w:hAnsi="Arial"/>
          <w:sz w:val="17"/>
          <w:szCs w:val="17"/>
          <w:color w:val="auto"/>
        </w:rPr>
        <w:t>Borrowings under the Credit Facility may be used for working capital, general corporate purposes and for acquisitions. The Company has outstanding debt of $45,000 and $70,000 as of September 30, 2016 and December 31, 2015, respectively, of which $5,000 is expected to be repaid within the next twelve months and is included under “short-term borrowings” in the unaudited consolidated balance sheets. The Credit Facility carried an effective interest rate of approximately 1.95% and 1.56% per annum during the nine months ended September 30, 2016 and 2015, respectively.</w:t>
      </w:r>
    </w:p>
    <w:p>
      <w:pPr>
        <w:spacing w:after="0" w:line="180" w:lineRule="exact"/>
        <w:rPr>
          <w:sz w:val="20"/>
          <w:szCs w:val="20"/>
          <w:color w:val="auto"/>
        </w:rPr>
      </w:pPr>
    </w:p>
    <w:p>
      <w:pPr>
        <w:jc w:val="both"/>
        <w:ind w:firstLine="379"/>
        <w:spacing w:after="0" w:line="259" w:lineRule="auto"/>
        <w:rPr>
          <w:sz w:val="20"/>
          <w:szCs w:val="20"/>
          <w:color w:val="auto"/>
        </w:rPr>
      </w:pPr>
      <w:r>
        <w:rPr>
          <w:rFonts w:ascii="Arial" w:cs="Arial" w:eastAsia="Arial" w:hAnsi="Arial"/>
          <w:sz w:val="17"/>
          <w:szCs w:val="17"/>
          <w:color w:val="auto"/>
        </w:rPr>
        <w:t>In connection with the financing, the Company incurred certain debt issuance costs, which are deferred and amortized as an adjustment to interest expense over the term of the Credit Facility. The unamortized debt issuance costs as of September 30, 2016 and December 31, 2015 were $296 and $368, respectively and are included under "other current assets" and "other assets" in the unaudited consolidated balance sheets.</w:t>
      </w:r>
    </w:p>
    <w:p>
      <w:pPr>
        <w:spacing w:after="0" w:line="176" w:lineRule="exact"/>
        <w:rPr>
          <w:sz w:val="20"/>
          <w:szCs w:val="20"/>
          <w:color w:val="auto"/>
        </w:rPr>
      </w:pPr>
    </w:p>
    <w:p>
      <w:pPr>
        <w:jc w:val="both"/>
        <w:ind w:firstLine="379"/>
        <w:spacing w:after="0" w:line="259" w:lineRule="auto"/>
        <w:rPr>
          <w:sz w:val="20"/>
          <w:szCs w:val="20"/>
          <w:color w:val="auto"/>
        </w:rPr>
      </w:pPr>
      <w:r>
        <w:rPr>
          <w:rFonts w:ascii="Arial" w:cs="Arial" w:eastAsia="Arial" w:hAnsi="Arial"/>
          <w:sz w:val="17"/>
          <w:szCs w:val="17"/>
          <w:color w:val="auto"/>
        </w:rPr>
        <w:t>The obligations under the Credit Agreement are secured by all or substantially all of the assets of the Company and its material domestic subsidiaries. The Credit Agreement contains certain covenants including a restriction on indebtedness of the Company. As of September 30, 2016, the Company was in compliance with all covenants.</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Employee Benefit Plans</w:t>
      </w:r>
    </w:p>
    <w:p>
      <w:pPr>
        <w:spacing w:after="0" w:line="112" w:lineRule="exact"/>
        <w:rPr>
          <w:sz w:val="20"/>
          <w:szCs w:val="20"/>
          <w:color w:val="auto"/>
        </w:rPr>
      </w:pPr>
    </w:p>
    <w:p>
      <w:pPr>
        <w:jc w:val="both"/>
        <w:ind w:firstLine="404"/>
        <w:spacing w:after="0" w:line="254" w:lineRule="auto"/>
        <w:rPr>
          <w:sz w:val="20"/>
          <w:szCs w:val="20"/>
          <w:color w:val="auto"/>
        </w:rPr>
      </w:pPr>
      <w:r>
        <w:rPr>
          <w:rFonts w:ascii="Arial" w:cs="Arial" w:eastAsia="Arial" w:hAnsi="Arial"/>
          <w:sz w:val="17"/>
          <w:szCs w:val="17"/>
          <w:color w:val="auto"/>
        </w:rPr>
        <w:t>The Company’s Gratuity Plans in India and the Philippines ("Gratuity Plan") provide for lump sum payment to vested employees on retirement or upon termination of employment in an amount based on the respective employee’s salary and years of employment with the Company. Liabilities with regard to the Gratuity Plans are determined by actuarial valuation using the projected unit credit method. Current service costs for the Gratuity Plan are accrued in the year to which they relate. Actuarial gains or losses or prior service costs, if any, resulting from amendments to the plans are recognized and amortized over the remaining period of service of the employees.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420"/>
          </w:cols>
          <w:pgMar w:left="240" w:top="123" w:right="239" w:bottom="1440" w:gutter="0" w:footer="0" w:header="0"/>
        </w:sectPr>
      </w:pPr>
    </w:p>
    <w:bookmarkStart w:id="20" w:name="page21"/>
    <w:bookmarkEnd w:id="20"/>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23" w:lineRule="exact"/>
        <w:rPr>
          <w:sz w:val="20"/>
          <w:szCs w:val="20"/>
          <w:color w:val="auto"/>
        </w:rPr>
      </w:pPr>
    </w:p>
    <w:p>
      <w:pPr>
        <w:ind w:left="4480"/>
        <w:spacing w:after="0"/>
        <w:rPr>
          <w:sz w:val="20"/>
          <w:szCs w:val="20"/>
          <w:color w:val="auto"/>
        </w:rPr>
      </w:pPr>
      <w:r>
        <w:rPr>
          <w:rFonts w:ascii="Arial" w:cs="Arial" w:eastAsia="Arial" w:hAnsi="Arial"/>
          <w:sz w:val="17"/>
          <w:szCs w:val="17"/>
          <w:b w:val="1"/>
          <w:bCs w:val="1"/>
          <w:color w:val="auto"/>
        </w:rPr>
        <w:t>EXLSERVICE HOLDINGS, INC.</w:t>
      </w:r>
    </w:p>
    <w:p>
      <w:pPr>
        <w:spacing w:after="0" w:line="92" w:lineRule="exact"/>
        <w:rPr>
          <w:sz w:val="20"/>
          <w:szCs w:val="20"/>
          <w:color w:val="auto"/>
        </w:rPr>
      </w:pPr>
    </w:p>
    <w:p>
      <w:pPr>
        <w:ind w:left="2480"/>
        <w:spacing w:after="0"/>
        <w:rPr>
          <w:sz w:val="20"/>
          <w:szCs w:val="20"/>
          <w:color w:val="auto"/>
        </w:rPr>
      </w:pPr>
      <w:r>
        <w:rPr>
          <w:rFonts w:ascii="Arial" w:cs="Arial" w:eastAsia="Arial" w:hAnsi="Arial"/>
          <w:sz w:val="17"/>
          <w:szCs w:val="17"/>
          <w:b w:val="1"/>
          <w:bCs w:val="1"/>
          <w:color w:val="auto"/>
        </w:rPr>
        <w:t>NOTES TO UNAUDITED CONSOLIDATED FINANCIAL STATEMENTS—(continued)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September 30, 2016</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00" w:lineRule="exact"/>
        <w:rPr>
          <w:sz w:val="20"/>
          <w:szCs w:val="20"/>
          <w:color w:val="auto"/>
        </w:rPr>
      </w:pPr>
    </w:p>
    <w:p>
      <w:pPr>
        <w:spacing w:after="0" w:line="326" w:lineRule="exact"/>
        <w:rPr>
          <w:sz w:val="20"/>
          <w:szCs w:val="20"/>
          <w:color w:val="auto"/>
        </w:rPr>
      </w:pPr>
    </w:p>
    <w:p>
      <w:pPr>
        <w:ind w:left="400"/>
        <w:spacing w:after="0"/>
        <w:rPr>
          <w:sz w:val="20"/>
          <w:szCs w:val="20"/>
          <w:color w:val="auto"/>
        </w:rPr>
      </w:pPr>
      <w:r>
        <w:rPr>
          <w:rFonts w:ascii="Arial" w:cs="Arial" w:eastAsia="Arial" w:hAnsi="Arial"/>
          <w:sz w:val="17"/>
          <w:szCs w:val="17"/>
          <w:color w:val="auto"/>
        </w:rPr>
        <w:t>Net gratuity cost includes the following components:</w:t>
      </w:r>
    </w:p>
    <w:p>
      <w:pPr>
        <w:spacing w:after="0" w:line="357" w:lineRule="exact"/>
        <w:rPr>
          <w:sz w:val="20"/>
          <w:szCs w:val="20"/>
          <w:color w:val="auto"/>
        </w:rPr>
      </w:pPr>
    </w:p>
    <w:tbl>
      <w:tblPr>
        <w:tblLayout w:type="fixed"/>
        <w:tblInd w:w="280" w:type="dxa"/>
        <w:tblCellMar>
          <w:top w:w="0" w:type="dxa"/>
          <w:left w:w="0" w:type="dxa"/>
          <w:bottom w:w="0" w:type="dxa"/>
          <w:right w:w="0" w:type="dxa"/>
        </w:tblCellMar>
      </w:tblPr>
      <w:tr>
        <w:trPr>
          <w:trHeight w:val="218"/>
        </w:trPr>
        <w:tc>
          <w:tcPr>
            <w:tcW w:w="3700" w:type="dxa"/>
            <w:vAlign w:val="bottom"/>
          </w:tcPr>
          <w:p>
            <w:pPr>
              <w:spacing w:after="0"/>
              <w:rPr>
                <w:sz w:val="18"/>
                <w:szCs w:val="18"/>
                <w:color w:val="auto"/>
              </w:rPr>
            </w:pPr>
          </w:p>
        </w:tc>
        <w:tc>
          <w:tcPr>
            <w:tcW w:w="3180" w:type="dxa"/>
            <w:vAlign w:val="bottom"/>
            <w:gridSpan w:val="4"/>
          </w:tcPr>
          <w:p>
            <w:pPr>
              <w:jc w:val="right"/>
              <w:spacing w:after="0"/>
              <w:rPr>
                <w:sz w:val="20"/>
                <w:szCs w:val="20"/>
                <w:color w:val="auto"/>
              </w:rPr>
            </w:pPr>
            <w:r>
              <w:rPr>
                <w:rFonts w:ascii="Arial" w:cs="Arial" w:eastAsia="Arial" w:hAnsi="Arial"/>
                <w:sz w:val="17"/>
                <w:szCs w:val="17"/>
                <w:b w:val="1"/>
                <w:bCs w:val="1"/>
                <w:color w:val="auto"/>
              </w:rPr>
              <w:t>Three months ended September 30,</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60" w:type="dxa"/>
            <w:vAlign w:val="bottom"/>
            <w:gridSpan w:val="4"/>
          </w:tcPr>
          <w:p>
            <w:pPr>
              <w:jc w:val="right"/>
              <w:spacing w:after="0"/>
              <w:rPr>
                <w:sz w:val="20"/>
                <w:szCs w:val="20"/>
                <w:color w:val="auto"/>
              </w:rPr>
            </w:pPr>
            <w:r>
              <w:rPr>
                <w:rFonts w:ascii="Arial" w:cs="Arial" w:eastAsia="Arial" w:hAnsi="Arial"/>
                <w:sz w:val="17"/>
                <w:szCs w:val="17"/>
                <w:b w:val="1"/>
                <w:bCs w:val="1"/>
                <w:color w:val="auto"/>
              </w:rPr>
              <w:t>Nine months ended September 30,</w:t>
            </w:r>
          </w:p>
        </w:tc>
        <w:tc>
          <w:tcPr>
            <w:tcW w:w="480" w:type="dxa"/>
            <w:vAlign w:val="bottom"/>
          </w:tcPr>
          <w:p>
            <w:pPr>
              <w:spacing w:after="0"/>
              <w:rPr>
                <w:sz w:val="18"/>
                <w:szCs w:val="18"/>
                <w:color w:val="auto"/>
              </w:rPr>
            </w:pPr>
          </w:p>
        </w:tc>
      </w:tr>
      <w:tr>
        <w:trPr>
          <w:trHeight w:val="26"/>
        </w:trPr>
        <w:tc>
          <w:tcPr>
            <w:tcW w:w="37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20"/>
        </w:trPr>
        <w:tc>
          <w:tcPr>
            <w:tcW w:w="3700" w:type="dxa"/>
            <w:vAlign w:val="bottom"/>
          </w:tcPr>
          <w:p>
            <w:pPr>
              <w:spacing w:after="0"/>
              <w:rPr>
                <w:sz w:val="19"/>
                <w:szCs w:val="19"/>
                <w:color w:val="auto"/>
              </w:rPr>
            </w:pPr>
          </w:p>
        </w:tc>
        <w:tc>
          <w:tcPr>
            <w:tcW w:w="1200" w:type="dxa"/>
            <w:vAlign w:val="bottom"/>
          </w:tcPr>
          <w:p>
            <w:pPr>
              <w:jc w:val="right"/>
              <w:ind w:right="76"/>
              <w:spacing w:after="0"/>
              <w:rPr>
                <w:sz w:val="20"/>
                <w:szCs w:val="20"/>
                <w:color w:val="auto"/>
              </w:rPr>
            </w:pPr>
            <w:r>
              <w:rPr>
                <w:rFonts w:ascii="Arial" w:cs="Arial" w:eastAsia="Arial" w:hAnsi="Arial"/>
                <w:sz w:val="17"/>
                <w:szCs w:val="17"/>
                <w:b w:val="1"/>
                <w:bCs w:val="1"/>
                <w:color w:val="auto"/>
              </w:rPr>
              <w:t>2016</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ind w:right="176"/>
              <w:spacing w:after="0"/>
              <w:rPr>
                <w:sz w:val="20"/>
                <w:szCs w:val="20"/>
                <w:color w:val="auto"/>
              </w:rPr>
            </w:pPr>
            <w:r>
              <w:rPr>
                <w:rFonts w:ascii="Arial" w:cs="Arial" w:eastAsia="Arial" w:hAnsi="Arial"/>
                <w:sz w:val="17"/>
                <w:szCs w:val="17"/>
                <w:b w:val="1"/>
                <w:bCs w:val="1"/>
                <w:color w:val="auto"/>
              </w:rPr>
              <w:t>2015</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ind w:right="16"/>
              <w:spacing w:after="0"/>
              <w:rPr>
                <w:sz w:val="20"/>
                <w:szCs w:val="20"/>
                <w:color w:val="auto"/>
              </w:rPr>
            </w:pPr>
            <w:r>
              <w:rPr>
                <w:rFonts w:ascii="Arial" w:cs="Arial" w:eastAsia="Arial" w:hAnsi="Arial"/>
                <w:sz w:val="17"/>
                <w:szCs w:val="17"/>
                <w:b w:val="1"/>
                <w:bCs w:val="1"/>
                <w:color w:val="auto"/>
              </w:rPr>
              <w:t>2016</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ind w:right="76"/>
              <w:spacing w:after="0"/>
              <w:rPr>
                <w:sz w:val="20"/>
                <w:szCs w:val="20"/>
                <w:color w:val="auto"/>
              </w:rPr>
            </w:pPr>
            <w:r>
              <w:rPr>
                <w:rFonts w:ascii="Arial" w:cs="Arial" w:eastAsia="Arial" w:hAnsi="Arial"/>
                <w:sz w:val="17"/>
                <w:szCs w:val="17"/>
                <w:b w:val="1"/>
                <w:bCs w:val="1"/>
                <w:color w:val="auto"/>
              </w:rPr>
              <w:t>2015</w:t>
            </w:r>
          </w:p>
        </w:tc>
        <w:tc>
          <w:tcPr>
            <w:tcW w:w="480" w:type="dxa"/>
            <w:vAlign w:val="bottom"/>
          </w:tcPr>
          <w:p>
            <w:pPr>
              <w:spacing w:after="0"/>
              <w:rPr>
                <w:sz w:val="19"/>
                <w:szCs w:val="19"/>
                <w:color w:val="auto"/>
              </w:rPr>
            </w:pPr>
          </w:p>
        </w:tc>
      </w:tr>
      <w:tr>
        <w:trPr>
          <w:trHeight w:val="26"/>
        </w:trPr>
        <w:tc>
          <w:tcPr>
            <w:tcW w:w="37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25"/>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Service cost</w:t>
            </w:r>
          </w:p>
        </w:tc>
        <w:tc>
          <w:tcPr>
            <w:tcW w:w="1200" w:type="dxa"/>
            <w:vAlign w:val="bottom"/>
            <w:tcBorders>
              <w:bottom w:val="single" w:sz="8" w:color="CCEEFF"/>
            </w:tcBorders>
            <w:shd w:val="clear" w:color="auto" w:fill="CCEEFF"/>
          </w:tcPr>
          <w:p>
            <w:pPr>
              <w:jc w:val="right"/>
              <w:ind w:right="1016"/>
              <w:spacing w:after="0"/>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402</w:t>
            </w:r>
          </w:p>
        </w:tc>
        <w:tc>
          <w:tcPr>
            <w:tcW w:w="1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ind w:right="1116"/>
              <w:spacing w:after="0"/>
              <w:rPr>
                <w:sz w:val="20"/>
                <w:szCs w:val="20"/>
                <w:color w:val="auto"/>
              </w:rPr>
            </w:pPr>
            <w:r>
              <w:rPr>
                <w:rFonts w:ascii="Arial" w:cs="Arial" w:eastAsia="Arial" w:hAnsi="Arial"/>
                <w:sz w:val="17"/>
                <w:szCs w:val="17"/>
                <w:color w:val="auto"/>
                <w:w w:val="84"/>
              </w:rPr>
              <w:t>$</w:t>
            </w:r>
          </w:p>
        </w:tc>
        <w:tc>
          <w:tcPr>
            <w:tcW w:w="4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403</w:t>
            </w: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936"/>
              <w:spacing w:after="0"/>
              <w:rPr>
                <w:sz w:val="20"/>
                <w:szCs w:val="20"/>
                <w:color w:val="auto"/>
              </w:rPr>
            </w:pPr>
            <w:r>
              <w:rPr>
                <w:rFonts w:ascii="Arial" w:cs="Arial" w:eastAsia="Arial" w:hAnsi="Arial"/>
                <w:sz w:val="17"/>
                <w:szCs w:val="17"/>
                <w:color w:val="auto"/>
                <w:w w:val="84"/>
              </w:rPr>
              <w:t>$</w:t>
            </w:r>
          </w:p>
        </w:tc>
        <w:tc>
          <w:tcPr>
            <w:tcW w:w="6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1,203</w:t>
            </w: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956"/>
              <w:spacing w:after="0"/>
              <w:rPr>
                <w:sz w:val="20"/>
                <w:szCs w:val="20"/>
                <w:color w:val="auto"/>
              </w:rPr>
            </w:pPr>
            <w:r>
              <w:rPr>
                <w:rFonts w:ascii="Arial" w:cs="Arial" w:eastAsia="Arial" w:hAnsi="Arial"/>
                <w:sz w:val="17"/>
                <w:szCs w:val="17"/>
                <w:color w:val="auto"/>
                <w:w w:val="84"/>
              </w:rPr>
              <w:t>$</w:t>
            </w:r>
          </w:p>
        </w:tc>
        <w:tc>
          <w:tcPr>
            <w:tcW w:w="4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w w:val="84"/>
              </w:rPr>
              <w:t>1,241</w:t>
            </w:r>
          </w:p>
        </w:tc>
      </w:tr>
      <w:tr>
        <w:trPr>
          <w:trHeight w:val="227"/>
        </w:trPr>
        <w:tc>
          <w:tcPr>
            <w:tcW w:w="3700" w:type="dxa"/>
            <w:vAlign w:val="bottom"/>
          </w:tcPr>
          <w:p>
            <w:pPr>
              <w:ind w:left="20"/>
              <w:spacing w:after="0"/>
              <w:rPr>
                <w:sz w:val="20"/>
                <w:szCs w:val="20"/>
                <w:color w:val="auto"/>
              </w:rPr>
            </w:pPr>
            <w:r>
              <w:rPr>
                <w:rFonts w:ascii="Arial" w:cs="Arial" w:eastAsia="Arial" w:hAnsi="Arial"/>
                <w:sz w:val="17"/>
                <w:szCs w:val="17"/>
                <w:color w:val="auto"/>
              </w:rPr>
              <w:t>Interest cost</w:t>
            </w:r>
          </w:p>
        </w:tc>
        <w:tc>
          <w:tcPr>
            <w:tcW w:w="1200" w:type="dxa"/>
            <w:vAlign w:val="bottom"/>
          </w:tcPr>
          <w:p>
            <w:pPr>
              <w:spacing w:after="0"/>
              <w:rPr>
                <w:sz w:val="19"/>
                <w:szCs w:val="19"/>
                <w:color w:val="auto"/>
              </w:rPr>
            </w:pPr>
          </w:p>
        </w:tc>
        <w:tc>
          <w:tcPr>
            <w:tcW w:w="580" w:type="dxa"/>
            <w:vAlign w:val="bottom"/>
          </w:tcPr>
          <w:p>
            <w:pPr>
              <w:jc w:val="right"/>
              <w:ind w:right="36"/>
              <w:spacing w:after="0"/>
              <w:rPr>
                <w:sz w:val="20"/>
                <w:szCs w:val="20"/>
                <w:color w:val="auto"/>
              </w:rPr>
            </w:pPr>
            <w:r>
              <w:rPr>
                <w:rFonts w:ascii="Arial" w:cs="Arial" w:eastAsia="Arial" w:hAnsi="Arial"/>
                <w:sz w:val="17"/>
                <w:szCs w:val="17"/>
                <w:color w:val="auto"/>
              </w:rPr>
              <w:t>150</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40" w:type="dxa"/>
            <w:vAlign w:val="bottom"/>
          </w:tcPr>
          <w:p>
            <w:pPr>
              <w:jc w:val="right"/>
              <w:ind w:right="16"/>
              <w:spacing w:after="0"/>
              <w:rPr>
                <w:sz w:val="20"/>
                <w:szCs w:val="20"/>
                <w:color w:val="auto"/>
              </w:rPr>
            </w:pPr>
            <w:r>
              <w:rPr>
                <w:rFonts w:ascii="Arial" w:cs="Arial" w:eastAsia="Arial" w:hAnsi="Arial"/>
                <w:sz w:val="17"/>
                <w:szCs w:val="17"/>
                <w:color w:val="auto"/>
              </w:rPr>
              <w:t>135</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0" w:type="dxa"/>
            <w:vAlign w:val="bottom"/>
          </w:tcPr>
          <w:p>
            <w:pPr>
              <w:jc w:val="right"/>
              <w:ind w:right="16"/>
              <w:spacing w:after="0"/>
              <w:rPr>
                <w:sz w:val="20"/>
                <w:szCs w:val="20"/>
                <w:color w:val="auto"/>
              </w:rPr>
            </w:pPr>
            <w:r>
              <w:rPr>
                <w:rFonts w:ascii="Arial" w:cs="Arial" w:eastAsia="Arial" w:hAnsi="Arial"/>
                <w:sz w:val="17"/>
                <w:szCs w:val="17"/>
                <w:color w:val="auto"/>
              </w:rPr>
              <w:t>449</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0" w:type="dxa"/>
            <w:vAlign w:val="bottom"/>
          </w:tcPr>
          <w:p>
            <w:pPr>
              <w:jc w:val="right"/>
              <w:ind w:right="16"/>
              <w:spacing w:after="0"/>
              <w:rPr>
                <w:sz w:val="20"/>
                <w:szCs w:val="20"/>
                <w:color w:val="auto"/>
              </w:rPr>
            </w:pPr>
            <w:r>
              <w:rPr>
                <w:rFonts w:ascii="Arial" w:cs="Arial" w:eastAsia="Arial" w:hAnsi="Arial"/>
                <w:sz w:val="17"/>
                <w:szCs w:val="17"/>
                <w:color w:val="auto"/>
              </w:rPr>
              <w:t>417</w:t>
            </w:r>
          </w:p>
        </w:tc>
      </w:tr>
      <w:tr>
        <w:trPr>
          <w:trHeight w:val="26"/>
        </w:trPr>
        <w:tc>
          <w:tcPr>
            <w:tcW w:w="37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33"/>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Expected return on plan assets</w:t>
            </w:r>
          </w:p>
        </w:tc>
        <w:tc>
          <w:tcPr>
            <w:tcW w:w="12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(104)</w:t>
            </w: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(94)</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(312)</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(291)</w:t>
            </w:r>
          </w:p>
        </w:tc>
      </w:tr>
      <w:tr>
        <w:trPr>
          <w:trHeight w:val="227"/>
        </w:trPr>
        <w:tc>
          <w:tcPr>
            <w:tcW w:w="3700" w:type="dxa"/>
            <w:vAlign w:val="bottom"/>
          </w:tcPr>
          <w:p>
            <w:pPr>
              <w:ind w:left="20"/>
              <w:spacing w:after="0"/>
              <w:rPr>
                <w:sz w:val="20"/>
                <w:szCs w:val="20"/>
                <w:color w:val="auto"/>
              </w:rPr>
            </w:pPr>
            <w:r>
              <w:rPr>
                <w:rFonts w:ascii="Arial" w:cs="Arial" w:eastAsia="Arial" w:hAnsi="Arial"/>
                <w:sz w:val="17"/>
                <w:szCs w:val="17"/>
                <w:color w:val="auto"/>
              </w:rPr>
              <w:t>Actuarial loss</w:t>
            </w:r>
          </w:p>
        </w:tc>
        <w:tc>
          <w:tcPr>
            <w:tcW w:w="1200" w:type="dxa"/>
            <w:vAlign w:val="bottom"/>
          </w:tcPr>
          <w:p>
            <w:pPr>
              <w:spacing w:after="0"/>
              <w:rPr>
                <w:sz w:val="19"/>
                <w:szCs w:val="19"/>
                <w:color w:val="auto"/>
              </w:rPr>
            </w:pPr>
          </w:p>
        </w:tc>
        <w:tc>
          <w:tcPr>
            <w:tcW w:w="580" w:type="dxa"/>
            <w:vAlign w:val="bottom"/>
          </w:tcPr>
          <w:p>
            <w:pPr>
              <w:jc w:val="right"/>
              <w:ind w:right="36"/>
              <w:spacing w:after="0"/>
              <w:rPr>
                <w:sz w:val="20"/>
                <w:szCs w:val="20"/>
                <w:color w:val="auto"/>
              </w:rPr>
            </w:pPr>
            <w:r>
              <w:rPr>
                <w:rFonts w:ascii="Arial" w:cs="Arial" w:eastAsia="Arial" w:hAnsi="Arial"/>
                <w:sz w:val="17"/>
                <w:szCs w:val="17"/>
                <w:color w:val="auto"/>
              </w:rPr>
              <w:t>23</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40" w:type="dxa"/>
            <w:vAlign w:val="bottom"/>
          </w:tcPr>
          <w:p>
            <w:pPr>
              <w:jc w:val="right"/>
              <w:ind w:right="16"/>
              <w:spacing w:after="0"/>
              <w:rPr>
                <w:sz w:val="20"/>
                <w:szCs w:val="20"/>
                <w:color w:val="auto"/>
              </w:rPr>
            </w:pPr>
            <w:r>
              <w:rPr>
                <w:rFonts w:ascii="Arial" w:cs="Arial" w:eastAsia="Arial" w:hAnsi="Arial"/>
                <w:sz w:val="17"/>
                <w:szCs w:val="17"/>
                <w:color w:val="auto"/>
              </w:rPr>
              <w:t>51</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0" w:type="dxa"/>
            <w:vAlign w:val="bottom"/>
          </w:tcPr>
          <w:p>
            <w:pPr>
              <w:jc w:val="right"/>
              <w:ind w:right="16"/>
              <w:spacing w:after="0"/>
              <w:rPr>
                <w:sz w:val="20"/>
                <w:szCs w:val="20"/>
                <w:color w:val="auto"/>
              </w:rPr>
            </w:pPr>
            <w:r>
              <w:rPr>
                <w:rFonts w:ascii="Arial" w:cs="Arial" w:eastAsia="Arial" w:hAnsi="Arial"/>
                <w:sz w:val="17"/>
                <w:szCs w:val="17"/>
                <w:color w:val="auto"/>
              </w:rPr>
              <w:t>67</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0" w:type="dxa"/>
            <w:vAlign w:val="bottom"/>
          </w:tcPr>
          <w:p>
            <w:pPr>
              <w:jc w:val="right"/>
              <w:ind w:right="16"/>
              <w:spacing w:after="0"/>
              <w:rPr>
                <w:sz w:val="20"/>
                <w:szCs w:val="20"/>
                <w:color w:val="auto"/>
              </w:rPr>
            </w:pPr>
            <w:r>
              <w:rPr>
                <w:rFonts w:ascii="Arial" w:cs="Arial" w:eastAsia="Arial" w:hAnsi="Arial"/>
                <w:sz w:val="17"/>
                <w:szCs w:val="17"/>
                <w:color w:val="auto"/>
              </w:rPr>
              <w:t>159</w:t>
            </w:r>
          </w:p>
        </w:tc>
      </w:tr>
      <w:tr>
        <w:trPr>
          <w:trHeight w:val="26"/>
        </w:trPr>
        <w:tc>
          <w:tcPr>
            <w:tcW w:w="37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39"/>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gratuity cost</w:t>
            </w:r>
          </w:p>
        </w:tc>
        <w:tc>
          <w:tcPr>
            <w:tcW w:w="1200" w:type="dxa"/>
            <w:vAlign w:val="bottom"/>
            <w:tcBorders>
              <w:bottom w:val="single" w:sz="8" w:color="auto"/>
            </w:tcBorders>
            <w:shd w:val="clear" w:color="auto" w:fill="CCEEFF"/>
          </w:tcPr>
          <w:p>
            <w:pPr>
              <w:jc w:val="right"/>
              <w:ind w:right="1016"/>
              <w:spacing w:after="0"/>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471</w:t>
            </w: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ind w:right="1116"/>
              <w:spacing w:after="0"/>
              <w:rPr>
                <w:sz w:val="20"/>
                <w:szCs w:val="20"/>
                <w:color w:val="auto"/>
              </w:rPr>
            </w:pPr>
            <w:r>
              <w:rPr>
                <w:rFonts w:ascii="Arial" w:cs="Arial" w:eastAsia="Arial" w:hAnsi="Arial"/>
                <w:sz w:val="17"/>
                <w:szCs w:val="17"/>
                <w:color w:val="auto"/>
                <w:w w:val="84"/>
              </w:rPr>
              <w:t>$</w:t>
            </w:r>
          </w:p>
        </w:tc>
        <w:tc>
          <w:tcPr>
            <w:tcW w:w="4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495</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936"/>
              <w:spacing w:after="0"/>
              <w:rPr>
                <w:sz w:val="20"/>
                <w:szCs w:val="20"/>
                <w:color w:val="auto"/>
              </w:rPr>
            </w:pPr>
            <w:r>
              <w:rPr>
                <w:rFonts w:ascii="Arial" w:cs="Arial" w:eastAsia="Arial" w:hAnsi="Arial"/>
                <w:sz w:val="17"/>
                <w:szCs w:val="17"/>
                <w:color w:val="auto"/>
                <w:w w:val="84"/>
              </w:rPr>
              <w:t>$</w:t>
            </w:r>
          </w:p>
        </w:tc>
        <w:tc>
          <w:tcPr>
            <w:tcW w:w="6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1,407</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956"/>
              <w:spacing w:after="0"/>
              <w:rPr>
                <w:sz w:val="20"/>
                <w:szCs w:val="20"/>
                <w:color w:val="auto"/>
              </w:rPr>
            </w:pPr>
            <w:r>
              <w:rPr>
                <w:rFonts w:ascii="Arial" w:cs="Arial" w:eastAsia="Arial" w:hAnsi="Arial"/>
                <w:sz w:val="17"/>
                <w:szCs w:val="17"/>
                <w:color w:val="auto"/>
                <w:w w:val="84"/>
              </w:rPr>
              <w:t>$</w:t>
            </w:r>
          </w:p>
        </w:tc>
        <w:tc>
          <w:tcPr>
            <w:tcW w:w="4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w w:val="84"/>
              </w:rPr>
              <w:t>1,526</w:t>
            </w:r>
          </w:p>
        </w:tc>
      </w:tr>
      <w:tr>
        <w:trPr>
          <w:trHeight w:val="20"/>
        </w:trPr>
        <w:tc>
          <w:tcPr>
            <w:tcW w:w="37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jc w:val="both"/>
        <w:ind w:firstLine="404"/>
        <w:spacing w:after="0" w:line="276" w:lineRule="auto"/>
        <w:rPr>
          <w:sz w:val="20"/>
          <w:szCs w:val="20"/>
          <w:color w:val="auto"/>
        </w:rPr>
      </w:pPr>
      <w:r>
        <w:rPr>
          <w:rFonts w:ascii="Arial" w:cs="Arial" w:eastAsia="Arial" w:hAnsi="Arial"/>
          <w:sz w:val="16"/>
          <w:szCs w:val="16"/>
          <w:color w:val="auto"/>
        </w:rPr>
        <w:t>The Gratuity Plan in India is partially funded. The Company makes annual contributions to the employees' gratuity fund established with Life Insurance Corporation of India and HDFC Standard Life Insurance Company. They calculate the annual contribution required to be made by the Company and manage the Gratuity Plans, including any required payouts. Fund managers manage these funds on a cash accumulation basis and declare interest retrospectively on March 31 of each year. The Company earned a return of approximately 9.0% each on these Gratuity Plans for the years ended March 31, 2016 and 2015.</w:t>
      </w:r>
    </w:p>
    <w:p>
      <w:pPr>
        <w:spacing w:after="0" w:line="110" w:lineRule="exact"/>
        <w:rPr>
          <w:sz w:val="20"/>
          <w:szCs w:val="20"/>
          <w:color w:val="auto"/>
        </w:rPr>
      </w:pPr>
    </w:p>
    <w:tbl>
      <w:tblPr>
        <w:tblLayout w:type="fixed"/>
        <w:tblInd w:w="1040" w:type="dxa"/>
        <w:tblCellMar>
          <w:top w:w="0" w:type="dxa"/>
          <w:left w:w="0" w:type="dxa"/>
          <w:bottom w:w="0" w:type="dxa"/>
          <w:right w:w="0" w:type="dxa"/>
        </w:tblCellMar>
      </w:tblPr>
      <w:tr>
        <w:trPr>
          <w:trHeight w:val="218"/>
        </w:trPr>
        <w:tc>
          <w:tcPr>
            <w:tcW w:w="7660" w:type="dxa"/>
            <w:vAlign w:val="bottom"/>
          </w:tcPr>
          <w:p>
            <w:pPr>
              <w:ind w:left="20"/>
              <w:spacing w:after="0"/>
              <w:rPr>
                <w:sz w:val="20"/>
                <w:szCs w:val="20"/>
                <w:color w:val="auto"/>
              </w:rPr>
            </w:pPr>
            <w:r>
              <w:rPr>
                <w:rFonts w:ascii="Arial" w:cs="Arial" w:eastAsia="Arial" w:hAnsi="Arial"/>
                <w:sz w:val="17"/>
                <w:szCs w:val="17"/>
                <w:b w:val="1"/>
                <w:bCs w:val="1"/>
                <w:color w:val="auto"/>
              </w:rPr>
              <w:t>Change in Plan Assets</w:t>
            </w:r>
          </w:p>
        </w:tc>
        <w:tc>
          <w:tcPr>
            <w:tcW w:w="7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6"/>
        </w:trPr>
        <w:tc>
          <w:tcPr>
            <w:tcW w:w="7660" w:type="dxa"/>
            <w:vAlign w:val="bottom"/>
          </w:tcPr>
          <w:p>
            <w:pPr>
              <w:spacing w:after="0"/>
              <w:rPr>
                <w:sz w:val="2"/>
                <w:szCs w:val="2"/>
                <w:color w:val="auto"/>
              </w:rPr>
            </w:pPr>
          </w:p>
        </w:tc>
        <w:tc>
          <w:tcPr>
            <w:tcW w:w="7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3"/>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Plan assets at January 1, 2016</w:t>
            </w:r>
          </w:p>
        </w:tc>
        <w:tc>
          <w:tcPr>
            <w:tcW w:w="720" w:type="dxa"/>
            <w:vAlign w:val="bottom"/>
            <w:tcBorders>
              <w:bottom w:val="single" w:sz="8" w:color="CCEEFF"/>
            </w:tcBorders>
            <w:shd w:val="clear" w:color="auto" w:fill="CCEEFF"/>
          </w:tcPr>
          <w:p>
            <w:pPr>
              <w:jc w:val="right"/>
              <w:ind w:right="436"/>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4,923</w:t>
            </w:r>
          </w:p>
        </w:tc>
      </w:tr>
      <w:tr>
        <w:trPr>
          <w:trHeight w:val="227"/>
        </w:trPr>
        <w:tc>
          <w:tcPr>
            <w:tcW w:w="7660" w:type="dxa"/>
            <w:vAlign w:val="bottom"/>
          </w:tcPr>
          <w:p>
            <w:pPr>
              <w:ind w:left="20"/>
              <w:spacing w:after="0"/>
              <w:rPr>
                <w:sz w:val="20"/>
                <w:szCs w:val="20"/>
                <w:color w:val="auto"/>
              </w:rPr>
            </w:pPr>
            <w:r>
              <w:rPr>
                <w:rFonts w:ascii="Arial" w:cs="Arial" w:eastAsia="Arial" w:hAnsi="Arial"/>
                <w:sz w:val="17"/>
                <w:szCs w:val="17"/>
                <w:color w:val="auto"/>
              </w:rPr>
              <w:t>Actual return</w:t>
            </w:r>
          </w:p>
        </w:tc>
        <w:tc>
          <w:tcPr>
            <w:tcW w:w="720" w:type="dxa"/>
            <w:vAlign w:val="bottom"/>
          </w:tcPr>
          <w:p>
            <w:pPr>
              <w:spacing w:after="0"/>
              <w:rPr>
                <w:sz w:val="19"/>
                <w:szCs w:val="19"/>
                <w:color w:val="auto"/>
              </w:rPr>
            </w:pPr>
          </w:p>
        </w:tc>
        <w:tc>
          <w:tcPr>
            <w:tcW w:w="980" w:type="dxa"/>
            <w:vAlign w:val="bottom"/>
          </w:tcPr>
          <w:p>
            <w:pPr>
              <w:jc w:val="right"/>
              <w:ind w:right="16"/>
              <w:spacing w:after="0"/>
              <w:rPr>
                <w:sz w:val="20"/>
                <w:szCs w:val="20"/>
                <w:color w:val="auto"/>
              </w:rPr>
            </w:pPr>
            <w:r>
              <w:rPr>
                <w:rFonts w:ascii="Arial" w:cs="Arial" w:eastAsia="Arial" w:hAnsi="Arial"/>
                <w:sz w:val="17"/>
                <w:szCs w:val="17"/>
                <w:color w:val="auto"/>
              </w:rPr>
              <w:t>328</w:t>
            </w:r>
          </w:p>
        </w:tc>
      </w:tr>
      <w:tr>
        <w:trPr>
          <w:trHeight w:val="26"/>
        </w:trPr>
        <w:tc>
          <w:tcPr>
            <w:tcW w:w="7660" w:type="dxa"/>
            <w:vAlign w:val="bottom"/>
          </w:tcPr>
          <w:p>
            <w:pPr>
              <w:spacing w:after="0"/>
              <w:rPr>
                <w:sz w:val="2"/>
                <w:szCs w:val="2"/>
                <w:color w:val="auto"/>
              </w:rPr>
            </w:pPr>
          </w:p>
        </w:tc>
        <w:tc>
          <w:tcPr>
            <w:tcW w:w="7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3"/>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Benefits paid</w:t>
            </w:r>
          </w:p>
        </w:tc>
        <w:tc>
          <w:tcPr>
            <w:tcW w:w="7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(656)</w:t>
            </w:r>
          </w:p>
        </w:tc>
      </w:tr>
      <w:tr>
        <w:trPr>
          <w:trHeight w:val="227"/>
        </w:trPr>
        <w:tc>
          <w:tcPr>
            <w:tcW w:w="7660" w:type="dxa"/>
            <w:vAlign w:val="bottom"/>
          </w:tcPr>
          <w:p>
            <w:pPr>
              <w:ind w:left="20"/>
              <w:spacing w:after="0"/>
              <w:rPr>
                <w:sz w:val="20"/>
                <w:szCs w:val="20"/>
                <w:color w:val="auto"/>
              </w:rPr>
            </w:pPr>
            <w:r>
              <w:rPr>
                <w:rFonts w:ascii="Arial" w:cs="Arial" w:eastAsia="Arial" w:hAnsi="Arial"/>
                <w:sz w:val="17"/>
                <w:szCs w:val="17"/>
                <w:color w:val="auto"/>
              </w:rPr>
              <w:t>Effect of exchange rate changes</w:t>
            </w:r>
          </w:p>
        </w:tc>
        <w:tc>
          <w:tcPr>
            <w:tcW w:w="7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(36)</w:t>
            </w:r>
          </w:p>
        </w:tc>
      </w:tr>
      <w:tr>
        <w:trPr>
          <w:trHeight w:val="26"/>
        </w:trPr>
        <w:tc>
          <w:tcPr>
            <w:tcW w:w="766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9"/>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Plan assets at September 30, 2016</w:t>
            </w:r>
          </w:p>
        </w:tc>
        <w:tc>
          <w:tcPr>
            <w:tcW w:w="720" w:type="dxa"/>
            <w:vAlign w:val="bottom"/>
            <w:tcBorders>
              <w:bottom w:val="single" w:sz="8" w:color="auto"/>
            </w:tcBorders>
            <w:shd w:val="clear" w:color="auto" w:fill="CCEEFF"/>
          </w:tcPr>
          <w:p>
            <w:pPr>
              <w:jc w:val="right"/>
              <w:ind w:right="436"/>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4,559</w:t>
            </w:r>
          </w:p>
        </w:tc>
      </w:tr>
      <w:tr>
        <w:trPr>
          <w:trHeight w:val="20"/>
        </w:trPr>
        <w:tc>
          <w:tcPr>
            <w:tcW w:w="76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jc w:val="both"/>
        <w:ind w:firstLine="404"/>
        <w:spacing w:after="0" w:line="276" w:lineRule="auto"/>
        <w:rPr>
          <w:sz w:val="20"/>
          <w:szCs w:val="20"/>
          <w:color w:val="auto"/>
        </w:rPr>
      </w:pPr>
      <w:r>
        <w:rPr>
          <w:rFonts w:ascii="Arial" w:cs="Arial" w:eastAsia="Arial" w:hAnsi="Arial"/>
          <w:sz w:val="16"/>
          <w:szCs w:val="16"/>
          <w:color w:val="auto"/>
        </w:rPr>
        <w:t>The Company maintains the Exl Service 401(k) Plan (the “401(k) Plan”) under Section 401(k) of the Internal Revenue Code of 1986 (the “Code”), covering all eligible employees, as defined in the 401(k) Plan. The Company may make discretionary contributions of up to a maximum of 3% of employee compensation within certain limits. The Company has made provisions for contributions to the 401(k) Plan amounting to $554 and $400 during the three months ended September 30, 2016 and 2015, respectively, and $1,945 and $1,551 during the nine months ended September 30, 2016 and 2015, respectively.</w:t>
      </w:r>
    </w:p>
    <w:p>
      <w:pPr>
        <w:spacing w:after="0" w:line="165" w:lineRule="exact"/>
        <w:rPr>
          <w:sz w:val="20"/>
          <w:szCs w:val="20"/>
          <w:color w:val="auto"/>
        </w:rPr>
      </w:pPr>
    </w:p>
    <w:p>
      <w:pPr>
        <w:jc w:val="both"/>
        <w:ind w:firstLine="404"/>
        <w:spacing w:after="0" w:line="259" w:lineRule="auto"/>
        <w:rPr>
          <w:sz w:val="20"/>
          <w:szCs w:val="20"/>
          <w:color w:val="auto"/>
        </w:rPr>
      </w:pPr>
      <w:r>
        <w:rPr>
          <w:rFonts w:ascii="Arial" w:cs="Arial" w:eastAsia="Arial" w:hAnsi="Arial"/>
          <w:sz w:val="17"/>
          <w:szCs w:val="17"/>
          <w:color w:val="auto"/>
        </w:rPr>
        <w:t>During the three months ended September 30, 2016 and 2015, the Company contributed $1,608 and $1,463, respectively, and during the nine months ended September 30, 2016 and 2015, the Company contributed $4,619 and $4,393, respectively, for various defined contribution plans on behalf of its employees in India, the Philippines, Romania, Bulgaria, Colombia, Singapore, South Africa and the Czech Republic.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1420"/>
          </w:cols>
          <w:pgMar w:left="240" w:top="123" w:right="239" w:bottom="1440" w:gutter="0" w:footer="0" w:header="0"/>
        </w:sectPr>
      </w:pPr>
    </w:p>
    <w:bookmarkStart w:id="21" w:name="page22"/>
    <w:bookmarkEnd w:id="21"/>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23" w:lineRule="exact"/>
        <w:rPr>
          <w:sz w:val="20"/>
          <w:szCs w:val="20"/>
          <w:color w:val="auto"/>
        </w:rPr>
      </w:pPr>
    </w:p>
    <w:p>
      <w:pPr>
        <w:ind w:left="4480"/>
        <w:spacing w:after="0"/>
        <w:rPr>
          <w:sz w:val="20"/>
          <w:szCs w:val="20"/>
          <w:color w:val="auto"/>
        </w:rPr>
      </w:pPr>
      <w:r>
        <w:rPr>
          <w:rFonts w:ascii="Arial" w:cs="Arial" w:eastAsia="Arial" w:hAnsi="Arial"/>
          <w:sz w:val="17"/>
          <w:szCs w:val="17"/>
          <w:b w:val="1"/>
          <w:bCs w:val="1"/>
          <w:color w:val="auto"/>
        </w:rPr>
        <w:t>EXLSERVICE HOLDINGS, INC.</w:t>
      </w:r>
    </w:p>
    <w:p>
      <w:pPr>
        <w:spacing w:after="0" w:line="92" w:lineRule="exact"/>
        <w:rPr>
          <w:sz w:val="20"/>
          <w:szCs w:val="20"/>
          <w:color w:val="auto"/>
        </w:rPr>
      </w:pPr>
    </w:p>
    <w:p>
      <w:pPr>
        <w:ind w:left="2480"/>
        <w:spacing w:after="0"/>
        <w:rPr>
          <w:sz w:val="20"/>
          <w:szCs w:val="20"/>
          <w:color w:val="auto"/>
        </w:rPr>
      </w:pPr>
      <w:r>
        <w:rPr>
          <w:rFonts w:ascii="Arial" w:cs="Arial" w:eastAsia="Arial" w:hAnsi="Arial"/>
          <w:sz w:val="17"/>
          <w:szCs w:val="17"/>
          <w:b w:val="1"/>
          <w:bCs w:val="1"/>
          <w:color w:val="auto"/>
        </w:rPr>
        <w:t>NOTES TO UNAUDITED CONSOLIDATED FINANCIAL STATEMENTS—(continued)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September 30, 2016</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Leases</w:t>
      </w:r>
    </w:p>
    <w:p>
      <w:pPr>
        <w:spacing w:after="0" w:line="112" w:lineRule="exact"/>
        <w:rPr>
          <w:sz w:val="20"/>
          <w:szCs w:val="20"/>
          <w:color w:val="auto"/>
        </w:rPr>
      </w:pPr>
    </w:p>
    <w:p>
      <w:pPr>
        <w:jc w:val="both"/>
        <w:ind w:firstLine="404"/>
        <w:spacing w:after="0" w:line="271" w:lineRule="auto"/>
        <w:rPr>
          <w:sz w:val="20"/>
          <w:szCs w:val="20"/>
          <w:color w:val="auto"/>
        </w:rPr>
      </w:pPr>
      <w:r>
        <w:rPr>
          <w:rFonts w:ascii="Arial" w:cs="Arial" w:eastAsia="Arial" w:hAnsi="Arial"/>
          <w:sz w:val="17"/>
          <w:szCs w:val="17"/>
          <w:color w:val="auto"/>
        </w:rPr>
        <w:t>The Company finances its use of certain motor vehicles under lease arrangements provided by financial institutions. Future minimum lease payments under these capital leases as of September 30, 2016 are as follows:</w:t>
      </w:r>
    </w:p>
    <w:p>
      <w:pPr>
        <w:spacing w:after="0" w:line="216" w:lineRule="exact"/>
        <w:rPr>
          <w:sz w:val="20"/>
          <w:szCs w:val="20"/>
          <w:color w:val="auto"/>
        </w:rPr>
      </w:pPr>
    </w:p>
    <w:tbl>
      <w:tblPr>
        <w:tblLayout w:type="fixed"/>
        <w:tblInd w:w="1220" w:type="dxa"/>
        <w:tblCellMar>
          <w:top w:w="0" w:type="dxa"/>
          <w:left w:w="0" w:type="dxa"/>
          <w:bottom w:w="0" w:type="dxa"/>
          <w:right w:w="0" w:type="dxa"/>
        </w:tblCellMar>
      </w:tblPr>
      <w:tr>
        <w:trPr>
          <w:trHeight w:val="214"/>
        </w:trPr>
        <w:tc>
          <w:tcPr>
            <w:tcW w:w="8080" w:type="dxa"/>
            <w:vAlign w:val="bottom"/>
          </w:tcPr>
          <w:p>
            <w:pPr>
              <w:ind w:left="20"/>
              <w:spacing w:after="0"/>
              <w:rPr>
                <w:sz w:val="20"/>
                <w:szCs w:val="20"/>
                <w:color w:val="auto"/>
              </w:rPr>
            </w:pPr>
            <w:r>
              <w:rPr>
                <w:rFonts w:ascii="Arial" w:cs="Arial" w:eastAsia="Arial" w:hAnsi="Arial"/>
                <w:sz w:val="17"/>
                <w:szCs w:val="17"/>
                <w:color w:val="auto"/>
              </w:rPr>
              <w:t>Year ending September 30,</w:t>
            </w: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6"/>
        </w:trPr>
        <w:tc>
          <w:tcPr>
            <w:tcW w:w="8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33"/>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2017</w:t>
            </w:r>
          </w:p>
        </w:tc>
        <w:tc>
          <w:tcPr>
            <w:tcW w:w="34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282</w:t>
            </w:r>
          </w:p>
        </w:tc>
      </w:tr>
      <w:tr>
        <w:trPr>
          <w:trHeight w:val="227"/>
        </w:trPr>
        <w:tc>
          <w:tcPr>
            <w:tcW w:w="8080" w:type="dxa"/>
            <w:vAlign w:val="bottom"/>
          </w:tcPr>
          <w:p>
            <w:pPr>
              <w:ind w:left="20"/>
              <w:spacing w:after="0"/>
              <w:rPr>
                <w:sz w:val="20"/>
                <w:szCs w:val="20"/>
                <w:color w:val="auto"/>
              </w:rPr>
            </w:pPr>
            <w:r>
              <w:rPr>
                <w:rFonts w:ascii="Arial" w:cs="Arial" w:eastAsia="Arial" w:hAnsi="Arial"/>
                <w:sz w:val="17"/>
                <w:szCs w:val="17"/>
                <w:color w:val="auto"/>
              </w:rPr>
              <w:t>2018</w:t>
            </w:r>
          </w:p>
        </w:tc>
        <w:tc>
          <w:tcPr>
            <w:tcW w:w="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135</w:t>
            </w:r>
          </w:p>
        </w:tc>
      </w:tr>
      <w:tr>
        <w:trPr>
          <w:trHeight w:val="26"/>
        </w:trPr>
        <w:tc>
          <w:tcPr>
            <w:tcW w:w="8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33"/>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2019</w:t>
            </w:r>
          </w:p>
        </w:tc>
        <w:tc>
          <w:tcPr>
            <w:tcW w:w="3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80</w:t>
            </w:r>
          </w:p>
        </w:tc>
      </w:tr>
      <w:tr>
        <w:trPr>
          <w:trHeight w:val="227"/>
        </w:trPr>
        <w:tc>
          <w:tcPr>
            <w:tcW w:w="8080" w:type="dxa"/>
            <w:vAlign w:val="bottom"/>
          </w:tcPr>
          <w:p>
            <w:pPr>
              <w:ind w:left="20"/>
              <w:spacing w:after="0"/>
              <w:rPr>
                <w:sz w:val="20"/>
                <w:szCs w:val="20"/>
                <w:color w:val="auto"/>
              </w:rPr>
            </w:pPr>
            <w:r>
              <w:rPr>
                <w:rFonts w:ascii="Arial" w:cs="Arial" w:eastAsia="Arial" w:hAnsi="Arial"/>
                <w:sz w:val="17"/>
                <w:szCs w:val="17"/>
                <w:color w:val="auto"/>
              </w:rPr>
              <w:t>2020</w:t>
            </w:r>
          </w:p>
        </w:tc>
        <w:tc>
          <w:tcPr>
            <w:tcW w:w="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34</w:t>
            </w:r>
          </w:p>
        </w:tc>
      </w:tr>
      <w:tr>
        <w:trPr>
          <w:trHeight w:val="26"/>
        </w:trPr>
        <w:tc>
          <w:tcPr>
            <w:tcW w:w="8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25"/>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minimum lease payments</w:t>
            </w:r>
          </w:p>
        </w:tc>
        <w:tc>
          <w:tcPr>
            <w:tcW w:w="34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531</w:t>
            </w:r>
          </w:p>
        </w:tc>
      </w:tr>
      <w:tr>
        <w:trPr>
          <w:trHeight w:val="227"/>
        </w:trPr>
        <w:tc>
          <w:tcPr>
            <w:tcW w:w="8080" w:type="dxa"/>
            <w:vAlign w:val="bottom"/>
          </w:tcPr>
          <w:p>
            <w:pPr>
              <w:ind w:left="20"/>
              <w:spacing w:after="0"/>
              <w:rPr>
                <w:sz w:val="20"/>
                <w:szCs w:val="20"/>
                <w:color w:val="auto"/>
              </w:rPr>
            </w:pPr>
            <w:r>
              <w:rPr>
                <w:rFonts w:ascii="Arial" w:cs="Arial" w:eastAsia="Arial" w:hAnsi="Arial"/>
                <w:sz w:val="17"/>
                <w:szCs w:val="17"/>
                <w:color w:val="auto"/>
              </w:rPr>
              <w:t>Less: amount representing interest</w:t>
            </w:r>
          </w:p>
        </w:tc>
        <w:tc>
          <w:tcPr>
            <w:tcW w:w="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80</w:t>
            </w:r>
          </w:p>
        </w:tc>
      </w:tr>
      <w:tr>
        <w:trPr>
          <w:trHeight w:val="26"/>
        </w:trPr>
        <w:tc>
          <w:tcPr>
            <w:tcW w:w="8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25"/>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Present value of minimum lease payments</w:t>
            </w:r>
          </w:p>
        </w:tc>
        <w:tc>
          <w:tcPr>
            <w:tcW w:w="34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451</w:t>
            </w:r>
          </w:p>
        </w:tc>
      </w:tr>
      <w:tr>
        <w:trPr>
          <w:trHeight w:val="227"/>
        </w:trPr>
        <w:tc>
          <w:tcPr>
            <w:tcW w:w="8080" w:type="dxa"/>
            <w:vAlign w:val="bottom"/>
          </w:tcPr>
          <w:p>
            <w:pPr>
              <w:ind w:left="20"/>
              <w:spacing w:after="0"/>
              <w:rPr>
                <w:sz w:val="20"/>
                <w:szCs w:val="20"/>
                <w:color w:val="auto"/>
              </w:rPr>
            </w:pPr>
            <w:r>
              <w:rPr>
                <w:rFonts w:ascii="Arial" w:cs="Arial" w:eastAsia="Arial" w:hAnsi="Arial"/>
                <w:sz w:val="17"/>
                <w:szCs w:val="17"/>
                <w:color w:val="auto"/>
              </w:rPr>
              <w:t>Less: current portion</w:t>
            </w:r>
          </w:p>
        </w:tc>
        <w:tc>
          <w:tcPr>
            <w:tcW w:w="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237</w:t>
            </w:r>
          </w:p>
        </w:tc>
      </w:tr>
      <w:tr>
        <w:trPr>
          <w:trHeight w:val="26"/>
        </w:trPr>
        <w:tc>
          <w:tcPr>
            <w:tcW w:w="8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Long term capital lease obligation</w:t>
            </w:r>
          </w:p>
        </w:tc>
        <w:tc>
          <w:tcPr>
            <w:tcW w:w="34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214</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jc w:val="both"/>
        <w:ind w:firstLine="404"/>
        <w:spacing w:after="0" w:line="271" w:lineRule="auto"/>
        <w:rPr>
          <w:sz w:val="20"/>
          <w:szCs w:val="20"/>
          <w:color w:val="auto"/>
        </w:rPr>
      </w:pPr>
      <w:r>
        <w:rPr>
          <w:rFonts w:ascii="Arial" w:cs="Arial" w:eastAsia="Arial" w:hAnsi="Arial"/>
          <w:sz w:val="17"/>
          <w:szCs w:val="17"/>
          <w:color w:val="auto"/>
        </w:rPr>
        <w:t>The Company conducts its operations using facilities leased under non-cancelable operating lease agreements that expire at various dates. Future minimum lease payments under non-cancellable agreements expiring after September 30, 2016 are set forth below:</w:t>
      </w:r>
    </w:p>
    <w:p>
      <w:pPr>
        <w:spacing w:after="0" w:line="317" w:lineRule="exact"/>
        <w:rPr>
          <w:sz w:val="20"/>
          <w:szCs w:val="20"/>
          <w:color w:val="auto"/>
        </w:rPr>
      </w:pPr>
    </w:p>
    <w:tbl>
      <w:tblPr>
        <w:tblLayout w:type="fixed"/>
        <w:tblInd w:w="1220" w:type="dxa"/>
        <w:tblCellMar>
          <w:top w:w="0" w:type="dxa"/>
          <w:left w:w="0" w:type="dxa"/>
          <w:bottom w:w="0" w:type="dxa"/>
          <w:right w:w="0" w:type="dxa"/>
        </w:tblCellMar>
      </w:tblPr>
      <w:tr>
        <w:trPr>
          <w:trHeight w:val="214"/>
        </w:trPr>
        <w:tc>
          <w:tcPr>
            <w:tcW w:w="7640" w:type="dxa"/>
            <w:vAlign w:val="bottom"/>
          </w:tcPr>
          <w:p>
            <w:pPr>
              <w:ind w:left="20"/>
              <w:spacing w:after="0"/>
              <w:rPr>
                <w:sz w:val="20"/>
                <w:szCs w:val="20"/>
                <w:color w:val="auto"/>
              </w:rPr>
            </w:pPr>
            <w:r>
              <w:rPr>
                <w:rFonts w:ascii="Arial" w:cs="Arial" w:eastAsia="Arial" w:hAnsi="Arial"/>
                <w:sz w:val="17"/>
                <w:szCs w:val="17"/>
                <w:color w:val="auto"/>
              </w:rPr>
              <w:t>Year ending September 30,</w:t>
            </w: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6"/>
        </w:trPr>
        <w:tc>
          <w:tcPr>
            <w:tcW w:w="7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3"/>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2017</w:t>
            </w:r>
          </w:p>
        </w:tc>
        <w:tc>
          <w:tcPr>
            <w:tcW w:w="460" w:type="dxa"/>
            <w:vAlign w:val="bottom"/>
            <w:tcBorders>
              <w:bottom w:val="single" w:sz="8" w:color="CCEEFF"/>
            </w:tcBorders>
            <w:shd w:val="clear" w:color="auto" w:fill="CCEEFF"/>
          </w:tcPr>
          <w:p>
            <w:pPr>
              <w:jc w:val="right"/>
              <w:ind w:right="276"/>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9,936</w:t>
            </w:r>
          </w:p>
        </w:tc>
      </w:tr>
      <w:tr>
        <w:trPr>
          <w:trHeight w:val="227"/>
        </w:trPr>
        <w:tc>
          <w:tcPr>
            <w:tcW w:w="7640" w:type="dxa"/>
            <w:vAlign w:val="bottom"/>
          </w:tcPr>
          <w:p>
            <w:pPr>
              <w:ind w:left="20"/>
              <w:spacing w:after="0"/>
              <w:rPr>
                <w:sz w:val="20"/>
                <w:szCs w:val="20"/>
                <w:color w:val="auto"/>
              </w:rPr>
            </w:pPr>
            <w:r>
              <w:rPr>
                <w:rFonts w:ascii="Arial" w:cs="Arial" w:eastAsia="Arial" w:hAnsi="Arial"/>
                <w:sz w:val="17"/>
                <w:szCs w:val="17"/>
                <w:color w:val="auto"/>
              </w:rPr>
              <w:t>2018</w:t>
            </w: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8,471</w:t>
            </w:r>
          </w:p>
        </w:tc>
      </w:tr>
      <w:tr>
        <w:trPr>
          <w:trHeight w:val="26"/>
        </w:trPr>
        <w:tc>
          <w:tcPr>
            <w:tcW w:w="7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3"/>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2019</w:t>
            </w:r>
          </w:p>
        </w:tc>
        <w:tc>
          <w:tcPr>
            <w:tcW w:w="4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6,622</w:t>
            </w:r>
          </w:p>
        </w:tc>
      </w:tr>
      <w:tr>
        <w:trPr>
          <w:trHeight w:val="227"/>
        </w:trPr>
        <w:tc>
          <w:tcPr>
            <w:tcW w:w="7640" w:type="dxa"/>
            <w:vAlign w:val="bottom"/>
          </w:tcPr>
          <w:p>
            <w:pPr>
              <w:ind w:left="20"/>
              <w:spacing w:after="0"/>
              <w:rPr>
                <w:sz w:val="20"/>
                <w:szCs w:val="20"/>
                <w:color w:val="auto"/>
              </w:rPr>
            </w:pPr>
            <w:r>
              <w:rPr>
                <w:rFonts w:ascii="Arial" w:cs="Arial" w:eastAsia="Arial" w:hAnsi="Arial"/>
                <w:sz w:val="17"/>
                <w:szCs w:val="17"/>
                <w:color w:val="auto"/>
              </w:rPr>
              <w:t>2020</w:t>
            </w: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3,994</w:t>
            </w:r>
          </w:p>
        </w:tc>
      </w:tr>
      <w:tr>
        <w:trPr>
          <w:trHeight w:val="26"/>
        </w:trPr>
        <w:tc>
          <w:tcPr>
            <w:tcW w:w="7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3"/>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2021</w:t>
            </w:r>
          </w:p>
        </w:tc>
        <w:tc>
          <w:tcPr>
            <w:tcW w:w="4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2,535</w:t>
            </w:r>
          </w:p>
        </w:tc>
      </w:tr>
      <w:tr>
        <w:trPr>
          <w:trHeight w:val="227"/>
        </w:trPr>
        <w:tc>
          <w:tcPr>
            <w:tcW w:w="7640" w:type="dxa"/>
            <w:vAlign w:val="bottom"/>
          </w:tcPr>
          <w:p>
            <w:pPr>
              <w:ind w:left="20"/>
              <w:spacing w:after="0"/>
              <w:rPr>
                <w:sz w:val="20"/>
                <w:szCs w:val="20"/>
                <w:color w:val="auto"/>
              </w:rPr>
            </w:pPr>
            <w:r>
              <w:rPr>
                <w:rFonts w:ascii="Arial" w:cs="Arial" w:eastAsia="Arial" w:hAnsi="Arial"/>
                <w:sz w:val="17"/>
                <w:szCs w:val="17"/>
                <w:color w:val="auto"/>
              </w:rPr>
              <w:t>2022 and thereafter</w:t>
            </w: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1,520</w:t>
            </w:r>
          </w:p>
        </w:tc>
      </w:tr>
      <w:tr>
        <w:trPr>
          <w:trHeight w:val="26"/>
        </w:trPr>
        <w:tc>
          <w:tcPr>
            <w:tcW w:w="76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6"/>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33,078</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jc w:val="both"/>
        <w:ind w:firstLine="404"/>
        <w:spacing w:after="0" w:line="273" w:lineRule="auto"/>
        <w:rPr>
          <w:sz w:val="20"/>
          <w:szCs w:val="20"/>
          <w:color w:val="auto"/>
        </w:rPr>
      </w:pPr>
      <w:r>
        <w:rPr>
          <w:rFonts w:ascii="Arial" w:cs="Arial" w:eastAsia="Arial" w:hAnsi="Arial"/>
          <w:sz w:val="16"/>
          <w:szCs w:val="16"/>
          <w:color w:val="auto"/>
        </w:rPr>
        <w:t>The operating leases are subject to renewal periodically and have scheduled rent increases. The Company recognizes rent on such leases on a straight line basis over the non-cancelable lease period determined under ASC topic 840, “Leases”. Rent expense under both cancelable and non-cancelable operating leases was $5,445 and $4,994 for the three months ended September 30, 2016 and 2015, respectively and $15,871 and $15,089 for the nine months ended September 30, 2016 and 2015, respectively. Deferred rent as of September 30, 2016 and December 31, 2015 was $7,828 and $7,066, respectively, and is included under “Accrued expenses and other current liabilities” and “Non-current liabilities” in the consolidated balance sheets.</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Income Taxes</w:t>
      </w:r>
    </w:p>
    <w:p>
      <w:pPr>
        <w:spacing w:after="0" w:line="112" w:lineRule="exact"/>
        <w:rPr>
          <w:sz w:val="20"/>
          <w:szCs w:val="20"/>
          <w:color w:val="auto"/>
        </w:rPr>
      </w:pPr>
    </w:p>
    <w:p>
      <w:pPr>
        <w:jc w:val="both"/>
        <w:ind w:firstLine="404"/>
        <w:spacing w:after="0" w:line="259" w:lineRule="auto"/>
        <w:rPr>
          <w:sz w:val="20"/>
          <w:szCs w:val="20"/>
          <w:color w:val="auto"/>
        </w:rPr>
      </w:pPr>
      <w:r>
        <w:rPr>
          <w:rFonts w:ascii="Arial" w:cs="Arial" w:eastAsia="Arial" w:hAnsi="Arial"/>
          <w:sz w:val="17"/>
          <w:szCs w:val="17"/>
          <w:color w:val="auto"/>
        </w:rPr>
        <w:t>The Company determines the tax provision for interim periods using an estimate of its annual effective tax rate adjusted for discrete items, if any, that are taken into account in the relevant period. Each quarter, the Company updates its estimate of annual effective tax rate, and if its estimated tax rate changes, the Company makes a cumulative adjustment.</w:t>
      </w:r>
    </w:p>
    <w:p>
      <w:pPr>
        <w:spacing w:after="0" w:line="75" w:lineRule="exact"/>
        <w:rPr>
          <w:sz w:val="20"/>
          <w:szCs w:val="20"/>
          <w:color w:val="auto"/>
        </w:rPr>
      </w:pPr>
    </w:p>
    <w:p>
      <w:pPr>
        <w:jc w:val="both"/>
        <w:ind w:firstLine="404"/>
        <w:spacing w:after="0" w:line="289" w:lineRule="auto"/>
        <w:rPr>
          <w:sz w:val="20"/>
          <w:szCs w:val="20"/>
          <w:color w:val="auto"/>
        </w:rPr>
      </w:pPr>
      <w:r>
        <w:rPr>
          <w:rFonts w:ascii="Arial" w:cs="Arial" w:eastAsia="Arial" w:hAnsi="Arial"/>
          <w:sz w:val="15"/>
          <w:szCs w:val="15"/>
          <w:color w:val="auto"/>
        </w:rPr>
        <w:t>The Company recorded income tax expense of $5,646 and $7,565, respectively, for the three months ended September 30, 2016 and 2015. The effective tax rate decreased from 33.3% during the three months ended September 30, 2015 to 26.0% during the three months ended September 30, 2016. The decrease was the result of</w:t>
      </w:r>
    </w:p>
    <w:p>
      <w:pPr>
        <w:spacing w:after="0" w:line="1" w:lineRule="exact"/>
        <w:rPr>
          <w:sz w:val="20"/>
          <w:szCs w:val="20"/>
          <w:color w:val="auto"/>
        </w:rPr>
      </w:pPr>
    </w:p>
    <w:p>
      <w:pPr>
        <w:ind w:firstLine="1"/>
        <w:spacing w:after="0" w:line="256" w:lineRule="auto"/>
        <w:tabs>
          <w:tab w:leader="none" w:pos="230" w:val="left"/>
        </w:tabs>
        <w:numPr>
          <w:ilvl w:val="0"/>
          <w:numId w:val="9"/>
        </w:numPr>
        <w:rPr>
          <w:rFonts w:ascii="Arial" w:cs="Arial" w:eastAsia="Arial" w:hAnsi="Arial"/>
          <w:sz w:val="17"/>
          <w:szCs w:val="17"/>
          <w:color w:val="auto"/>
        </w:rPr>
      </w:pPr>
      <w:r>
        <w:rPr>
          <w:rFonts w:ascii="Arial" w:cs="Arial" w:eastAsia="Arial" w:hAnsi="Arial"/>
          <w:sz w:val="17"/>
          <w:szCs w:val="17"/>
          <w:color w:val="auto"/>
        </w:rPr>
        <w:t>higher income tax expense during the three months ended September 30, 2015 due to certain adjustments (resulting in an increase in income tax expense of approximately $600), and (ii) an increase in earnings in locations with lower tax rates as well as tax incentives.</w:t>
      </w:r>
    </w:p>
    <w:p>
      <w:pPr>
        <w:spacing w:after="0" w:line="77" w:lineRule="exact"/>
        <w:rPr>
          <w:sz w:val="20"/>
          <w:szCs w:val="20"/>
          <w:color w:val="auto"/>
        </w:rPr>
      </w:pPr>
    </w:p>
    <w:p>
      <w:pPr>
        <w:ind w:firstLine="404"/>
        <w:spacing w:after="0" w:line="271" w:lineRule="auto"/>
        <w:rPr>
          <w:sz w:val="20"/>
          <w:szCs w:val="20"/>
          <w:color w:val="auto"/>
        </w:rPr>
      </w:pPr>
      <w:r>
        <w:rPr>
          <w:rFonts w:ascii="Arial" w:cs="Arial" w:eastAsia="Arial" w:hAnsi="Arial"/>
          <w:sz w:val="17"/>
          <w:szCs w:val="17"/>
          <w:color w:val="auto"/>
        </w:rPr>
        <w:t>The Company recorded income tax expense of $18,549 and $19,309, respectively, for the nine months ended September 30, 2016 and 2015. The effective tax rate decreased from 34.4% during the nine months ended September 30, 2015 to 28.6% during</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1420"/>
          </w:cols>
          <w:pgMar w:left="240" w:top="123" w:right="239" w:bottom="1440" w:gutter="0" w:footer="0" w:header="0"/>
        </w:sectPr>
      </w:pPr>
    </w:p>
    <w:bookmarkStart w:id="22" w:name="page23"/>
    <w:bookmarkEnd w:id="22"/>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23" w:lineRule="exact"/>
        <w:rPr>
          <w:sz w:val="20"/>
          <w:szCs w:val="20"/>
          <w:color w:val="auto"/>
        </w:rPr>
      </w:pPr>
    </w:p>
    <w:p>
      <w:pPr>
        <w:ind w:left="4480"/>
        <w:spacing w:after="0"/>
        <w:rPr>
          <w:sz w:val="20"/>
          <w:szCs w:val="20"/>
          <w:color w:val="auto"/>
        </w:rPr>
      </w:pPr>
      <w:r>
        <w:rPr>
          <w:rFonts w:ascii="Arial" w:cs="Arial" w:eastAsia="Arial" w:hAnsi="Arial"/>
          <w:sz w:val="17"/>
          <w:szCs w:val="17"/>
          <w:b w:val="1"/>
          <w:bCs w:val="1"/>
          <w:color w:val="auto"/>
        </w:rPr>
        <w:t>EXLSERVICE HOLDINGS, INC.</w:t>
      </w:r>
    </w:p>
    <w:p>
      <w:pPr>
        <w:spacing w:after="0" w:line="92" w:lineRule="exact"/>
        <w:rPr>
          <w:sz w:val="20"/>
          <w:szCs w:val="20"/>
          <w:color w:val="auto"/>
        </w:rPr>
      </w:pPr>
    </w:p>
    <w:p>
      <w:pPr>
        <w:ind w:left="2480"/>
        <w:spacing w:after="0"/>
        <w:rPr>
          <w:sz w:val="20"/>
          <w:szCs w:val="20"/>
          <w:color w:val="auto"/>
        </w:rPr>
      </w:pPr>
      <w:r>
        <w:rPr>
          <w:rFonts w:ascii="Arial" w:cs="Arial" w:eastAsia="Arial" w:hAnsi="Arial"/>
          <w:sz w:val="17"/>
          <w:szCs w:val="17"/>
          <w:b w:val="1"/>
          <w:bCs w:val="1"/>
          <w:color w:val="auto"/>
        </w:rPr>
        <w:t>NOTES TO UNAUDITED CONSOLIDATED FINANCIAL STATEMENTS—(continued)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September 30, 2016</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00" w:lineRule="exact"/>
        <w:rPr>
          <w:sz w:val="20"/>
          <w:szCs w:val="20"/>
          <w:color w:val="auto"/>
        </w:rPr>
      </w:pPr>
    </w:p>
    <w:p>
      <w:pPr>
        <w:spacing w:after="0" w:line="326"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the nine months ended September 30, 2016. The decrease was the result of (i) higher income tax expense during the nine months ended September 30, 2015 due to certain adjustments (resulting in an increase in income tax expense of approximately $2,400) and (ii) an increase in earnings in locations with lower tax rates as well as tax incentives. The decrease in effective tax rate was partially offset by the reversal of earn-out liability of $4,060 in other income during the nine months ended September 30, 2016 related to the Company's RPM acquisition.</w:t>
      </w:r>
    </w:p>
    <w:p>
      <w:pPr>
        <w:spacing w:after="0" w:line="79"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table summarizes the activity related to the gross unrecognized tax benefits from January 1, 2016 through September 30, 2016:</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9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as of January 1, 2016</w:t>
            </w:r>
          </w:p>
        </w:tc>
        <w:tc>
          <w:tcPr>
            <w:tcW w:w="480" w:type="dxa"/>
            <w:vAlign w:val="bottom"/>
            <w:shd w:val="clear" w:color="auto" w:fill="CCEEFF"/>
          </w:tcPr>
          <w:p>
            <w:pPr>
              <w:jc w:val="right"/>
              <w:ind w:right="276"/>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2,797</w:t>
            </w:r>
          </w:p>
        </w:tc>
        <w:tc>
          <w:tcPr>
            <w:tcW w:w="0" w:type="dxa"/>
            <w:vAlign w:val="bottom"/>
          </w:tcPr>
          <w:p>
            <w:pPr>
              <w:spacing w:after="0"/>
              <w:rPr>
                <w:sz w:val="1"/>
                <w:szCs w:val="1"/>
                <w:color w:val="auto"/>
              </w:rPr>
            </w:pPr>
          </w:p>
        </w:tc>
      </w:tr>
      <w:tr>
        <w:trPr>
          <w:trHeight w:val="227"/>
        </w:trPr>
        <w:tc>
          <w:tcPr>
            <w:tcW w:w="9740" w:type="dxa"/>
            <w:vAlign w:val="bottom"/>
          </w:tcPr>
          <w:p>
            <w:pPr>
              <w:ind w:left="360"/>
              <w:spacing w:after="0"/>
              <w:rPr>
                <w:sz w:val="20"/>
                <w:szCs w:val="20"/>
                <w:color w:val="auto"/>
              </w:rPr>
            </w:pPr>
            <w:r>
              <w:rPr>
                <w:rFonts w:ascii="Arial" w:cs="Arial" w:eastAsia="Arial" w:hAnsi="Arial"/>
                <w:sz w:val="17"/>
                <w:szCs w:val="17"/>
                <w:color w:val="auto"/>
              </w:rPr>
              <w:t>Increases related to prior year tax positions</w:t>
            </w:r>
          </w:p>
        </w:tc>
        <w:tc>
          <w:tcPr>
            <w:tcW w:w="480" w:type="dxa"/>
            <w:vAlign w:val="bottom"/>
          </w:tcPr>
          <w:p>
            <w:pPr>
              <w:spacing w:after="0"/>
              <w:rPr>
                <w:sz w:val="19"/>
                <w:szCs w:val="19"/>
                <w:color w:val="auto"/>
              </w:rPr>
            </w:pPr>
          </w:p>
        </w:tc>
        <w:tc>
          <w:tcPr>
            <w:tcW w:w="84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97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9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Decreases related to prior year tax positions</w:t>
            </w:r>
          </w:p>
        </w:tc>
        <w:tc>
          <w:tcPr>
            <w:tcW w:w="4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7"/>
        </w:trPr>
        <w:tc>
          <w:tcPr>
            <w:tcW w:w="9740" w:type="dxa"/>
            <w:vAlign w:val="bottom"/>
          </w:tcPr>
          <w:p>
            <w:pPr>
              <w:ind w:left="360"/>
              <w:spacing w:after="0"/>
              <w:rPr>
                <w:sz w:val="20"/>
                <w:szCs w:val="20"/>
                <w:color w:val="auto"/>
              </w:rPr>
            </w:pPr>
            <w:r>
              <w:rPr>
                <w:rFonts w:ascii="Arial" w:cs="Arial" w:eastAsia="Arial" w:hAnsi="Arial"/>
                <w:sz w:val="17"/>
                <w:szCs w:val="17"/>
                <w:color w:val="auto"/>
              </w:rPr>
              <w:t>Increases related to current year tax positions</w:t>
            </w:r>
          </w:p>
        </w:tc>
        <w:tc>
          <w:tcPr>
            <w:tcW w:w="480" w:type="dxa"/>
            <w:vAlign w:val="bottom"/>
          </w:tcPr>
          <w:p>
            <w:pPr>
              <w:spacing w:after="0"/>
              <w:rPr>
                <w:sz w:val="19"/>
                <w:szCs w:val="19"/>
                <w:color w:val="auto"/>
              </w:rPr>
            </w:pPr>
          </w:p>
        </w:tc>
        <w:tc>
          <w:tcPr>
            <w:tcW w:w="84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97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9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Decreases related to current year tax positions</w:t>
            </w:r>
          </w:p>
        </w:tc>
        <w:tc>
          <w:tcPr>
            <w:tcW w:w="4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7"/>
        </w:trPr>
        <w:tc>
          <w:tcPr>
            <w:tcW w:w="9740" w:type="dxa"/>
            <w:vAlign w:val="bottom"/>
          </w:tcPr>
          <w:p>
            <w:pPr>
              <w:ind w:left="360"/>
              <w:spacing w:after="0"/>
              <w:rPr>
                <w:sz w:val="20"/>
                <w:szCs w:val="20"/>
                <w:color w:val="auto"/>
              </w:rPr>
            </w:pPr>
            <w:r>
              <w:rPr>
                <w:rFonts w:ascii="Arial" w:cs="Arial" w:eastAsia="Arial" w:hAnsi="Arial"/>
                <w:sz w:val="17"/>
                <w:szCs w:val="17"/>
                <w:color w:val="auto"/>
              </w:rPr>
              <w:t>Effect of exchange rate changes</w:t>
            </w: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6"/>
        </w:trPr>
        <w:tc>
          <w:tcPr>
            <w:tcW w:w="97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9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as of September 30, 2016</w:t>
            </w:r>
          </w:p>
        </w:tc>
        <w:tc>
          <w:tcPr>
            <w:tcW w:w="480" w:type="dxa"/>
            <w:vAlign w:val="bottom"/>
            <w:tcBorders>
              <w:bottom w:val="single" w:sz="8" w:color="CCEEFF"/>
            </w:tcBorders>
            <w:shd w:val="clear" w:color="auto" w:fill="CCEEFF"/>
          </w:tcPr>
          <w:p>
            <w:pPr>
              <w:jc w:val="right"/>
              <w:ind w:right="276"/>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2,785</w:t>
            </w:r>
          </w:p>
        </w:tc>
        <w:tc>
          <w:tcPr>
            <w:tcW w:w="0" w:type="dxa"/>
            <w:vAlign w:val="bottom"/>
          </w:tcPr>
          <w:p>
            <w:pPr>
              <w:spacing w:after="0"/>
              <w:rPr>
                <w:sz w:val="1"/>
                <w:szCs w:val="1"/>
                <w:color w:val="auto"/>
              </w:rPr>
            </w:pPr>
          </w:p>
        </w:tc>
      </w:tr>
      <w:tr>
        <w:trPr>
          <w:trHeight w:val="20"/>
        </w:trPr>
        <w:tc>
          <w:tcPr>
            <w:tcW w:w="9740" w:type="dxa"/>
            <w:vAlign w:val="bottom"/>
            <w:tcBorders>
              <w:top w:val="single" w:sz="8" w:color="CCEEFF"/>
              <w:bottom w:val="single" w:sz="8" w:color="CCEEFF"/>
            </w:tcBorders>
            <w:vMerge w:val="restart"/>
          </w:tcPr>
          <w:p>
            <w:pPr>
              <w:ind w:left="400"/>
              <w:spacing w:after="0"/>
              <w:rPr>
                <w:sz w:val="20"/>
                <w:szCs w:val="20"/>
                <w:color w:val="auto"/>
              </w:rPr>
            </w:pPr>
            <w:r>
              <w:rPr>
                <w:rFonts w:ascii="Arial" w:cs="Arial" w:eastAsia="Arial" w:hAnsi="Arial"/>
                <w:sz w:val="17"/>
                <w:szCs w:val="17"/>
                <w:color w:val="auto"/>
              </w:rPr>
              <w:t>The unrecognized tax benefits as of September 30, 2016 of $2,785 if recognized, would impact the effective tax rate.</w:t>
            </w:r>
          </w:p>
        </w:tc>
        <w:tc>
          <w:tcPr>
            <w:tcW w:w="4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2"/>
        </w:trPr>
        <w:tc>
          <w:tcPr>
            <w:tcW w:w="974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jc w:val="both"/>
        <w:ind w:firstLine="404"/>
        <w:spacing w:after="0" w:line="259" w:lineRule="auto"/>
        <w:rPr>
          <w:sz w:val="20"/>
          <w:szCs w:val="20"/>
          <w:color w:val="auto"/>
        </w:rPr>
      </w:pPr>
      <w:r>
        <w:rPr>
          <w:rFonts w:ascii="Arial" w:cs="Arial" w:eastAsia="Arial" w:hAnsi="Arial"/>
          <w:sz w:val="17"/>
          <w:szCs w:val="17"/>
          <w:color w:val="auto"/>
        </w:rPr>
        <w:t>During the three months ended September 30, 2016 and 2015, the Company has recognized interest of $50 and $74, respectively, which are included in the income tax expense in the unaudited consolidated statements of income. As of September 30, 2016 and December 31, 2015, the Company has accrued approximately $1,410 and $1,269, respectively, in interest relating to unrecognized tax benefits.</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Stock Based Compensation</w:t>
      </w:r>
    </w:p>
    <w:p>
      <w:pPr>
        <w:spacing w:after="0" w:line="112"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costs related to the Company’s stock-based compensation plan are included in the unaudited consolidated statements of income:</w:t>
      </w:r>
    </w:p>
    <w:p>
      <w:pPr>
        <w:spacing w:after="0" w:line="256" w:lineRule="exact"/>
        <w:rPr>
          <w:sz w:val="20"/>
          <w:szCs w:val="20"/>
          <w:color w:val="auto"/>
        </w:rPr>
      </w:pPr>
    </w:p>
    <w:tbl>
      <w:tblPr>
        <w:tblLayout w:type="fixed"/>
        <w:tblInd w:w="280" w:type="dxa"/>
        <w:tblCellMar>
          <w:top w:w="0" w:type="dxa"/>
          <w:left w:w="0" w:type="dxa"/>
          <w:bottom w:w="0" w:type="dxa"/>
          <w:right w:w="0" w:type="dxa"/>
        </w:tblCellMar>
      </w:tblPr>
      <w:tr>
        <w:trPr>
          <w:trHeight w:val="218"/>
        </w:trPr>
        <w:tc>
          <w:tcPr>
            <w:tcW w:w="3600" w:type="dxa"/>
            <w:vAlign w:val="bottom"/>
          </w:tcPr>
          <w:p>
            <w:pPr>
              <w:spacing w:after="0"/>
              <w:rPr>
                <w:sz w:val="18"/>
                <w:szCs w:val="18"/>
                <w:color w:val="auto"/>
              </w:rPr>
            </w:pPr>
          </w:p>
        </w:tc>
        <w:tc>
          <w:tcPr>
            <w:tcW w:w="3100" w:type="dxa"/>
            <w:vAlign w:val="bottom"/>
            <w:gridSpan w:val="4"/>
          </w:tcPr>
          <w:p>
            <w:pPr>
              <w:jc w:val="right"/>
              <w:spacing w:after="0"/>
              <w:rPr>
                <w:sz w:val="20"/>
                <w:szCs w:val="20"/>
                <w:color w:val="auto"/>
              </w:rPr>
            </w:pPr>
            <w:r>
              <w:rPr>
                <w:rFonts w:ascii="Arial" w:cs="Arial" w:eastAsia="Arial" w:hAnsi="Arial"/>
                <w:sz w:val="17"/>
                <w:szCs w:val="17"/>
                <w:b w:val="1"/>
                <w:bCs w:val="1"/>
                <w:color w:val="auto"/>
              </w:rPr>
              <w:t>Three months ended September 30,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60" w:type="dxa"/>
            <w:vAlign w:val="bottom"/>
            <w:gridSpan w:val="5"/>
          </w:tcPr>
          <w:p>
            <w:pPr>
              <w:jc w:val="right"/>
              <w:ind w:right="456"/>
              <w:spacing w:after="0"/>
              <w:rPr>
                <w:sz w:val="20"/>
                <w:szCs w:val="20"/>
                <w:color w:val="auto"/>
              </w:rPr>
            </w:pPr>
            <w:r>
              <w:rPr>
                <w:rFonts w:ascii="Arial" w:cs="Arial" w:eastAsia="Arial" w:hAnsi="Arial"/>
                <w:sz w:val="17"/>
                <w:szCs w:val="17"/>
                <w:b w:val="1"/>
                <w:bCs w:val="1"/>
                <w:color w:val="auto"/>
              </w:rPr>
              <w:t>Nine months ended September 30,</w:t>
            </w:r>
          </w:p>
        </w:tc>
      </w:tr>
      <w:tr>
        <w:trPr>
          <w:trHeight w:val="26"/>
        </w:trPr>
        <w:tc>
          <w:tcPr>
            <w:tcW w:w="36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20"/>
        </w:trPr>
        <w:tc>
          <w:tcPr>
            <w:tcW w:w="3600" w:type="dxa"/>
            <w:vAlign w:val="bottom"/>
          </w:tcPr>
          <w:p>
            <w:pPr>
              <w:spacing w:after="0"/>
              <w:rPr>
                <w:sz w:val="19"/>
                <w:szCs w:val="19"/>
                <w:color w:val="auto"/>
              </w:rPr>
            </w:pPr>
          </w:p>
        </w:tc>
        <w:tc>
          <w:tcPr>
            <w:tcW w:w="1160" w:type="dxa"/>
            <w:vAlign w:val="bottom"/>
          </w:tcPr>
          <w:p>
            <w:pPr>
              <w:jc w:val="right"/>
              <w:ind w:right="36"/>
              <w:spacing w:after="0"/>
              <w:rPr>
                <w:sz w:val="20"/>
                <w:szCs w:val="20"/>
                <w:color w:val="auto"/>
              </w:rPr>
            </w:pPr>
            <w:r>
              <w:rPr>
                <w:rFonts w:ascii="Arial" w:cs="Arial" w:eastAsia="Arial" w:hAnsi="Arial"/>
                <w:sz w:val="17"/>
                <w:szCs w:val="17"/>
                <w:b w:val="1"/>
                <w:bCs w:val="1"/>
                <w:color w:val="auto"/>
              </w:rPr>
              <w:t>2016</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ind w:right="96"/>
              <w:spacing w:after="0"/>
              <w:rPr>
                <w:sz w:val="20"/>
                <w:szCs w:val="20"/>
                <w:color w:val="auto"/>
              </w:rPr>
            </w:pPr>
            <w:r>
              <w:rPr>
                <w:rFonts w:ascii="Arial" w:cs="Arial" w:eastAsia="Arial" w:hAnsi="Arial"/>
                <w:sz w:val="17"/>
                <w:szCs w:val="17"/>
                <w:b w:val="1"/>
                <w:bCs w:val="1"/>
                <w:color w:val="auto"/>
              </w:rPr>
              <w:t>2015</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2016</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ind w:right="616"/>
              <w:spacing w:after="0"/>
              <w:rPr>
                <w:sz w:val="20"/>
                <w:szCs w:val="20"/>
                <w:color w:val="auto"/>
              </w:rPr>
            </w:pPr>
            <w:r>
              <w:rPr>
                <w:rFonts w:ascii="Arial" w:cs="Arial" w:eastAsia="Arial" w:hAnsi="Arial"/>
                <w:sz w:val="17"/>
                <w:szCs w:val="17"/>
                <w:b w:val="1"/>
                <w:bCs w:val="1"/>
                <w:color w:val="auto"/>
              </w:rPr>
              <w:t>2015</w:t>
            </w:r>
          </w:p>
        </w:tc>
      </w:tr>
      <w:tr>
        <w:trPr>
          <w:trHeight w:val="26"/>
        </w:trPr>
        <w:tc>
          <w:tcPr>
            <w:tcW w:w="36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25"/>
        </w:trPr>
        <w:tc>
          <w:tcPr>
            <w:tcW w:w="3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Cost of revenue</w:t>
            </w:r>
          </w:p>
        </w:tc>
        <w:tc>
          <w:tcPr>
            <w:tcW w:w="1160" w:type="dxa"/>
            <w:vAlign w:val="bottom"/>
            <w:tcBorders>
              <w:bottom w:val="single" w:sz="8" w:color="CCEEFF"/>
            </w:tcBorders>
            <w:shd w:val="clear" w:color="auto" w:fill="CCEEFF"/>
          </w:tcPr>
          <w:p>
            <w:pPr>
              <w:jc w:val="right"/>
              <w:ind w:right="976"/>
              <w:spacing w:after="0"/>
              <w:rPr>
                <w:sz w:val="20"/>
                <w:szCs w:val="20"/>
                <w:color w:val="auto"/>
              </w:rPr>
            </w:pPr>
            <w:r>
              <w:rPr>
                <w:rFonts w:ascii="Arial" w:cs="Arial" w:eastAsia="Arial" w:hAnsi="Arial"/>
                <w:sz w:val="17"/>
                <w:szCs w:val="17"/>
                <w:color w:val="auto"/>
                <w:w w:val="84"/>
              </w:rPr>
              <w:t>$</w:t>
            </w:r>
          </w:p>
        </w:tc>
        <w:tc>
          <w:tcPr>
            <w:tcW w:w="6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795</w:t>
            </w:r>
          </w:p>
        </w:tc>
        <w:tc>
          <w:tcPr>
            <w:tcW w:w="10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1036"/>
              <w:spacing w:after="0"/>
              <w:rPr>
                <w:sz w:val="20"/>
                <w:szCs w:val="20"/>
                <w:color w:val="auto"/>
              </w:rPr>
            </w:pPr>
            <w:r>
              <w:rPr>
                <w:rFonts w:ascii="Arial" w:cs="Arial" w:eastAsia="Arial" w:hAnsi="Arial"/>
                <w:sz w:val="17"/>
                <w:szCs w:val="17"/>
                <w:color w:val="auto"/>
                <w:w w:val="84"/>
              </w:rPr>
              <w:t>$</w:t>
            </w:r>
          </w:p>
        </w:tc>
        <w:tc>
          <w:tcPr>
            <w:tcW w:w="5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740</w:t>
            </w:r>
          </w:p>
        </w:tc>
        <w:tc>
          <w:tcPr>
            <w:tcW w:w="1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916"/>
              <w:spacing w:after="0"/>
              <w:rPr>
                <w:sz w:val="20"/>
                <w:szCs w:val="20"/>
                <w:color w:val="auto"/>
              </w:rPr>
            </w:pPr>
            <w:r>
              <w:rPr>
                <w:rFonts w:ascii="Arial" w:cs="Arial" w:eastAsia="Arial" w:hAnsi="Arial"/>
                <w:sz w:val="17"/>
                <w:szCs w:val="17"/>
                <w:color w:val="auto"/>
                <w:w w:val="84"/>
              </w:rPr>
              <w:t>$</w:t>
            </w:r>
          </w:p>
        </w:tc>
        <w:tc>
          <w:tcPr>
            <w:tcW w:w="6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2,848</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2,394</w:t>
            </w:r>
          </w:p>
        </w:tc>
      </w:tr>
      <w:tr>
        <w:trPr>
          <w:trHeight w:val="227"/>
        </w:trPr>
        <w:tc>
          <w:tcPr>
            <w:tcW w:w="3600" w:type="dxa"/>
            <w:vAlign w:val="bottom"/>
          </w:tcPr>
          <w:p>
            <w:pPr>
              <w:ind w:left="20"/>
              <w:spacing w:after="0"/>
              <w:rPr>
                <w:sz w:val="20"/>
                <w:szCs w:val="20"/>
                <w:color w:val="auto"/>
              </w:rPr>
            </w:pPr>
            <w:r>
              <w:rPr>
                <w:rFonts w:ascii="Arial" w:cs="Arial" w:eastAsia="Arial" w:hAnsi="Arial"/>
                <w:sz w:val="17"/>
                <w:szCs w:val="17"/>
                <w:color w:val="auto"/>
              </w:rPr>
              <w:t>General and administrative expenses</w:t>
            </w:r>
          </w:p>
        </w:tc>
        <w:tc>
          <w:tcPr>
            <w:tcW w:w="1160" w:type="dxa"/>
            <w:vAlign w:val="bottom"/>
          </w:tcPr>
          <w:p>
            <w:pPr>
              <w:spacing w:after="0"/>
              <w:rPr>
                <w:sz w:val="19"/>
                <w:szCs w:val="19"/>
                <w:color w:val="auto"/>
              </w:rPr>
            </w:pPr>
          </w:p>
        </w:tc>
        <w:tc>
          <w:tcPr>
            <w:tcW w:w="620" w:type="dxa"/>
            <w:vAlign w:val="bottom"/>
          </w:tcPr>
          <w:p>
            <w:pPr>
              <w:jc w:val="right"/>
              <w:ind w:right="36"/>
              <w:spacing w:after="0"/>
              <w:rPr>
                <w:sz w:val="20"/>
                <w:szCs w:val="20"/>
                <w:color w:val="auto"/>
              </w:rPr>
            </w:pPr>
            <w:r>
              <w:rPr>
                <w:rFonts w:ascii="Arial" w:cs="Arial" w:eastAsia="Arial" w:hAnsi="Arial"/>
                <w:sz w:val="17"/>
                <w:szCs w:val="17"/>
                <w:color w:val="auto"/>
              </w:rPr>
              <w:t>1,905</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20" w:type="dxa"/>
            <w:vAlign w:val="bottom"/>
          </w:tcPr>
          <w:p>
            <w:pPr>
              <w:jc w:val="right"/>
              <w:ind w:right="36"/>
              <w:spacing w:after="0"/>
              <w:rPr>
                <w:sz w:val="20"/>
                <w:szCs w:val="20"/>
                <w:color w:val="auto"/>
              </w:rPr>
            </w:pPr>
            <w:r>
              <w:rPr>
                <w:rFonts w:ascii="Arial" w:cs="Arial" w:eastAsia="Arial" w:hAnsi="Arial"/>
                <w:sz w:val="17"/>
                <w:szCs w:val="17"/>
                <w:color w:val="auto"/>
                <w:w w:val="89"/>
              </w:rPr>
              <w:t>1,613</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20" w:type="dxa"/>
            <w:vAlign w:val="bottom"/>
          </w:tcPr>
          <w:p>
            <w:pPr>
              <w:jc w:val="right"/>
              <w:ind w:right="16"/>
              <w:spacing w:after="0"/>
              <w:rPr>
                <w:sz w:val="20"/>
                <w:szCs w:val="20"/>
                <w:color w:val="auto"/>
              </w:rPr>
            </w:pPr>
            <w:r>
              <w:rPr>
                <w:rFonts w:ascii="Arial" w:cs="Arial" w:eastAsia="Arial" w:hAnsi="Arial"/>
                <w:sz w:val="17"/>
                <w:szCs w:val="17"/>
                <w:color w:val="auto"/>
              </w:rPr>
              <w:t>6,241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ind w:right="16"/>
              <w:spacing w:after="0"/>
              <w:rPr>
                <w:sz w:val="20"/>
                <w:szCs w:val="20"/>
                <w:color w:val="auto"/>
              </w:rPr>
            </w:pPr>
            <w:r>
              <w:rPr>
                <w:rFonts w:ascii="Arial" w:cs="Arial" w:eastAsia="Arial" w:hAnsi="Arial"/>
                <w:sz w:val="17"/>
                <w:szCs w:val="17"/>
                <w:color w:val="auto"/>
              </w:rPr>
              <w:t>4,482</w:t>
            </w:r>
          </w:p>
        </w:tc>
      </w:tr>
      <w:tr>
        <w:trPr>
          <w:trHeight w:val="26"/>
        </w:trPr>
        <w:tc>
          <w:tcPr>
            <w:tcW w:w="36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3"/>
        </w:trPr>
        <w:tc>
          <w:tcPr>
            <w:tcW w:w="3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Selling and marketing expenses</w:t>
            </w:r>
          </w:p>
        </w:tc>
        <w:tc>
          <w:tcPr>
            <w:tcW w:w="1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1,784</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w w:val="89"/>
              </w:rPr>
              <w:t>2,118</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5,654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5,404</w:t>
            </w:r>
          </w:p>
        </w:tc>
      </w:tr>
      <w:tr>
        <w:trPr>
          <w:trHeight w:val="239"/>
        </w:trPr>
        <w:tc>
          <w:tcPr>
            <w:tcW w:w="3600" w:type="dxa"/>
            <w:vAlign w:val="bottom"/>
          </w:tcPr>
          <w:p>
            <w:pPr>
              <w:ind w:left="20"/>
              <w:spacing w:after="0"/>
              <w:rPr>
                <w:sz w:val="20"/>
                <w:szCs w:val="20"/>
                <w:color w:val="auto"/>
              </w:rPr>
            </w:pPr>
            <w:r>
              <w:rPr>
                <w:rFonts w:ascii="Arial" w:cs="Arial" w:eastAsia="Arial" w:hAnsi="Arial"/>
                <w:sz w:val="17"/>
                <w:szCs w:val="17"/>
                <w:color w:val="auto"/>
              </w:rPr>
              <w:t>Total</w:t>
            </w:r>
          </w:p>
        </w:tc>
        <w:tc>
          <w:tcPr>
            <w:tcW w:w="1160" w:type="dxa"/>
            <w:vAlign w:val="bottom"/>
            <w:tcBorders>
              <w:top w:val="single" w:sz="8" w:color="auto"/>
              <w:bottom w:val="single" w:sz="8" w:color="auto"/>
            </w:tcBorders>
          </w:tcPr>
          <w:p>
            <w:pPr>
              <w:jc w:val="right"/>
              <w:ind w:right="976"/>
              <w:spacing w:after="0"/>
              <w:rPr>
                <w:sz w:val="20"/>
                <w:szCs w:val="20"/>
                <w:color w:val="auto"/>
              </w:rPr>
            </w:pPr>
            <w:r>
              <w:rPr>
                <w:rFonts w:ascii="Arial" w:cs="Arial" w:eastAsia="Arial" w:hAnsi="Arial"/>
                <w:sz w:val="17"/>
                <w:szCs w:val="17"/>
                <w:color w:val="auto"/>
                <w:w w:val="84"/>
              </w:rPr>
              <w:t>$</w:t>
            </w:r>
          </w:p>
        </w:tc>
        <w:tc>
          <w:tcPr>
            <w:tcW w:w="6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7"/>
                <w:szCs w:val="17"/>
                <w:color w:val="auto"/>
              </w:rPr>
              <w:t>4,484</w:t>
            </w:r>
          </w:p>
        </w:tc>
        <w:tc>
          <w:tcPr>
            <w:tcW w:w="100" w:type="dxa"/>
            <w:vAlign w:val="bottom"/>
          </w:tcPr>
          <w:p>
            <w:pPr>
              <w:spacing w:after="0"/>
              <w:rPr>
                <w:sz w:val="20"/>
                <w:szCs w:val="20"/>
                <w:color w:val="auto"/>
              </w:rPr>
            </w:pPr>
          </w:p>
        </w:tc>
        <w:tc>
          <w:tcPr>
            <w:tcW w:w="1220" w:type="dxa"/>
            <w:vAlign w:val="bottom"/>
            <w:tcBorders>
              <w:top w:val="single" w:sz="8" w:color="auto"/>
              <w:bottom w:val="single" w:sz="8" w:color="auto"/>
            </w:tcBorders>
          </w:tcPr>
          <w:p>
            <w:pPr>
              <w:jc w:val="right"/>
              <w:ind w:right="1036"/>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7"/>
                <w:szCs w:val="17"/>
                <w:color w:val="auto"/>
                <w:w w:val="89"/>
              </w:rPr>
              <w:t>4,471</w:t>
            </w:r>
          </w:p>
        </w:tc>
        <w:tc>
          <w:tcPr>
            <w:tcW w:w="100" w:type="dxa"/>
            <w:vAlign w:val="bottom"/>
          </w:tcPr>
          <w:p>
            <w:pPr>
              <w:spacing w:after="0"/>
              <w:rPr>
                <w:sz w:val="20"/>
                <w:szCs w:val="20"/>
                <w:color w:val="auto"/>
              </w:rPr>
            </w:pPr>
          </w:p>
        </w:tc>
        <w:tc>
          <w:tcPr>
            <w:tcW w:w="1100" w:type="dxa"/>
            <w:vAlign w:val="bottom"/>
            <w:tcBorders>
              <w:top w:val="single" w:sz="8" w:color="auto"/>
              <w:bottom w:val="single" w:sz="8" w:color="auto"/>
            </w:tcBorders>
          </w:tcPr>
          <w:p>
            <w:pPr>
              <w:jc w:val="right"/>
              <w:ind w:right="916"/>
              <w:spacing w:after="0"/>
              <w:rPr>
                <w:sz w:val="20"/>
                <w:szCs w:val="20"/>
                <w:color w:val="auto"/>
              </w:rPr>
            </w:pPr>
            <w:r>
              <w:rPr>
                <w:rFonts w:ascii="Arial" w:cs="Arial" w:eastAsia="Arial" w:hAnsi="Arial"/>
                <w:sz w:val="17"/>
                <w:szCs w:val="17"/>
                <w:color w:val="auto"/>
                <w:w w:val="84"/>
              </w:rPr>
              <w:t>$</w:t>
            </w:r>
          </w:p>
        </w:tc>
        <w:tc>
          <w:tcPr>
            <w:tcW w:w="6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7"/>
                <w:szCs w:val="17"/>
                <w:color w:val="auto"/>
                <w:w w:val="96"/>
              </w:rPr>
              <w:t>14,743</w:t>
            </w:r>
          </w:p>
        </w:tc>
        <w:tc>
          <w:tcPr>
            <w:tcW w:w="100" w:type="dxa"/>
            <w:vAlign w:val="bottom"/>
          </w:tcPr>
          <w:p>
            <w:pPr>
              <w:spacing w:after="0"/>
              <w:rPr>
                <w:sz w:val="20"/>
                <w:szCs w:val="20"/>
                <w:color w:val="auto"/>
              </w:rPr>
            </w:pPr>
          </w:p>
        </w:tc>
        <w:tc>
          <w:tcPr>
            <w:tcW w:w="400" w:type="dxa"/>
            <w:vAlign w:val="bottom"/>
            <w:tcBorders>
              <w:top w:val="single" w:sz="8" w:color="auto"/>
              <w:bottom w:val="single" w:sz="8" w:color="auto"/>
            </w:tcBorders>
          </w:tcPr>
          <w:p>
            <w:pPr>
              <w:jc w:val="right"/>
              <w:ind w:right="196"/>
              <w:spacing w:after="0"/>
              <w:rPr>
                <w:sz w:val="20"/>
                <w:szCs w:val="20"/>
                <w:color w:val="auto"/>
              </w:rPr>
            </w:pPr>
            <w:r>
              <w:rPr>
                <w:rFonts w:ascii="Arial" w:cs="Arial" w:eastAsia="Arial" w:hAnsi="Arial"/>
                <w:sz w:val="17"/>
                <w:szCs w:val="17"/>
                <w:color w:val="auto"/>
              </w:rPr>
              <w:t>$</w:t>
            </w:r>
          </w:p>
        </w:tc>
        <w:tc>
          <w:tcPr>
            <w:tcW w:w="13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7"/>
                <w:szCs w:val="17"/>
                <w:color w:val="auto"/>
              </w:rPr>
              <w:t>12,280</w:t>
            </w:r>
          </w:p>
        </w:tc>
      </w:tr>
      <w:tr>
        <w:trPr>
          <w:trHeight w:val="20"/>
        </w:trPr>
        <w:tc>
          <w:tcPr>
            <w:tcW w:w="36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400"/>
        <w:spacing w:after="0"/>
        <w:rPr>
          <w:sz w:val="20"/>
          <w:szCs w:val="20"/>
          <w:color w:val="auto"/>
        </w:rPr>
      </w:pPr>
      <w:r>
        <w:rPr>
          <w:rFonts w:ascii="Arial" w:cs="Arial" w:eastAsia="Arial" w:hAnsi="Arial"/>
          <w:sz w:val="15"/>
          <w:szCs w:val="15"/>
          <w:color w:val="auto"/>
        </w:rPr>
        <w:t>As of September 30, 2016, the Company had 1,967,539 shares available for grant under the 2015 Amendment and Restatement of the 2006 Omnibus Award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1420"/>
          </w:cols>
          <w:pgMar w:left="240" w:top="123" w:right="239" w:bottom="1440" w:gutter="0" w:footer="0" w:header="0"/>
        </w:sectPr>
      </w:pPr>
    </w:p>
    <w:bookmarkStart w:id="23" w:name="page24"/>
    <w:bookmarkEnd w:id="23"/>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23" w:lineRule="exact"/>
        <w:rPr>
          <w:sz w:val="20"/>
          <w:szCs w:val="20"/>
          <w:color w:val="auto"/>
        </w:rPr>
      </w:pPr>
    </w:p>
    <w:p>
      <w:pPr>
        <w:ind w:left="4480"/>
        <w:spacing w:after="0"/>
        <w:rPr>
          <w:sz w:val="20"/>
          <w:szCs w:val="20"/>
          <w:color w:val="auto"/>
        </w:rPr>
      </w:pPr>
      <w:r>
        <w:rPr>
          <w:rFonts w:ascii="Arial" w:cs="Arial" w:eastAsia="Arial" w:hAnsi="Arial"/>
          <w:sz w:val="17"/>
          <w:szCs w:val="17"/>
          <w:b w:val="1"/>
          <w:bCs w:val="1"/>
          <w:color w:val="auto"/>
        </w:rPr>
        <w:t>EXLSERVICE HOLDINGS, INC.</w:t>
      </w:r>
    </w:p>
    <w:p>
      <w:pPr>
        <w:spacing w:after="0" w:line="92" w:lineRule="exact"/>
        <w:rPr>
          <w:sz w:val="20"/>
          <w:szCs w:val="20"/>
          <w:color w:val="auto"/>
        </w:rPr>
      </w:pPr>
    </w:p>
    <w:p>
      <w:pPr>
        <w:ind w:left="2480"/>
        <w:spacing w:after="0"/>
        <w:rPr>
          <w:sz w:val="20"/>
          <w:szCs w:val="20"/>
          <w:color w:val="auto"/>
        </w:rPr>
      </w:pPr>
      <w:r>
        <w:rPr>
          <w:rFonts w:ascii="Arial" w:cs="Arial" w:eastAsia="Arial" w:hAnsi="Arial"/>
          <w:sz w:val="17"/>
          <w:szCs w:val="17"/>
          <w:b w:val="1"/>
          <w:bCs w:val="1"/>
          <w:color w:val="auto"/>
        </w:rPr>
        <w:t>NOTES TO UNAUDITED CONSOLIDATED FINANCIAL STATEMENTS—(continued)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September 30, 2016</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 Options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080" w:type="dxa"/>
            <w:vAlign w:val="bottom"/>
            <w:gridSpan w:val="3"/>
          </w:tcPr>
          <w:p>
            <w:pPr>
              <w:ind w:left="400"/>
              <w:spacing w:after="0"/>
              <w:rPr>
                <w:sz w:val="20"/>
                <w:szCs w:val="20"/>
                <w:color w:val="auto"/>
              </w:rPr>
            </w:pPr>
            <w:r>
              <w:rPr>
                <w:rFonts w:ascii="Arial" w:cs="Arial" w:eastAsia="Arial" w:hAnsi="Arial"/>
                <w:sz w:val="17"/>
                <w:szCs w:val="17"/>
                <w:color w:val="auto"/>
              </w:rPr>
              <w:t>Stock option activity under the Company’s stock plans is shown below:</w:t>
            </w:r>
          </w:p>
        </w:tc>
        <w:tc>
          <w:tcPr>
            <w:tcW w:w="1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540"/>
        </w:trPr>
        <w:tc>
          <w:tcPr>
            <w:tcW w:w="4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7"/>
                <w:szCs w:val="17"/>
                <w:b w:val="1"/>
                <w:bCs w:val="1"/>
                <w:color w:val="auto"/>
                <w:w w:val="90"/>
              </w:rPr>
              <w:t>Weighted-</w:t>
            </w:r>
          </w:p>
        </w:tc>
      </w:tr>
      <w:tr>
        <w:trPr>
          <w:trHeight w:val="202"/>
        </w:trPr>
        <w:tc>
          <w:tcPr>
            <w:tcW w:w="42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gridSpan w:val="3"/>
          </w:tcPr>
          <w:p>
            <w:pPr>
              <w:jc w:val="center"/>
              <w:ind w:right="120"/>
              <w:spacing w:after="0"/>
              <w:rPr>
                <w:sz w:val="20"/>
                <w:szCs w:val="20"/>
                <w:color w:val="auto"/>
              </w:rPr>
            </w:pPr>
            <w:r>
              <w:rPr>
                <w:rFonts w:ascii="Arial" w:cs="Arial" w:eastAsia="Arial" w:hAnsi="Arial"/>
                <w:sz w:val="17"/>
                <w:szCs w:val="17"/>
                <w:b w:val="1"/>
                <w:bCs w:val="1"/>
                <w:color w:val="auto"/>
                <w:w w:val="90"/>
              </w:rPr>
              <w:t>Weighted-</w:t>
            </w:r>
          </w:p>
        </w:tc>
        <w:tc>
          <w:tcPr>
            <w:tcW w:w="3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Arial" w:cs="Arial" w:eastAsia="Arial" w:hAnsi="Arial"/>
                <w:sz w:val="17"/>
                <w:szCs w:val="17"/>
                <w:b w:val="1"/>
                <w:bCs w:val="1"/>
                <w:color w:val="auto"/>
                <w:w w:val="86"/>
              </w:rPr>
              <w:t>Average</w:t>
            </w:r>
          </w:p>
        </w:tc>
      </w:tr>
      <w:tr>
        <w:trPr>
          <w:trHeight w:val="202"/>
        </w:trPr>
        <w:tc>
          <w:tcPr>
            <w:tcW w:w="42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center"/>
              <w:ind w:left="436"/>
              <w:spacing w:after="0"/>
              <w:rPr>
                <w:sz w:val="20"/>
                <w:szCs w:val="20"/>
                <w:color w:val="auto"/>
              </w:rPr>
            </w:pPr>
            <w:r>
              <w:rPr>
                <w:rFonts w:ascii="Arial" w:cs="Arial" w:eastAsia="Arial" w:hAnsi="Arial"/>
                <w:sz w:val="17"/>
                <w:szCs w:val="17"/>
                <w:b w:val="1"/>
                <w:bCs w:val="1"/>
                <w:color w:val="auto"/>
                <w:w w:val="86"/>
              </w:rPr>
              <w:t>Average</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gridSpan w:val="2"/>
          </w:tcPr>
          <w:p>
            <w:pPr>
              <w:jc w:val="center"/>
              <w:ind w:right="420"/>
              <w:spacing w:after="0"/>
              <w:rPr>
                <w:sz w:val="20"/>
                <w:szCs w:val="20"/>
                <w:color w:val="auto"/>
              </w:rPr>
            </w:pPr>
            <w:r>
              <w:rPr>
                <w:rFonts w:ascii="Arial" w:cs="Arial" w:eastAsia="Arial" w:hAnsi="Arial"/>
                <w:sz w:val="17"/>
                <w:szCs w:val="17"/>
                <w:b w:val="1"/>
                <w:bCs w:val="1"/>
                <w:color w:val="auto"/>
                <w:w w:val="87"/>
              </w:rPr>
              <w:t>Aggregate</w:t>
            </w:r>
          </w:p>
        </w:tc>
        <w:tc>
          <w:tcPr>
            <w:tcW w:w="1700" w:type="dxa"/>
            <w:vAlign w:val="bottom"/>
          </w:tcPr>
          <w:p>
            <w:pPr>
              <w:jc w:val="center"/>
              <w:spacing w:after="0"/>
              <w:rPr>
                <w:sz w:val="20"/>
                <w:szCs w:val="20"/>
                <w:color w:val="auto"/>
              </w:rPr>
            </w:pPr>
            <w:r>
              <w:rPr>
                <w:rFonts w:ascii="Arial" w:cs="Arial" w:eastAsia="Arial" w:hAnsi="Arial"/>
                <w:sz w:val="17"/>
                <w:szCs w:val="17"/>
                <w:b w:val="1"/>
                <w:bCs w:val="1"/>
                <w:color w:val="auto"/>
                <w:w w:val="89"/>
              </w:rPr>
              <w:t>Remaining</w:t>
            </w:r>
          </w:p>
        </w:tc>
      </w:tr>
      <w:tr>
        <w:trPr>
          <w:trHeight w:val="202"/>
        </w:trPr>
        <w:tc>
          <w:tcPr>
            <w:tcW w:w="4240" w:type="dxa"/>
            <w:vAlign w:val="bottom"/>
          </w:tcPr>
          <w:p>
            <w:pPr>
              <w:spacing w:after="0"/>
              <w:rPr>
                <w:sz w:val="17"/>
                <w:szCs w:val="17"/>
                <w:color w:val="auto"/>
              </w:rPr>
            </w:pPr>
          </w:p>
        </w:tc>
        <w:tc>
          <w:tcPr>
            <w:tcW w:w="184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1"/>
              </w:rPr>
              <w:t>Number of</w:t>
            </w:r>
          </w:p>
        </w:tc>
        <w:tc>
          <w:tcPr>
            <w:tcW w:w="1180" w:type="dxa"/>
            <w:vAlign w:val="bottom"/>
          </w:tcPr>
          <w:p>
            <w:pPr>
              <w:jc w:val="center"/>
              <w:ind w:left="456"/>
              <w:spacing w:after="0"/>
              <w:rPr>
                <w:sz w:val="20"/>
                <w:szCs w:val="20"/>
                <w:color w:val="auto"/>
              </w:rPr>
            </w:pPr>
            <w:r>
              <w:rPr>
                <w:rFonts w:ascii="Arial" w:cs="Arial" w:eastAsia="Arial" w:hAnsi="Arial"/>
                <w:sz w:val="17"/>
                <w:szCs w:val="17"/>
                <w:b w:val="1"/>
                <w:bCs w:val="1"/>
                <w:color w:val="auto"/>
                <w:w w:val="85"/>
              </w:rPr>
              <w:t>Exercise</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gridSpan w:val="2"/>
          </w:tcPr>
          <w:p>
            <w:pPr>
              <w:jc w:val="center"/>
              <w:ind w:right="420"/>
              <w:spacing w:after="0"/>
              <w:rPr>
                <w:sz w:val="20"/>
                <w:szCs w:val="20"/>
                <w:color w:val="auto"/>
              </w:rPr>
            </w:pPr>
            <w:r>
              <w:rPr>
                <w:rFonts w:ascii="Arial" w:cs="Arial" w:eastAsia="Arial" w:hAnsi="Arial"/>
                <w:sz w:val="17"/>
                <w:szCs w:val="17"/>
                <w:b w:val="1"/>
                <w:bCs w:val="1"/>
                <w:color w:val="auto"/>
                <w:w w:val="93"/>
              </w:rPr>
              <w:t>Intrinsic</w:t>
            </w:r>
          </w:p>
        </w:tc>
        <w:tc>
          <w:tcPr>
            <w:tcW w:w="1700" w:type="dxa"/>
            <w:vAlign w:val="bottom"/>
          </w:tcPr>
          <w:p>
            <w:pPr>
              <w:jc w:val="center"/>
              <w:spacing w:after="0"/>
              <w:rPr>
                <w:sz w:val="20"/>
                <w:szCs w:val="20"/>
                <w:color w:val="auto"/>
              </w:rPr>
            </w:pPr>
            <w:r>
              <w:rPr>
                <w:rFonts w:ascii="Arial" w:cs="Arial" w:eastAsia="Arial" w:hAnsi="Arial"/>
                <w:sz w:val="17"/>
                <w:szCs w:val="17"/>
                <w:b w:val="1"/>
                <w:bCs w:val="1"/>
                <w:color w:val="auto"/>
                <w:w w:val="90"/>
              </w:rPr>
              <w:t>Contractual</w:t>
            </w:r>
          </w:p>
        </w:tc>
      </w:tr>
      <w:tr>
        <w:trPr>
          <w:trHeight w:val="218"/>
        </w:trPr>
        <w:tc>
          <w:tcPr>
            <w:tcW w:w="4240" w:type="dxa"/>
            <w:vAlign w:val="bottom"/>
          </w:tcPr>
          <w:p>
            <w:pPr>
              <w:spacing w:after="0"/>
              <w:rPr>
                <w:sz w:val="18"/>
                <w:szCs w:val="18"/>
                <w:color w:val="auto"/>
              </w:rPr>
            </w:pPr>
          </w:p>
        </w:tc>
        <w:tc>
          <w:tcPr>
            <w:tcW w:w="184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87"/>
              </w:rPr>
              <w:t>Options</w:t>
            </w:r>
          </w:p>
        </w:tc>
        <w:tc>
          <w:tcPr>
            <w:tcW w:w="1180" w:type="dxa"/>
            <w:vAlign w:val="bottom"/>
          </w:tcPr>
          <w:p>
            <w:pPr>
              <w:jc w:val="center"/>
              <w:ind w:left="436"/>
              <w:spacing w:after="0"/>
              <w:rPr>
                <w:sz w:val="20"/>
                <w:szCs w:val="20"/>
                <w:color w:val="auto"/>
              </w:rPr>
            </w:pPr>
            <w:r>
              <w:rPr>
                <w:rFonts w:ascii="Arial" w:cs="Arial" w:eastAsia="Arial" w:hAnsi="Arial"/>
                <w:sz w:val="17"/>
                <w:szCs w:val="17"/>
                <w:b w:val="1"/>
                <w:bCs w:val="1"/>
                <w:color w:val="auto"/>
                <w:w w:val="91"/>
              </w:rPr>
              <w:t>Price</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7"/>
                <w:szCs w:val="17"/>
                <w:b w:val="1"/>
                <w:bCs w:val="1"/>
                <w:color w:val="auto"/>
                <w:w w:val="88"/>
              </w:rPr>
              <w:t>Value</w:t>
            </w:r>
          </w:p>
        </w:tc>
        <w:tc>
          <w:tcPr>
            <w:tcW w:w="1700" w:type="dxa"/>
            <w:vAlign w:val="bottom"/>
          </w:tcPr>
          <w:p>
            <w:pPr>
              <w:jc w:val="center"/>
              <w:spacing w:after="0"/>
              <w:rPr>
                <w:sz w:val="20"/>
                <w:szCs w:val="20"/>
                <w:color w:val="auto"/>
              </w:rPr>
            </w:pPr>
            <w:r>
              <w:rPr>
                <w:rFonts w:ascii="Arial" w:cs="Arial" w:eastAsia="Arial" w:hAnsi="Arial"/>
                <w:sz w:val="17"/>
                <w:szCs w:val="17"/>
                <w:b w:val="1"/>
                <w:bCs w:val="1"/>
                <w:color w:val="auto"/>
                <w:w w:val="90"/>
              </w:rPr>
              <w:t>Life (Years)</w:t>
            </w:r>
          </w:p>
        </w:tc>
      </w:tr>
      <w:tr>
        <w:trPr>
          <w:trHeight w:val="26"/>
        </w:trPr>
        <w:tc>
          <w:tcPr>
            <w:tcW w:w="424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25"/>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Outstanding at December 31, 2015</w:t>
            </w:r>
          </w:p>
        </w:tc>
        <w:tc>
          <w:tcPr>
            <w:tcW w:w="17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1,210,141</w:t>
            </w:r>
          </w:p>
        </w:tc>
        <w:tc>
          <w:tcPr>
            <w:tcW w:w="12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976"/>
              <w:spacing w:after="0"/>
              <w:rPr>
                <w:sz w:val="20"/>
                <w:szCs w:val="20"/>
                <w:color w:val="auto"/>
              </w:rPr>
            </w:pPr>
            <w:r>
              <w:rPr>
                <w:rFonts w:ascii="Arial" w:cs="Arial" w:eastAsia="Arial" w:hAnsi="Arial"/>
                <w:sz w:val="17"/>
                <w:szCs w:val="17"/>
                <w:color w:val="auto"/>
              </w:rPr>
              <w:t>$</w:t>
            </w:r>
          </w:p>
        </w:tc>
        <w:tc>
          <w:tcPr>
            <w:tcW w:w="5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w w:val="93"/>
              </w:rPr>
              <w:t>16.31</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34,638</w:t>
            </w:r>
          </w:p>
        </w:tc>
        <w:tc>
          <w:tcPr>
            <w:tcW w:w="120" w:type="dxa"/>
            <w:vAlign w:val="bottom"/>
            <w:tcBorders>
              <w:bottom w:val="single" w:sz="8" w:color="CCEEFF"/>
            </w:tcBorders>
            <w:shd w:val="clear" w:color="auto" w:fill="CCEEFF"/>
          </w:tcPr>
          <w:p>
            <w:pPr>
              <w:spacing w:after="0"/>
              <w:rPr>
                <w:sz w:val="19"/>
                <w:szCs w:val="19"/>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3.50</w:t>
            </w:r>
          </w:p>
        </w:tc>
      </w:tr>
      <w:tr>
        <w:trPr>
          <w:trHeight w:val="227"/>
        </w:trPr>
        <w:tc>
          <w:tcPr>
            <w:tcW w:w="4240" w:type="dxa"/>
            <w:vAlign w:val="bottom"/>
          </w:tcPr>
          <w:p>
            <w:pPr>
              <w:ind w:left="440"/>
              <w:spacing w:after="0"/>
              <w:rPr>
                <w:sz w:val="20"/>
                <w:szCs w:val="20"/>
                <w:color w:val="auto"/>
              </w:rPr>
            </w:pPr>
            <w:r>
              <w:rPr>
                <w:rFonts w:ascii="Arial" w:cs="Arial" w:eastAsia="Arial" w:hAnsi="Arial"/>
                <w:sz w:val="17"/>
                <w:szCs w:val="17"/>
                <w:color w:val="auto"/>
              </w:rPr>
              <w:t>Granted</w:t>
            </w:r>
          </w:p>
        </w:tc>
        <w:tc>
          <w:tcPr>
            <w:tcW w:w="18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180" w:type="dxa"/>
            <w:vAlign w:val="bottom"/>
          </w:tcPr>
          <w:p>
            <w:pPr>
              <w:spacing w:after="0"/>
              <w:rPr>
                <w:sz w:val="19"/>
                <w:szCs w:val="19"/>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6"/>
        </w:trPr>
        <w:tc>
          <w:tcPr>
            <w:tcW w:w="4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33"/>
        </w:trPr>
        <w:tc>
          <w:tcPr>
            <w:tcW w:w="42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7"/>
                <w:szCs w:val="17"/>
                <w:color w:val="auto"/>
              </w:rPr>
              <w:t>Exercised</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(386,739)</w:t>
            </w:r>
          </w:p>
        </w:tc>
        <w:tc>
          <w:tcPr>
            <w:tcW w:w="1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w w:val="93"/>
              </w:rPr>
              <w:t>16.10</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spacing w:after="0"/>
              <w:rPr>
                <w:sz w:val="20"/>
                <w:szCs w:val="20"/>
                <w:color w:val="auto"/>
              </w:rPr>
            </w:pPr>
          </w:p>
        </w:tc>
      </w:tr>
      <w:tr>
        <w:trPr>
          <w:trHeight w:val="227"/>
        </w:trPr>
        <w:tc>
          <w:tcPr>
            <w:tcW w:w="4240" w:type="dxa"/>
            <w:vAlign w:val="bottom"/>
          </w:tcPr>
          <w:p>
            <w:pPr>
              <w:ind w:left="440"/>
              <w:spacing w:after="0"/>
              <w:rPr>
                <w:sz w:val="20"/>
                <w:szCs w:val="20"/>
                <w:color w:val="auto"/>
              </w:rPr>
            </w:pPr>
            <w:r>
              <w:rPr>
                <w:rFonts w:ascii="Arial" w:cs="Arial" w:eastAsia="Arial" w:hAnsi="Arial"/>
                <w:sz w:val="17"/>
                <w:szCs w:val="17"/>
                <w:color w:val="auto"/>
              </w:rPr>
              <w:t>Forfeited</w:t>
            </w:r>
          </w:p>
        </w:tc>
        <w:tc>
          <w:tcPr>
            <w:tcW w:w="18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180" w:type="dxa"/>
            <w:vAlign w:val="bottom"/>
          </w:tcPr>
          <w:p>
            <w:pPr>
              <w:spacing w:after="0"/>
              <w:rPr>
                <w:sz w:val="19"/>
                <w:szCs w:val="19"/>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6"/>
        </w:trPr>
        <w:tc>
          <w:tcPr>
            <w:tcW w:w="424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Outstanding at September 30, 2016</w:t>
            </w:r>
          </w:p>
        </w:tc>
        <w:tc>
          <w:tcPr>
            <w:tcW w:w="17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823,402</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76"/>
              <w:spacing w:after="0"/>
              <w:rPr>
                <w:sz w:val="20"/>
                <w:szCs w:val="20"/>
                <w:color w:val="auto"/>
              </w:rPr>
            </w:pPr>
            <w:r>
              <w:rPr>
                <w:rFonts w:ascii="Arial" w:cs="Arial" w:eastAsia="Arial" w:hAnsi="Arial"/>
                <w:sz w:val="17"/>
                <w:szCs w:val="17"/>
                <w:color w:val="auto"/>
              </w:rPr>
              <w:t>$</w:t>
            </w:r>
          </w:p>
        </w:tc>
        <w:tc>
          <w:tcPr>
            <w:tcW w:w="5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w w:val="93"/>
              </w:rPr>
              <w:t>16.41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27,530</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3.05</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r>
      <w:tr>
        <w:trPr>
          <w:trHeight w:val="155"/>
        </w:trPr>
        <w:tc>
          <w:tcPr>
            <w:tcW w:w="4240" w:type="dxa"/>
            <w:vAlign w:val="bottom"/>
            <w:tcBorders>
              <w:bottom w:val="single" w:sz="8" w:color="CCEEFF"/>
            </w:tcBorders>
          </w:tcPr>
          <w:p>
            <w:pPr>
              <w:spacing w:after="0"/>
              <w:rPr>
                <w:sz w:val="13"/>
                <w:szCs w:val="13"/>
                <w:color w:val="auto"/>
              </w:rPr>
            </w:pPr>
          </w:p>
        </w:tc>
        <w:tc>
          <w:tcPr>
            <w:tcW w:w="172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700" w:type="dxa"/>
            <w:vAlign w:val="bottom"/>
            <w:tcBorders>
              <w:bottom w:val="single" w:sz="8" w:color="auto"/>
            </w:tcBorders>
          </w:tcPr>
          <w:p>
            <w:pPr>
              <w:spacing w:after="0"/>
              <w:rPr>
                <w:sz w:val="13"/>
                <w:szCs w:val="13"/>
                <w:color w:val="auto"/>
              </w:rPr>
            </w:pPr>
          </w:p>
        </w:tc>
      </w:tr>
      <w:tr>
        <w:trPr>
          <w:trHeight w:val="250"/>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Vested and exercisable at September 30, 2016</w:t>
            </w:r>
          </w:p>
        </w:tc>
        <w:tc>
          <w:tcPr>
            <w:tcW w:w="17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823,402</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76"/>
              <w:spacing w:after="0"/>
              <w:rPr>
                <w:sz w:val="20"/>
                <w:szCs w:val="20"/>
                <w:color w:val="auto"/>
              </w:rPr>
            </w:pPr>
            <w:r>
              <w:rPr>
                <w:rFonts w:ascii="Arial" w:cs="Arial" w:eastAsia="Arial" w:hAnsi="Arial"/>
                <w:sz w:val="17"/>
                <w:szCs w:val="17"/>
                <w:color w:val="auto"/>
              </w:rPr>
              <w:t>$</w:t>
            </w:r>
          </w:p>
        </w:tc>
        <w:tc>
          <w:tcPr>
            <w:tcW w:w="5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w w:val="93"/>
              </w:rPr>
              <w:t>16.41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27,530</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3.05</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jc w:val="both"/>
        <w:ind w:firstLine="404"/>
        <w:spacing w:after="0" w:line="310" w:lineRule="auto"/>
        <w:rPr>
          <w:sz w:val="20"/>
          <w:szCs w:val="20"/>
          <w:color w:val="auto"/>
        </w:rPr>
      </w:pPr>
      <w:r>
        <w:rPr>
          <w:rFonts w:ascii="Arial" w:cs="Arial" w:eastAsia="Arial" w:hAnsi="Arial"/>
          <w:sz w:val="15"/>
          <w:szCs w:val="15"/>
          <w:color w:val="auto"/>
        </w:rPr>
        <w:t>The unrecognized compensation cost for unvested options as of September 30, 2016 is nil. The Company did not grant any options during the three and nine months ended September 30, 2016 and 2015. There were no options that vested during the three months ended September 30, 2016 and September 30, 2015. The total grant date fair value of options vested during the nine months ended September 30, 2016 and September 30, 2015 was $706 and $1,170, respectively.</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Restricted Stock and Restricted Stock Units</w:t>
      </w:r>
    </w:p>
    <w:p>
      <w:pPr>
        <w:spacing w:after="0" w:line="213" w:lineRule="exact"/>
        <w:rPr>
          <w:sz w:val="20"/>
          <w:szCs w:val="20"/>
          <w:color w:val="auto"/>
        </w:rPr>
      </w:pPr>
    </w:p>
    <w:p>
      <w:pPr>
        <w:ind w:left="400"/>
        <w:spacing w:after="0"/>
        <w:rPr>
          <w:sz w:val="20"/>
          <w:szCs w:val="20"/>
          <w:color w:val="auto"/>
        </w:rPr>
      </w:pPr>
      <w:r>
        <w:rPr>
          <w:rFonts w:ascii="Arial" w:cs="Arial" w:eastAsia="Arial" w:hAnsi="Arial"/>
          <w:sz w:val="17"/>
          <w:szCs w:val="17"/>
          <w:color w:val="auto"/>
        </w:rPr>
        <w:t>Restricted stock and restricted stock unit activity under the Company’s stock plans is shown below:</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720" w:type="dxa"/>
            <w:vAlign w:val="bottom"/>
          </w:tcPr>
          <w:p>
            <w:pPr>
              <w:spacing w:after="0"/>
              <w:rPr>
                <w:sz w:val="18"/>
                <w:szCs w:val="18"/>
                <w:color w:val="auto"/>
              </w:rPr>
            </w:pPr>
          </w:p>
        </w:tc>
        <w:tc>
          <w:tcPr>
            <w:tcW w:w="2860" w:type="dxa"/>
            <w:vAlign w:val="bottom"/>
            <w:gridSpan w:val="5"/>
          </w:tcPr>
          <w:p>
            <w:pPr>
              <w:ind w:left="800"/>
              <w:spacing w:after="0"/>
              <w:rPr>
                <w:sz w:val="20"/>
                <w:szCs w:val="20"/>
                <w:color w:val="auto"/>
              </w:rPr>
            </w:pPr>
            <w:r>
              <w:rPr>
                <w:rFonts w:ascii="Arial" w:cs="Arial" w:eastAsia="Arial" w:hAnsi="Arial"/>
                <w:sz w:val="17"/>
                <w:szCs w:val="17"/>
                <w:b w:val="1"/>
                <w:bCs w:val="1"/>
                <w:color w:val="auto"/>
              </w:rPr>
              <w:t>Restricted Stock</w:t>
            </w:r>
          </w:p>
        </w:tc>
        <w:tc>
          <w:tcPr>
            <w:tcW w:w="2840" w:type="dxa"/>
            <w:vAlign w:val="bottom"/>
            <w:gridSpan w:val="4"/>
          </w:tcPr>
          <w:p>
            <w:pPr>
              <w:jc w:val="right"/>
              <w:ind w:right="516"/>
              <w:spacing w:after="0"/>
              <w:rPr>
                <w:sz w:val="20"/>
                <w:szCs w:val="20"/>
                <w:color w:val="auto"/>
              </w:rPr>
            </w:pPr>
            <w:r>
              <w:rPr>
                <w:rFonts w:ascii="Arial" w:cs="Arial" w:eastAsia="Arial" w:hAnsi="Arial"/>
                <w:sz w:val="17"/>
                <w:szCs w:val="17"/>
                <w:b w:val="1"/>
                <w:bCs w:val="1"/>
                <w:color w:val="auto"/>
              </w:rPr>
              <w:t>Restricted Stock Units</w:t>
            </w:r>
          </w:p>
        </w:tc>
      </w:tr>
      <w:tr>
        <w:trPr>
          <w:trHeight w:val="26"/>
        </w:trPr>
        <w:tc>
          <w:tcPr>
            <w:tcW w:w="57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4"/>
        </w:trPr>
        <w:tc>
          <w:tcPr>
            <w:tcW w:w="57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90"/>
              </w:rPr>
              <w:t>Weighted-</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center"/>
              <w:ind w:right="96"/>
              <w:spacing w:after="0"/>
              <w:rPr>
                <w:sz w:val="20"/>
                <w:szCs w:val="20"/>
                <w:color w:val="auto"/>
              </w:rPr>
            </w:pPr>
            <w:r>
              <w:rPr>
                <w:rFonts w:ascii="Arial" w:cs="Arial" w:eastAsia="Arial" w:hAnsi="Arial"/>
                <w:sz w:val="17"/>
                <w:szCs w:val="17"/>
                <w:b w:val="1"/>
                <w:bCs w:val="1"/>
                <w:color w:val="auto"/>
                <w:w w:val="90"/>
              </w:rPr>
              <w:t>Weighted-</w:t>
            </w:r>
          </w:p>
        </w:tc>
      </w:tr>
      <w:tr>
        <w:trPr>
          <w:trHeight w:val="202"/>
        </w:trPr>
        <w:tc>
          <w:tcPr>
            <w:tcW w:w="57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86"/>
              </w:rPr>
              <w:t>Average</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center"/>
              <w:ind w:right="96"/>
              <w:spacing w:after="0"/>
              <w:rPr>
                <w:sz w:val="20"/>
                <w:szCs w:val="20"/>
                <w:color w:val="auto"/>
              </w:rPr>
            </w:pPr>
            <w:r>
              <w:rPr>
                <w:rFonts w:ascii="Arial" w:cs="Arial" w:eastAsia="Arial" w:hAnsi="Arial"/>
                <w:sz w:val="17"/>
                <w:szCs w:val="17"/>
                <w:b w:val="1"/>
                <w:bCs w:val="1"/>
                <w:color w:val="auto"/>
                <w:w w:val="86"/>
              </w:rPr>
              <w:t>Average</w:t>
            </w:r>
          </w:p>
        </w:tc>
      </w:tr>
      <w:tr>
        <w:trPr>
          <w:trHeight w:val="218"/>
        </w:trPr>
        <w:tc>
          <w:tcPr>
            <w:tcW w:w="5720" w:type="dxa"/>
            <w:vAlign w:val="bottom"/>
          </w:tcPr>
          <w:p>
            <w:pPr>
              <w:spacing w:after="0"/>
              <w:rPr>
                <w:sz w:val="18"/>
                <w:szCs w:val="18"/>
                <w:color w:val="auto"/>
              </w:rPr>
            </w:pPr>
          </w:p>
        </w:tc>
        <w:tc>
          <w:tcPr>
            <w:tcW w:w="1160" w:type="dxa"/>
            <w:vAlign w:val="bottom"/>
            <w:gridSpan w:val="2"/>
          </w:tcPr>
          <w:p>
            <w:pPr>
              <w:ind w:left="220"/>
              <w:spacing w:after="0"/>
              <w:rPr>
                <w:sz w:val="20"/>
                <w:szCs w:val="20"/>
                <w:color w:val="auto"/>
              </w:rPr>
            </w:pPr>
            <w:r>
              <w:rPr>
                <w:rFonts w:ascii="Arial" w:cs="Arial" w:eastAsia="Arial" w:hAnsi="Arial"/>
                <w:sz w:val="17"/>
                <w:szCs w:val="17"/>
                <w:b w:val="1"/>
                <w:bCs w:val="1"/>
                <w:color w:val="auto"/>
              </w:rPr>
              <w:t>Number</w:t>
            </w:r>
          </w:p>
        </w:tc>
        <w:tc>
          <w:tcPr>
            <w:tcW w:w="180" w:type="dxa"/>
            <w:vAlign w:val="bottom"/>
          </w:tcPr>
          <w:p>
            <w:pPr>
              <w:spacing w:after="0"/>
              <w:rPr>
                <w:sz w:val="18"/>
                <w:szCs w:val="18"/>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91"/>
              </w:rPr>
              <w:t>Intrinsic Value</w:t>
            </w:r>
          </w:p>
        </w:tc>
        <w:tc>
          <w:tcPr>
            <w:tcW w:w="1260" w:type="dxa"/>
            <w:vAlign w:val="bottom"/>
            <w:gridSpan w:val="2"/>
          </w:tcPr>
          <w:p>
            <w:pPr>
              <w:ind w:left="280"/>
              <w:spacing w:after="0"/>
              <w:rPr>
                <w:sz w:val="20"/>
                <w:szCs w:val="20"/>
                <w:color w:val="auto"/>
              </w:rPr>
            </w:pPr>
            <w:r>
              <w:rPr>
                <w:rFonts w:ascii="Arial" w:cs="Arial" w:eastAsia="Arial" w:hAnsi="Arial"/>
                <w:sz w:val="17"/>
                <w:szCs w:val="17"/>
                <w:b w:val="1"/>
                <w:bCs w:val="1"/>
                <w:color w:val="auto"/>
              </w:rPr>
              <w:t>Number</w:t>
            </w:r>
          </w:p>
        </w:tc>
        <w:tc>
          <w:tcPr>
            <w:tcW w:w="180" w:type="dxa"/>
            <w:vAlign w:val="bottom"/>
          </w:tcPr>
          <w:p>
            <w:pPr>
              <w:spacing w:after="0"/>
              <w:rPr>
                <w:sz w:val="18"/>
                <w:szCs w:val="18"/>
                <w:color w:val="auto"/>
              </w:rPr>
            </w:pPr>
          </w:p>
        </w:tc>
        <w:tc>
          <w:tcPr>
            <w:tcW w:w="1400" w:type="dxa"/>
            <w:vAlign w:val="bottom"/>
          </w:tcPr>
          <w:p>
            <w:pPr>
              <w:jc w:val="center"/>
              <w:ind w:right="96"/>
              <w:spacing w:after="0"/>
              <w:rPr>
                <w:sz w:val="20"/>
                <w:szCs w:val="20"/>
                <w:color w:val="auto"/>
              </w:rPr>
            </w:pPr>
            <w:r>
              <w:rPr>
                <w:rFonts w:ascii="Arial" w:cs="Arial" w:eastAsia="Arial" w:hAnsi="Arial"/>
                <w:sz w:val="17"/>
                <w:szCs w:val="17"/>
                <w:b w:val="1"/>
                <w:bCs w:val="1"/>
                <w:color w:val="auto"/>
                <w:w w:val="91"/>
              </w:rPr>
              <w:t>Intrinsic Value</w:t>
            </w:r>
          </w:p>
        </w:tc>
      </w:tr>
      <w:tr>
        <w:trPr>
          <w:trHeight w:val="26"/>
        </w:trPr>
        <w:tc>
          <w:tcPr>
            <w:tcW w:w="57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25"/>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Outstanding at December 31, 2015*</w:t>
            </w: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134,935</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35.27</w:t>
            </w: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1,228,287</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30.06</w:t>
            </w:r>
          </w:p>
        </w:tc>
      </w:tr>
      <w:tr>
        <w:trPr>
          <w:trHeight w:val="227"/>
        </w:trPr>
        <w:tc>
          <w:tcPr>
            <w:tcW w:w="5720" w:type="dxa"/>
            <w:vAlign w:val="bottom"/>
          </w:tcPr>
          <w:p>
            <w:pPr>
              <w:ind w:left="440"/>
              <w:spacing w:after="0"/>
              <w:rPr>
                <w:sz w:val="20"/>
                <w:szCs w:val="20"/>
                <w:color w:val="auto"/>
              </w:rPr>
            </w:pPr>
            <w:r>
              <w:rPr>
                <w:rFonts w:ascii="Arial" w:cs="Arial" w:eastAsia="Arial" w:hAnsi="Arial"/>
                <w:sz w:val="17"/>
                <w:szCs w:val="17"/>
                <w:color w:val="auto"/>
              </w:rPr>
              <w:t>Granted</w:t>
            </w:r>
          </w:p>
        </w:tc>
        <w:tc>
          <w:tcPr>
            <w:tcW w:w="1040" w:type="dxa"/>
            <w:vAlign w:val="bottom"/>
          </w:tcPr>
          <w:p>
            <w:pPr>
              <w:jc w:val="right"/>
              <w:ind w:right="36"/>
              <w:spacing w:after="0"/>
              <w:rPr>
                <w:sz w:val="20"/>
                <w:szCs w:val="20"/>
                <w:color w:val="auto"/>
              </w:rPr>
            </w:pPr>
            <w:r>
              <w:rPr>
                <w:rFonts w:ascii="Arial" w:cs="Arial" w:eastAsia="Arial" w:hAnsi="Arial"/>
                <w:sz w:val="17"/>
                <w:szCs w:val="17"/>
                <w:color w:val="auto"/>
              </w:rPr>
              <w:t>33,459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16"/>
              <w:spacing w:after="0"/>
              <w:rPr>
                <w:sz w:val="20"/>
                <w:szCs w:val="20"/>
                <w:color w:val="auto"/>
              </w:rPr>
            </w:pPr>
            <w:r>
              <w:rPr>
                <w:rFonts w:ascii="Arial" w:cs="Arial" w:eastAsia="Arial" w:hAnsi="Arial"/>
                <w:sz w:val="17"/>
                <w:szCs w:val="17"/>
                <w:color w:val="auto"/>
              </w:rPr>
              <w:t>52.41</w:t>
            </w:r>
          </w:p>
        </w:tc>
        <w:tc>
          <w:tcPr>
            <w:tcW w:w="120" w:type="dxa"/>
            <w:vAlign w:val="bottom"/>
          </w:tcPr>
          <w:p>
            <w:pPr>
              <w:spacing w:after="0"/>
              <w:rPr>
                <w:sz w:val="19"/>
                <w:szCs w:val="19"/>
                <w:color w:val="auto"/>
              </w:rPr>
            </w:pPr>
          </w:p>
        </w:tc>
        <w:tc>
          <w:tcPr>
            <w:tcW w:w="1140" w:type="dxa"/>
            <w:vAlign w:val="bottom"/>
          </w:tcPr>
          <w:p>
            <w:pPr>
              <w:jc w:val="right"/>
              <w:ind w:right="36"/>
              <w:spacing w:after="0"/>
              <w:rPr>
                <w:sz w:val="20"/>
                <w:szCs w:val="20"/>
                <w:color w:val="auto"/>
              </w:rPr>
            </w:pPr>
            <w:r>
              <w:rPr>
                <w:rFonts w:ascii="Arial" w:cs="Arial" w:eastAsia="Arial" w:hAnsi="Arial"/>
                <w:sz w:val="17"/>
                <w:szCs w:val="17"/>
                <w:color w:val="auto"/>
              </w:rPr>
              <w:t>420,403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16"/>
              <w:spacing w:after="0"/>
              <w:rPr>
                <w:sz w:val="20"/>
                <w:szCs w:val="20"/>
                <w:color w:val="auto"/>
              </w:rPr>
            </w:pPr>
            <w:r>
              <w:rPr>
                <w:rFonts w:ascii="Arial" w:cs="Arial" w:eastAsia="Arial" w:hAnsi="Arial"/>
                <w:sz w:val="17"/>
                <w:szCs w:val="17"/>
                <w:color w:val="auto"/>
              </w:rPr>
              <w:t>48.83</w:t>
            </w:r>
          </w:p>
        </w:tc>
      </w:tr>
      <w:tr>
        <w:trPr>
          <w:trHeight w:val="26"/>
        </w:trPr>
        <w:tc>
          <w:tcPr>
            <w:tcW w:w="57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3"/>
        </w:trPr>
        <w:tc>
          <w:tcPr>
            <w:tcW w:w="57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7"/>
                <w:szCs w:val="17"/>
                <w:color w:val="auto"/>
              </w:rPr>
              <w:t>Vested</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(15,057)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34.61</w:t>
            </w: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(335,022)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28.68</w:t>
            </w:r>
          </w:p>
        </w:tc>
      </w:tr>
      <w:tr>
        <w:trPr>
          <w:trHeight w:val="227"/>
        </w:trPr>
        <w:tc>
          <w:tcPr>
            <w:tcW w:w="5720" w:type="dxa"/>
            <w:vAlign w:val="bottom"/>
          </w:tcPr>
          <w:p>
            <w:pPr>
              <w:ind w:left="440"/>
              <w:spacing w:after="0"/>
              <w:rPr>
                <w:sz w:val="20"/>
                <w:szCs w:val="20"/>
                <w:color w:val="auto"/>
              </w:rPr>
            </w:pPr>
            <w:r>
              <w:rPr>
                <w:rFonts w:ascii="Arial" w:cs="Arial" w:eastAsia="Arial" w:hAnsi="Arial"/>
                <w:sz w:val="17"/>
                <w:szCs w:val="17"/>
                <w:color w:val="auto"/>
              </w:rPr>
              <w:t>Forfeited</w:t>
            </w:r>
          </w:p>
        </w:tc>
        <w:tc>
          <w:tcPr>
            <w:tcW w:w="11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(66,315)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16"/>
              <w:spacing w:after="0"/>
              <w:rPr>
                <w:sz w:val="20"/>
                <w:szCs w:val="20"/>
                <w:color w:val="auto"/>
              </w:rPr>
            </w:pPr>
            <w:r>
              <w:rPr>
                <w:rFonts w:ascii="Arial" w:cs="Arial" w:eastAsia="Arial" w:hAnsi="Arial"/>
                <w:sz w:val="17"/>
                <w:szCs w:val="17"/>
                <w:color w:val="auto"/>
              </w:rPr>
              <w:t>32.23</w:t>
            </w:r>
          </w:p>
        </w:tc>
      </w:tr>
      <w:tr>
        <w:trPr>
          <w:trHeight w:val="26"/>
        </w:trPr>
        <w:tc>
          <w:tcPr>
            <w:tcW w:w="57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Outstanding at September 30, 2016*</w:t>
            </w: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153,337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39.08</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1,247,353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36.64</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192405</wp:posOffset>
            </wp:positionV>
            <wp:extent cx="14204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0495" cy="8255"/>
                    </a:xfrm>
                    <a:prstGeom prst="rect">
                      <a:avLst/>
                    </a:prstGeom>
                    <a:noFill/>
                  </pic:spPr>
                </pic:pic>
              </a:graphicData>
            </a:graphic>
          </wp:anchor>
        </w:drawing>
      </w:r>
    </w:p>
    <w:p>
      <w:pPr>
        <w:spacing w:after="0" w:line="338" w:lineRule="exact"/>
        <w:rPr>
          <w:sz w:val="20"/>
          <w:szCs w:val="20"/>
          <w:color w:val="auto"/>
        </w:rPr>
      </w:pPr>
    </w:p>
    <w:p>
      <w:pPr>
        <w:ind w:left="260" w:hanging="259"/>
        <w:spacing w:after="0"/>
        <w:tabs>
          <w:tab w:leader="none" w:pos="260" w:val="left"/>
        </w:tabs>
        <w:numPr>
          <w:ilvl w:val="0"/>
          <w:numId w:val="10"/>
        </w:numPr>
        <w:rPr>
          <w:rFonts w:ascii="Arial" w:cs="Arial" w:eastAsia="Arial" w:hAnsi="Arial"/>
          <w:sz w:val="14"/>
          <w:szCs w:val="14"/>
          <w:i w:val="1"/>
          <w:iCs w:val="1"/>
          <w:color w:val="auto"/>
        </w:rPr>
      </w:pPr>
      <w:r>
        <w:rPr>
          <w:rFonts w:ascii="Arial" w:cs="Arial" w:eastAsia="Arial" w:hAnsi="Arial"/>
          <w:sz w:val="14"/>
          <w:szCs w:val="14"/>
          <w:i w:val="1"/>
          <w:iCs w:val="1"/>
          <w:color w:val="auto"/>
        </w:rPr>
        <w:t>As of September 30, 2016 and December 31, 2015 restricted stock units vested for which the underlying common stock is yet to be issued are 135,054 and 149,364, respectively.</w:t>
      </w:r>
    </w:p>
    <w:p>
      <w:pPr>
        <w:spacing w:after="0" w:line="213" w:lineRule="exact"/>
        <w:rPr>
          <w:rFonts w:ascii="Arial" w:cs="Arial" w:eastAsia="Arial" w:hAnsi="Arial"/>
          <w:sz w:val="14"/>
          <w:szCs w:val="14"/>
          <w:i w:val="1"/>
          <w:iCs w:val="1"/>
          <w:color w:val="auto"/>
        </w:rPr>
      </w:pPr>
    </w:p>
    <w:p>
      <w:pPr>
        <w:ind w:left="400"/>
        <w:spacing w:after="0"/>
        <w:rPr>
          <w:rFonts w:ascii="Arial" w:cs="Arial" w:eastAsia="Arial" w:hAnsi="Arial"/>
          <w:sz w:val="14"/>
          <w:szCs w:val="14"/>
          <w:i w:val="1"/>
          <w:iCs w:val="1"/>
          <w:color w:val="auto"/>
        </w:rPr>
      </w:pPr>
      <w:r>
        <w:rPr>
          <w:rFonts w:ascii="Arial" w:cs="Arial" w:eastAsia="Arial" w:hAnsi="Arial"/>
          <w:sz w:val="16"/>
          <w:szCs w:val="16"/>
          <w:color w:val="auto"/>
        </w:rPr>
        <w:t>As of September 30, 2016, unrecognized compensation cost of $40,077 is expected to be expensed over a weighted average period of 2.68 years.</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1420"/>
          </w:cols>
          <w:pgMar w:left="240" w:top="123" w:right="239" w:bottom="1440" w:gutter="0" w:footer="0" w:header="0"/>
        </w:sectPr>
      </w:pPr>
    </w:p>
    <w:bookmarkStart w:id="24" w:name="page25"/>
    <w:bookmarkEnd w:id="24"/>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23" w:lineRule="exact"/>
        <w:rPr>
          <w:sz w:val="20"/>
          <w:szCs w:val="20"/>
          <w:color w:val="auto"/>
        </w:rPr>
      </w:pPr>
    </w:p>
    <w:p>
      <w:pPr>
        <w:ind w:left="4480"/>
        <w:spacing w:after="0"/>
        <w:rPr>
          <w:sz w:val="20"/>
          <w:szCs w:val="20"/>
          <w:color w:val="auto"/>
        </w:rPr>
      </w:pPr>
      <w:r>
        <w:rPr>
          <w:rFonts w:ascii="Arial" w:cs="Arial" w:eastAsia="Arial" w:hAnsi="Arial"/>
          <w:sz w:val="17"/>
          <w:szCs w:val="17"/>
          <w:b w:val="1"/>
          <w:bCs w:val="1"/>
          <w:color w:val="auto"/>
        </w:rPr>
        <w:t>EXLSERVICE HOLDINGS, INC.</w:t>
      </w:r>
    </w:p>
    <w:p>
      <w:pPr>
        <w:spacing w:after="0" w:line="92" w:lineRule="exact"/>
        <w:rPr>
          <w:sz w:val="20"/>
          <w:szCs w:val="20"/>
          <w:color w:val="auto"/>
        </w:rPr>
      </w:pPr>
    </w:p>
    <w:p>
      <w:pPr>
        <w:ind w:left="2480"/>
        <w:spacing w:after="0"/>
        <w:rPr>
          <w:sz w:val="20"/>
          <w:szCs w:val="20"/>
          <w:color w:val="auto"/>
        </w:rPr>
      </w:pPr>
      <w:r>
        <w:rPr>
          <w:rFonts w:ascii="Arial" w:cs="Arial" w:eastAsia="Arial" w:hAnsi="Arial"/>
          <w:sz w:val="17"/>
          <w:szCs w:val="17"/>
          <w:b w:val="1"/>
          <w:bCs w:val="1"/>
          <w:color w:val="auto"/>
        </w:rPr>
        <w:t>NOTES TO UNAUDITED CONSOLIDATED FINANCIAL STATEMENTS—(continued)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September 30, 2016</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780" w:type="dxa"/>
            <w:vAlign w:val="bottom"/>
          </w:tcPr>
          <w:p>
            <w:pPr>
              <w:spacing w:after="0"/>
              <w:rPr>
                <w:sz w:val="20"/>
                <w:szCs w:val="20"/>
                <w:color w:val="auto"/>
              </w:rPr>
            </w:pPr>
            <w:r>
              <w:rPr>
                <w:rFonts w:ascii="Arial" w:cs="Arial" w:eastAsia="Arial" w:hAnsi="Arial"/>
                <w:sz w:val="17"/>
                <w:szCs w:val="17"/>
                <w:b w:val="1"/>
                <w:bCs w:val="1"/>
                <w:color w:val="auto"/>
              </w:rPr>
              <w:t>Performance Based Stock Awards</w:t>
            </w: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404"/>
        </w:trPr>
        <w:tc>
          <w:tcPr>
            <w:tcW w:w="7680" w:type="dxa"/>
            <w:vAlign w:val="bottom"/>
            <w:gridSpan w:val="6"/>
          </w:tcPr>
          <w:p>
            <w:pPr>
              <w:ind w:left="400"/>
              <w:spacing w:after="0"/>
              <w:rPr>
                <w:sz w:val="20"/>
                <w:szCs w:val="20"/>
                <w:color w:val="auto"/>
              </w:rPr>
            </w:pPr>
            <w:r>
              <w:rPr>
                <w:rFonts w:ascii="Arial" w:cs="Arial" w:eastAsia="Arial" w:hAnsi="Arial"/>
                <w:sz w:val="17"/>
                <w:szCs w:val="17"/>
                <w:color w:val="auto"/>
                <w:w w:val="90"/>
              </w:rPr>
              <w:t>Performance restricted stock unit (the "PRSU's") activity under the Company’s stock plans is shown below:</w:t>
            </w: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54"/>
        </w:trPr>
        <w:tc>
          <w:tcPr>
            <w:tcW w:w="3780" w:type="dxa"/>
            <w:vAlign w:val="bottom"/>
          </w:tcPr>
          <w:p>
            <w:pPr>
              <w:spacing w:after="0"/>
              <w:rPr>
                <w:sz w:val="24"/>
                <w:szCs w:val="24"/>
                <w:color w:val="auto"/>
              </w:rPr>
            </w:pPr>
          </w:p>
        </w:tc>
        <w:tc>
          <w:tcPr>
            <w:tcW w:w="3900" w:type="dxa"/>
            <w:vAlign w:val="bottom"/>
            <w:gridSpan w:val="5"/>
          </w:tcPr>
          <w:p>
            <w:pPr>
              <w:ind w:left="1080"/>
              <w:spacing w:after="0"/>
              <w:rPr>
                <w:sz w:val="20"/>
                <w:szCs w:val="20"/>
                <w:color w:val="auto"/>
              </w:rPr>
            </w:pPr>
            <w:r>
              <w:rPr>
                <w:rFonts w:ascii="Arial" w:cs="Arial" w:eastAsia="Arial" w:hAnsi="Arial"/>
                <w:sz w:val="17"/>
                <w:szCs w:val="17"/>
                <w:b w:val="1"/>
                <w:bCs w:val="1"/>
                <w:color w:val="auto"/>
              </w:rPr>
              <w:t>Revenue Based PRSUs</w:t>
            </w:r>
          </w:p>
        </w:tc>
        <w:tc>
          <w:tcPr>
            <w:tcW w:w="3740" w:type="dxa"/>
            <w:vAlign w:val="bottom"/>
            <w:gridSpan w:val="4"/>
          </w:tcPr>
          <w:p>
            <w:pPr>
              <w:jc w:val="right"/>
              <w:ind w:right="616"/>
              <w:spacing w:after="0"/>
              <w:rPr>
                <w:sz w:val="20"/>
                <w:szCs w:val="20"/>
                <w:color w:val="auto"/>
              </w:rPr>
            </w:pPr>
            <w:r>
              <w:rPr>
                <w:rFonts w:ascii="Arial" w:cs="Arial" w:eastAsia="Arial" w:hAnsi="Arial"/>
                <w:sz w:val="17"/>
                <w:szCs w:val="17"/>
                <w:b w:val="1"/>
                <w:bCs w:val="1"/>
                <w:color w:val="auto"/>
              </w:rPr>
              <w:t>Market Condition Based PRSUs</w:t>
            </w:r>
          </w:p>
        </w:tc>
      </w:tr>
      <w:tr>
        <w:trPr>
          <w:trHeight w:val="26"/>
        </w:trPr>
        <w:tc>
          <w:tcPr>
            <w:tcW w:w="378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04"/>
        </w:trPr>
        <w:tc>
          <w:tcPr>
            <w:tcW w:w="37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gridSpan w:val="2"/>
          </w:tcPr>
          <w:p>
            <w:pPr>
              <w:jc w:val="center"/>
              <w:ind w:right="380"/>
              <w:spacing w:after="0"/>
              <w:rPr>
                <w:sz w:val="20"/>
                <w:szCs w:val="20"/>
                <w:color w:val="auto"/>
              </w:rPr>
            </w:pPr>
            <w:r>
              <w:rPr>
                <w:rFonts w:ascii="Arial" w:cs="Arial" w:eastAsia="Arial" w:hAnsi="Arial"/>
                <w:sz w:val="17"/>
                <w:szCs w:val="17"/>
                <w:b w:val="1"/>
                <w:bCs w:val="1"/>
                <w:color w:val="auto"/>
                <w:w w:val="86"/>
              </w:rPr>
              <w:t>Weighted Avg</w:t>
            </w: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tcPr>
          <w:p>
            <w:pPr>
              <w:jc w:val="right"/>
              <w:ind w:right="316"/>
              <w:spacing w:after="0"/>
              <w:rPr>
                <w:sz w:val="20"/>
                <w:szCs w:val="20"/>
                <w:color w:val="auto"/>
              </w:rPr>
            </w:pPr>
            <w:r>
              <w:rPr>
                <w:rFonts w:ascii="Arial" w:cs="Arial" w:eastAsia="Arial" w:hAnsi="Arial"/>
                <w:sz w:val="17"/>
                <w:szCs w:val="17"/>
                <w:b w:val="1"/>
                <w:bCs w:val="1"/>
                <w:color w:val="auto"/>
              </w:rPr>
              <w:t>Weighted Avg</w:t>
            </w:r>
          </w:p>
        </w:tc>
      </w:tr>
      <w:tr>
        <w:trPr>
          <w:trHeight w:val="218"/>
        </w:trPr>
        <w:tc>
          <w:tcPr>
            <w:tcW w:w="3780" w:type="dxa"/>
            <w:vAlign w:val="bottom"/>
          </w:tcPr>
          <w:p>
            <w:pPr>
              <w:spacing w:after="0"/>
              <w:rPr>
                <w:sz w:val="18"/>
                <w:szCs w:val="18"/>
                <w:color w:val="auto"/>
              </w:rPr>
            </w:pPr>
          </w:p>
        </w:tc>
        <w:tc>
          <w:tcPr>
            <w:tcW w:w="1960" w:type="dxa"/>
            <w:vAlign w:val="bottom"/>
            <w:gridSpan w:val="2"/>
          </w:tcPr>
          <w:p>
            <w:pPr>
              <w:ind w:left="620"/>
              <w:spacing w:after="0"/>
              <w:rPr>
                <w:sz w:val="20"/>
                <w:szCs w:val="20"/>
                <w:color w:val="auto"/>
              </w:rPr>
            </w:pPr>
            <w:r>
              <w:rPr>
                <w:rFonts w:ascii="Arial" w:cs="Arial" w:eastAsia="Arial" w:hAnsi="Arial"/>
                <w:sz w:val="17"/>
                <w:szCs w:val="17"/>
                <w:b w:val="1"/>
                <w:bCs w:val="1"/>
                <w:color w:val="auto"/>
              </w:rPr>
              <w:t>Number</w:t>
            </w:r>
          </w:p>
        </w:tc>
        <w:tc>
          <w:tcPr>
            <w:tcW w:w="260" w:type="dxa"/>
            <w:vAlign w:val="bottom"/>
          </w:tcPr>
          <w:p>
            <w:pPr>
              <w:spacing w:after="0"/>
              <w:rPr>
                <w:sz w:val="18"/>
                <w:szCs w:val="18"/>
                <w:color w:val="auto"/>
              </w:rPr>
            </w:pPr>
          </w:p>
        </w:tc>
        <w:tc>
          <w:tcPr>
            <w:tcW w:w="1680" w:type="dxa"/>
            <w:vAlign w:val="bottom"/>
            <w:gridSpan w:val="2"/>
          </w:tcPr>
          <w:p>
            <w:pPr>
              <w:jc w:val="center"/>
              <w:ind w:right="380"/>
              <w:spacing w:after="0"/>
              <w:rPr>
                <w:sz w:val="20"/>
                <w:szCs w:val="20"/>
                <w:color w:val="auto"/>
              </w:rPr>
            </w:pPr>
            <w:r>
              <w:rPr>
                <w:rFonts w:ascii="Arial" w:cs="Arial" w:eastAsia="Arial" w:hAnsi="Arial"/>
                <w:sz w:val="17"/>
                <w:szCs w:val="17"/>
                <w:b w:val="1"/>
                <w:bCs w:val="1"/>
                <w:color w:val="auto"/>
                <w:w w:val="91"/>
              </w:rPr>
              <w:t>Fair Value</w:t>
            </w:r>
          </w:p>
        </w:tc>
        <w:tc>
          <w:tcPr>
            <w:tcW w:w="1920" w:type="dxa"/>
            <w:vAlign w:val="bottom"/>
            <w:gridSpan w:val="2"/>
          </w:tcPr>
          <w:p>
            <w:pPr>
              <w:ind w:left="600"/>
              <w:spacing w:after="0"/>
              <w:rPr>
                <w:sz w:val="20"/>
                <w:szCs w:val="20"/>
                <w:color w:val="auto"/>
              </w:rPr>
            </w:pPr>
            <w:r>
              <w:rPr>
                <w:rFonts w:ascii="Arial" w:cs="Arial" w:eastAsia="Arial" w:hAnsi="Arial"/>
                <w:sz w:val="17"/>
                <w:szCs w:val="17"/>
                <w:b w:val="1"/>
                <w:bCs w:val="1"/>
                <w:color w:val="auto"/>
              </w:rPr>
              <w:t>Number</w:t>
            </w:r>
          </w:p>
        </w:tc>
        <w:tc>
          <w:tcPr>
            <w:tcW w:w="260" w:type="dxa"/>
            <w:vAlign w:val="bottom"/>
          </w:tcPr>
          <w:p>
            <w:pPr>
              <w:spacing w:after="0"/>
              <w:rPr>
                <w:sz w:val="18"/>
                <w:szCs w:val="18"/>
                <w:color w:val="auto"/>
              </w:rPr>
            </w:pPr>
          </w:p>
        </w:tc>
        <w:tc>
          <w:tcPr>
            <w:tcW w:w="1560" w:type="dxa"/>
            <w:vAlign w:val="bottom"/>
          </w:tcPr>
          <w:p>
            <w:pPr>
              <w:jc w:val="right"/>
              <w:ind w:right="436"/>
              <w:spacing w:after="0"/>
              <w:rPr>
                <w:sz w:val="20"/>
                <w:szCs w:val="20"/>
                <w:color w:val="auto"/>
              </w:rPr>
            </w:pPr>
            <w:r>
              <w:rPr>
                <w:rFonts w:ascii="Arial" w:cs="Arial" w:eastAsia="Arial" w:hAnsi="Arial"/>
                <w:sz w:val="17"/>
                <w:szCs w:val="17"/>
                <w:b w:val="1"/>
                <w:bCs w:val="1"/>
                <w:color w:val="auto"/>
              </w:rPr>
              <w:t>Fair Value</w:t>
            </w:r>
          </w:p>
        </w:tc>
      </w:tr>
      <w:tr>
        <w:trPr>
          <w:trHeight w:val="26"/>
        </w:trPr>
        <w:tc>
          <w:tcPr>
            <w:tcW w:w="378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25"/>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Outstanding at December 31, 2015</w:t>
            </w:r>
          </w:p>
        </w:tc>
        <w:tc>
          <w:tcPr>
            <w:tcW w:w="18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107,213</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15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30.88</w:t>
            </w:r>
          </w:p>
        </w:tc>
        <w:tc>
          <w:tcPr>
            <w:tcW w:w="120" w:type="dxa"/>
            <w:vAlign w:val="bottom"/>
            <w:tcBorders>
              <w:bottom w:val="single" w:sz="8" w:color="CCEEFF"/>
            </w:tcBorders>
            <w:shd w:val="clear" w:color="auto" w:fill="CCEEFF"/>
          </w:tcPr>
          <w:p>
            <w:pPr>
              <w:spacing w:after="0"/>
              <w:rPr>
                <w:sz w:val="19"/>
                <w:szCs w:val="19"/>
                <w:color w:val="auto"/>
              </w:rPr>
            </w:pPr>
          </w:p>
        </w:tc>
        <w:tc>
          <w:tcPr>
            <w:tcW w:w="18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207,212</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15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38.80</w:t>
            </w:r>
          </w:p>
        </w:tc>
      </w:tr>
      <w:tr>
        <w:trPr>
          <w:trHeight w:val="227"/>
        </w:trPr>
        <w:tc>
          <w:tcPr>
            <w:tcW w:w="3780" w:type="dxa"/>
            <w:vAlign w:val="bottom"/>
          </w:tcPr>
          <w:p>
            <w:pPr>
              <w:ind w:left="20"/>
              <w:spacing w:after="0"/>
              <w:rPr>
                <w:sz w:val="20"/>
                <w:szCs w:val="20"/>
                <w:color w:val="auto"/>
              </w:rPr>
            </w:pPr>
            <w:r>
              <w:rPr>
                <w:rFonts w:ascii="Arial" w:cs="Arial" w:eastAsia="Arial" w:hAnsi="Arial"/>
                <w:sz w:val="17"/>
                <w:szCs w:val="17"/>
                <w:color w:val="auto"/>
              </w:rPr>
              <w:t>Granted</w:t>
            </w:r>
          </w:p>
        </w:tc>
        <w:tc>
          <w:tcPr>
            <w:tcW w:w="1840" w:type="dxa"/>
            <w:vAlign w:val="bottom"/>
          </w:tcPr>
          <w:p>
            <w:pPr>
              <w:jc w:val="right"/>
              <w:ind w:right="36"/>
              <w:spacing w:after="0"/>
              <w:rPr>
                <w:sz w:val="20"/>
                <w:szCs w:val="20"/>
                <w:color w:val="auto"/>
              </w:rPr>
            </w:pPr>
            <w:r>
              <w:rPr>
                <w:rFonts w:ascii="Arial" w:cs="Arial" w:eastAsia="Arial" w:hAnsi="Arial"/>
                <w:sz w:val="17"/>
                <w:szCs w:val="17"/>
                <w:color w:val="auto"/>
              </w:rPr>
              <w:t>59,861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60" w:type="dxa"/>
            <w:vAlign w:val="bottom"/>
          </w:tcPr>
          <w:p>
            <w:pPr>
              <w:jc w:val="right"/>
              <w:ind w:right="36"/>
              <w:spacing w:after="0"/>
              <w:rPr>
                <w:sz w:val="20"/>
                <w:szCs w:val="20"/>
                <w:color w:val="auto"/>
              </w:rPr>
            </w:pPr>
            <w:r>
              <w:rPr>
                <w:rFonts w:ascii="Arial" w:cs="Arial" w:eastAsia="Arial" w:hAnsi="Arial"/>
                <w:sz w:val="17"/>
                <w:szCs w:val="17"/>
                <w:color w:val="auto"/>
              </w:rPr>
              <w:t>48.57</w:t>
            </w:r>
          </w:p>
        </w:tc>
        <w:tc>
          <w:tcPr>
            <w:tcW w:w="120" w:type="dxa"/>
            <w:vAlign w:val="bottom"/>
          </w:tcPr>
          <w:p>
            <w:pPr>
              <w:spacing w:after="0"/>
              <w:rPr>
                <w:sz w:val="19"/>
                <w:szCs w:val="19"/>
                <w:color w:val="auto"/>
              </w:rPr>
            </w:pPr>
          </w:p>
        </w:tc>
        <w:tc>
          <w:tcPr>
            <w:tcW w:w="1820" w:type="dxa"/>
            <w:vAlign w:val="bottom"/>
          </w:tcPr>
          <w:p>
            <w:pPr>
              <w:jc w:val="right"/>
              <w:ind w:right="36"/>
              <w:spacing w:after="0"/>
              <w:rPr>
                <w:sz w:val="20"/>
                <w:szCs w:val="20"/>
                <w:color w:val="auto"/>
              </w:rPr>
            </w:pPr>
            <w:r>
              <w:rPr>
                <w:rFonts w:ascii="Arial" w:cs="Arial" w:eastAsia="Arial" w:hAnsi="Arial"/>
                <w:sz w:val="17"/>
                <w:szCs w:val="17"/>
                <w:color w:val="auto"/>
              </w:rPr>
              <w:t>59,859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60" w:type="dxa"/>
            <w:vAlign w:val="bottom"/>
          </w:tcPr>
          <w:p>
            <w:pPr>
              <w:jc w:val="right"/>
              <w:ind w:right="16"/>
              <w:spacing w:after="0"/>
              <w:rPr>
                <w:sz w:val="20"/>
                <w:szCs w:val="20"/>
                <w:color w:val="auto"/>
              </w:rPr>
            </w:pPr>
            <w:r>
              <w:rPr>
                <w:rFonts w:ascii="Arial" w:cs="Arial" w:eastAsia="Arial" w:hAnsi="Arial"/>
                <w:sz w:val="17"/>
                <w:szCs w:val="17"/>
                <w:color w:val="auto"/>
              </w:rPr>
              <w:t>67.94</w:t>
            </w:r>
          </w:p>
        </w:tc>
      </w:tr>
      <w:tr>
        <w:trPr>
          <w:trHeight w:val="26"/>
        </w:trPr>
        <w:tc>
          <w:tcPr>
            <w:tcW w:w="37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33"/>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Vested</w:t>
            </w:r>
          </w:p>
        </w:tc>
        <w:tc>
          <w:tcPr>
            <w:tcW w:w="1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r>
      <w:tr>
        <w:trPr>
          <w:trHeight w:val="227"/>
        </w:trPr>
        <w:tc>
          <w:tcPr>
            <w:tcW w:w="3780" w:type="dxa"/>
            <w:vAlign w:val="bottom"/>
          </w:tcPr>
          <w:p>
            <w:pPr>
              <w:ind w:left="20"/>
              <w:spacing w:after="0"/>
              <w:rPr>
                <w:sz w:val="20"/>
                <w:szCs w:val="20"/>
                <w:color w:val="auto"/>
              </w:rPr>
            </w:pPr>
            <w:r>
              <w:rPr>
                <w:rFonts w:ascii="Arial" w:cs="Arial" w:eastAsia="Arial" w:hAnsi="Arial"/>
                <w:sz w:val="17"/>
                <w:szCs w:val="17"/>
                <w:color w:val="auto"/>
              </w:rPr>
              <w:t>Forfeited</w:t>
            </w:r>
          </w:p>
        </w:tc>
        <w:tc>
          <w:tcPr>
            <w:tcW w:w="1840" w:type="dxa"/>
            <w:vAlign w:val="bottom"/>
          </w:tcPr>
          <w:p>
            <w:pPr>
              <w:jc w:val="right"/>
              <w:spacing w:after="0"/>
              <w:rPr>
                <w:sz w:val="20"/>
                <w:szCs w:val="20"/>
                <w:color w:val="auto"/>
              </w:rPr>
            </w:pPr>
            <w:r>
              <w:rPr>
                <w:rFonts w:ascii="Arial" w:cs="Arial" w:eastAsia="Arial" w:hAnsi="Arial"/>
                <w:sz w:val="17"/>
                <w:szCs w:val="17"/>
                <w:color w:val="auto"/>
              </w:rPr>
              <w:t>(5,600)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60" w:type="dxa"/>
            <w:vAlign w:val="bottom"/>
          </w:tcPr>
          <w:p>
            <w:pPr>
              <w:jc w:val="right"/>
              <w:ind w:right="36"/>
              <w:spacing w:after="0"/>
              <w:rPr>
                <w:sz w:val="20"/>
                <w:szCs w:val="20"/>
                <w:color w:val="auto"/>
              </w:rPr>
            </w:pPr>
            <w:r>
              <w:rPr>
                <w:rFonts w:ascii="Arial" w:cs="Arial" w:eastAsia="Arial" w:hAnsi="Arial"/>
                <w:sz w:val="17"/>
                <w:szCs w:val="17"/>
                <w:color w:val="auto"/>
              </w:rPr>
              <w:t>36.86</w:t>
            </w:r>
          </w:p>
        </w:tc>
        <w:tc>
          <w:tcPr>
            <w:tcW w:w="1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(5,600)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60" w:type="dxa"/>
            <w:vAlign w:val="bottom"/>
          </w:tcPr>
          <w:p>
            <w:pPr>
              <w:jc w:val="right"/>
              <w:ind w:right="16"/>
              <w:spacing w:after="0"/>
              <w:rPr>
                <w:sz w:val="20"/>
                <w:szCs w:val="20"/>
                <w:color w:val="auto"/>
              </w:rPr>
            </w:pPr>
            <w:r>
              <w:rPr>
                <w:rFonts w:ascii="Arial" w:cs="Arial" w:eastAsia="Arial" w:hAnsi="Arial"/>
                <w:sz w:val="17"/>
                <w:szCs w:val="17"/>
                <w:color w:val="auto"/>
              </w:rPr>
              <w:t>55.35</w:t>
            </w:r>
          </w:p>
        </w:tc>
      </w:tr>
      <w:tr>
        <w:trPr>
          <w:trHeight w:val="26"/>
        </w:trPr>
        <w:tc>
          <w:tcPr>
            <w:tcW w:w="378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Outstanding at September 30, 2016*</w:t>
            </w:r>
          </w:p>
        </w:tc>
        <w:tc>
          <w:tcPr>
            <w:tcW w:w="18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161,474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15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37.23</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261,471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15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45.12</w:t>
            </w: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As of September 30, 2016, unrecognized compensation cost of $10,426 is expected to be expensed over a weighted average period of 1.74 years.</w:t>
      </w:r>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Geographical Information</w:t>
      </w:r>
    </w:p>
    <w:p>
      <w:pPr>
        <w:spacing w:after="0" w:line="112"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Company attributes the revenues to regions based upon location of its customers.</w:t>
      </w:r>
    </w:p>
    <w:p>
      <w:pPr>
        <w:spacing w:after="0" w:line="256" w:lineRule="exact"/>
        <w:rPr>
          <w:sz w:val="20"/>
          <w:szCs w:val="20"/>
          <w:color w:val="auto"/>
        </w:rPr>
      </w:pPr>
    </w:p>
    <w:tbl>
      <w:tblPr>
        <w:tblLayout w:type="fixed"/>
        <w:tblInd w:w="280" w:type="dxa"/>
        <w:tblCellMar>
          <w:top w:w="0" w:type="dxa"/>
          <w:left w:w="0" w:type="dxa"/>
          <w:bottom w:w="0" w:type="dxa"/>
          <w:right w:w="0" w:type="dxa"/>
        </w:tblCellMar>
      </w:tblPr>
      <w:tr>
        <w:trPr>
          <w:trHeight w:val="218"/>
        </w:trPr>
        <w:tc>
          <w:tcPr>
            <w:tcW w:w="3480" w:type="dxa"/>
            <w:vAlign w:val="bottom"/>
          </w:tcPr>
          <w:p>
            <w:pPr>
              <w:spacing w:after="0"/>
              <w:rPr>
                <w:sz w:val="18"/>
                <w:szCs w:val="18"/>
                <w:color w:val="auto"/>
              </w:rPr>
            </w:pPr>
          </w:p>
        </w:tc>
        <w:tc>
          <w:tcPr>
            <w:tcW w:w="3720" w:type="dxa"/>
            <w:vAlign w:val="bottom"/>
            <w:gridSpan w:val="6"/>
          </w:tcPr>
          <w:p>
            <w:pPr>
              <w:ind w:left="540"/>
              <w:spacing w:after="0"/>
              <w:rPr>
                <w:sz w:val="20"/>
                <w:szCs w:val="20"/>
                <w:color w:val="auto"/>
              </w:rPr>
            </w:pPr>
            <w:r>
              <w:rPr>
                <w:rFonts w:ascii="Arial" w:cs="Arial" w:eastAsia="Arial" w:hAnsi="Arial"/>
                <w:sz w:val="17"/>
                <w:szCs w:val="17"/>
                <w:b w:val="1"/>
                <w:bCs w:val="1"/>
                <w:color w:val="auto"/>
              </w:rPr>
              <w:t>Three months ended September 30,</w:t>
            </w:r>
          </w:p>
        </w:tc>
        <w:tc>
          <w:tcPr>
            <w:tcW w:w="360" w:type="dxa"/>
            <w:vAlign w:val="bottom"/>
          </w:tcPr>
          <w:p>
            <w:pPr>
              <w:spacing w:after="0"/>
              <w:rPr>
                <w:sz w:val="18"/>
                <w:szCs w:val="18"/>
                <w:color w:val="auto"/>
              </w:rPr>
            </w:pPr>
          </w:p>
        </w:tc>
        <w:tc>
          <w:tcPr>
            <w:tcW w:w="3320" w:type="dxa"/>
            <w:vAlign w:val="bottom"/>
            <w:gridSpan w:val="4"/>
          </w:tcPr>
          <w:p>
            <w:pPr>
              <w:jc w:val="right"/>
              <w:ind w:right="516"/>
              <w:spacing w:after="0"/>
              <w:rPr>
                <w:sz w:val="20"/>
                <w:szCs w:val="20"/>
                <w:color w:val="auto"/>
              </w:rPr>
            </w:pPr>
            <w:r>
              <w:rPr>
                <w:rFonts w:ascii="Arial" w:cs="Arial" w:eastAsia="Arial" w:hAnsi="Arial"/>
                <w:sz w:val="17"/>
                <w:szCs w:val="17"/>
                <w:b w:val="1"/>
                <w:bCs w:val="1"/>
                <w:color w:val="auto"/>
                <w:w w:val="96"/>
              </w:rPr>
              <w:t>Nine months ended September 30,</w:t>
            </w:r>
          </w:p>
        </w:tc>
      </w:tr>
      <w:tr>
        <w:trPr>
          <w:trHeight w:val="26"/>
        </w:trPr>
        <w:tc>
          <w:tcPr>
            <w:tcW w:w="34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20"/>
        </w:trPr>
        <w:tc>
          <w:tcPr>
            <w:tcW w:w="3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2016</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ind w:right="616"/>
              <w:spacing w:after="0"/>
              <w:rPr>
                <w:sz w:val="20"/>
                <w:szCs w:val="20"/>
                <w:color w:val="auto"/>
              </w:rPr>
            </w:pPr>
            <w:r>
              <w:rPr>
                <w:rFonts w:ascii="Arial" w:cs="Arial" w:eastAsia="Arial" w:hAnsi="Arial"/>
                <w:sz w:val="17"/>
                <w:szCs w:val="17"/>
                <w:b w:val="1"/>
                <w:bCs w:val="1"/>
                <w:color w:val="auto"/>
              </w:rPr>
              <w:t>2015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tcPr>
          <w:p>
            <w:pPr>
              <w:jc w:val="right"/>
              <w:ind w:right="616"/>
              <w:spacing w:after="0"/>
              <w:rPr>
                <w:sz w:val="20"/>
                <w:szCs w:val="20"/>
                <w:color w:val="auto"/>
              </w:rPr>
            </w:pPr>
            <w:r>
              <w:rPr>
                <w:rFonts w:ascii="Arial" w:cs="Arial" w:eastAsia="Arial" w:hAnsi="Arial"/>
                <w:sz w:val="17"/>
                <w:szCs w:val="17"/>
                <w:b w:val="1"/>
                <w:bCs w:val="1"/>
                <w:color w:val="auto"/>
              </w:rPr>
              <w:t>2016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ind w:right="676"/>
              <w:spacing w:after="0"/>
              <w:rPr>
                <w:sz w:val="20"/>
                <w:szCs w:val="20"/>
                <w:color w:val="auto"/>
              </w:rPr>
            </w:pPr>
            <w:r>
              <w:rPr>
                <w:rFonts w:ascii="Arial" w:cs="Arial" w:eastAsia="Arial" w:hAnsi="Arial"/>
                <w:sz w:val="17"/>
                <w:szCs w:val="17"/>
                <w:b w:val="1"/>
                <w:bCs w:val="1"/>
                <w:color w:val="auto"/>
              </w:rPr>
              <w:t>2015</w:t>
            </w:r>
          </w:p>
        </w:tc>
      </w:tr>
      <w:tr>
        <w:trPr>
          <w:trHeight w:val="26"/>
        </w:trPr>
        <w:tc>
          <w:tcPr>
            <w:tcW w:w="34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25"/>
        </w:trPr>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Revenues, net</w:t>
            </w:r>
          </w:p>
        </w:tc>
        <w:tc>
          <w:tcPr>
            <w:tcW w:w="108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spacing w:after="0"/>
              <w:rPr>
                <w:sz w:val="19"/>
                <w:szCs w:val="19"/>
                <w:color w:val="auto"/>
              </w:rPr>
            </w:pPr>
          </w:p>
        </w:tc>
      </w:tr>
      <w:tr>
        <w:trPr>
          <w:trHeight w:val="227"/>
        </w:trPr>
        <w:tc>
          <w:tcPr>
            <w:tcW w:w="3480" w:type="dxa"/>
            <w:vAlign w:val="bottom"/>
          </w:tcPr>
          <w:p>
            <w:pPr>
              <w:ind w:left="20"/>
              <w:spacing w:after="0"/>
              <w:rPr>
                <w:sz w:val="20"/>
                <w:szCs w:val="20"/>
                <w:color w:val="auto"/>
              </w:rPr>
            </w:pPr>
            <w:r>
              <w:rPr>
                <w:rFonts w:ascii="Arial" w:cs="Arial" w:eastAsia="Arial" w:hAnsi="Arial"/>
                <w:sz w:val="17"/>
                <w:szCs w:val="17"/>
                <w:color w:val="auto"/>
              </w:rPr>
              <w:t>United States</w:t>
            </w:r>
          </w:p>
        </w:tc>
        <w:tc>
          <w:tcPr>
            <w:tcW w:w="1080" w:type="dxa"/>
            <w:vAlign w:val="bottom"/>
          </w:tcPr>
          <w:p>
            <w:pPr>
              <w:jc w:val="right"/>
              <w:ind w:right="876"/>
              <w:spacing w:after="0"/>
              <w:rPr>
                <w:sz w:val="20"/>
                <w:szCs w:val="20"/>
                <w:color w:val="auto"/>
              </w:rPr>
            </w:pPr>
            <w:r>
              <w:rPr>
                <w:rFonts w:ascii="Arial" w:cs="Arial" w:eastAsia="Arial" w:hAnsi="Arial"/>
                <w:sz w:val="17"/>
                <w:szCs w:val="17"/>
                <w:color w:val="auto"/>
              </w:rPr>
              <w:t>$</w:t>
            </w:r>
          </w:p>
        </w:tc>
        <w:tc>
          <w:tcPr>
            <w:tcW w:w="700" w:type="dxa"/>
            <w:vAlign w:val="bottom"/>
          </w:tcPr>
          <w:p>
            <w:pPr>
              <w:jc w:val="right"/>
              <w:ind w:right="36"/>
              <w:spacing w:after="0"/>
              <w:rPr>
                <w:sz w:val="20"/>
                <w:szCs w:val="20"/>
                <w:color w:val="auto"/>
              </w:rPr>
            </w:pPr>
            <w:r>
              <w:rPr>
                <w:rFonts w:ascii="Arial" w:cs="Arial" w:eastAsia="Arial" w:hAnsi="Arial"/>
                <w:sz w:val="17"/>
                <w:szCs w:val="17"/>
                <w:color w:val="auto"/>
                <w:w w:val="91"/>
              </w:rPr>
              <w:t>137,047</w:t>
            </w:r>
          </w:p>
        </w:tc>
        <w:tc>
          <w:tcPr>
            <w:tcW w:w="120" w:type="dxa"/>
            <w:vAlign w:val="bottom"/>
          </w:tcPr>
          <w:p>
            <w:pPr>
              <w:spacing w:after="0"/>
              <w:rPr>
                <w:sz w:val="19"/>
                <w:szCs w:val="19"/>
                <w:color w:val="auto"/>
              </w:rPr>
            </w:pPr>
          </w:p>
        </w:tc>
        <w:tc>
          <w:tcPr>
            <w:tcW w:w="380" w:type="dxa"/>
            <w:vAlign w:val="bottom"/>
          </w:tcPr>
          <w:p>
            <w:pPr>
              <w:jc w:val="right"/>
              <w:ind w:right="196"/>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ind w:right="16"/>
              <w:spacing w:after="0"/>
              <w:rPr>
                <w:sz w:val="20"/>
                <w:szCs w:val="20"/>
                <w:color w:val="auto"/>
              </w:rPr>
            </w:pPr>
            <w:r>
              <w:rPr>
                <w:rFonts w:ascii="Arial" w:cs="Arial" w:eastAsia="Arial" w:hAnsi="Arial"/>
                <w:sz w:val="17"/>
                <w:szCs w:val="17"/>
                <w:color w:val="auto"/>
              </w:rPr>
              <w:t>129,886</w:t>
            </w:r>
          </w:p>
        </w:tc>
        <w:tc>
          <w:tcPr>
            <w:tcW w:w="100" w:type="dxa"/>
            <w:vAlign w:val="bottom"/>
          </w:tcPr>
          <w:p>
            <w:pPr>
              <w:spacing w:after="0"/>
              <w:rPr>
                <w:sz w:val="19"/>
                <w:szCs w:val="19"/>
                <w:color w:val="auto"/>
              </w:rPr>
            </w:pPr>
          </w:p>
        </w:tc>
        <w:tc>
          <w:tcPr>
            <w:tcW w:w="360" w:type="dxa"/>
            <w:vAlign w:val="bottom"/>
          </w:tcPr>
          <w:p>
            <w:pPr>
              <w:jc w:val="right"/>
              <w:ind w:right="176"/>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ind w:right="36"/>
              <w:spacing w:after="0"/>
              <w:rPr>
                <w:sz w:val="20"/>
                <w:szCs w:val="20"/>
                <w:color w:val="auto"/>
              </w:rPr>
            </w:pPr>
            <w:r>
              <w:rPr>
                <w:rFonts w:ascii="Arial" w:cs="Arial" w:eastAsia="Arial" w:hAnsi="Arial"/>
                <w:sz w:val="17"/>
                <w:szCs w:val="17"/>
                <w:color w:val="auto"/>
              </w:rPr>
              <w:t>407,272</w:t>
            </w:r>
          </w:p>
        </w:tc>
        <w:tc>
          <w:tcPr>
            <w:tcW w:w="100" w:type="dxa"/>
            <w:vAlign w:val="bottom"/>
          </w:tcPr>
          <w:p>
            <w:pPr>
              <w:spacing w:after="0"/>
              <w:rPr>
                <w:sz w:val="19"/>
                <w:szCs w:val="19"/>
                <w:color w:val="auto"/>
              </w:rPr>
            </w:pPr>
          </w:p>
        </w:tc>
        <w:tc>
          <w:tcPr>
            <w:tcW w:w="420" w:type="dxa"/>
            <w:vAlign w:val="bottom"/>
          </w:tcPr>
          <w:p>
            <w:pPr>
              <w:jc w:val="right"/>
              <w:ind w:right="236"/>
              <w:spacing w:after="0"/>
              <w:rPr>
                <w:sz w:val="20"/>
                <w:szCs w:val="20"/>
                <w:color w:val="auto"/>
              </w:rPr>
            </w:pPr>
            <w:r>
              <w:rPr>
                <w:rFonts w:ascii="Arial" w:cs="Arial" w:eastAsia="Arial" w:hAnsi="Arial"/>
                <w:sz w:val="17"/>
                <w:szCs w:val="17"/>
                <w:color w:val="auto"/>
                <w:w w:val="84"/>
              </w:rPr>
              <w:t>$</w:t>
            </w:r>
          </w:p>
        </w:tc>
        <w:tc>
          <w:tcPr>
            <w:tcW w:w="1420" w:type="dxa"/>
            <w:vAlign w:val="bottom"/>
          </w:tcPr>
          <w:p>
            <w:pPr>
              <w:jc w:val="right"/>
              <w:ind w:right="16"/>
              <w:spacing w:after="0"/>
              <w:rPr>
                <w:sz w:val="20"/>
                <w:szCs w:val="20"/>
                <w:color w:val="auto"/>
              </w:rPr>
            </w:pPr>
            <w:r>
              <w:rPr>
                <w:rFonts w:ascii="Arial" w:cs="Arial" w:eastAsia="Arial" w:hAnsi="Arial"/>
                <w:sz w:val="17"/>
                <w:szCs w:val="17"/>
                <w:color w:val="auto"/>
              </w:rPr>
              <w:t>364,591</w:t>
            </w:r>
          </w:p>
        </w:tc>
      </w:tr>
      <w:tr>
        <w:trPr>
          <w:trHeight w:val="26"/>
        </w:trPr>
        <w:tc>
          <w:tcPr>
            <w:tcW w:w="34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33"/>
        </w:trPr>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United Kingdom</w:t>
            </w:r>
          </w:p>
        </w:tc>
        <w:tc>
          <w:tcPr>
            <w:tcW w:w="10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27,993</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28,262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84,284</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81,550</w:t>
            </w:r>
          </w:p>
        </w:tc>
      </w:tr>
      <w:tr>
        <w:trPr>
          <w:trHeight w:val="227"/>
        </w:trPr>
        <w:tc>
          <w:tcPr>
            <w:tcW w:w="3480" w:type="dxa"/>
            <w:vAlign w:val="bottom"/>
          </w:tcPr>
          <w:p>
            <w:pPr>
              <w:ind w:left="20"/>
              <w:spacing w:after="0"/>
              <w:rPr>
                <w:sz w:val="20"/>
                <w:szCs w:val="20"/>
                <w:color w:val="auto"/>
              </w:rPr>
            </w:pPr>
            <w:r>
              <w:rPr>
                <w:rFonts w:ascii="Arial" w:cs="Arial" w:eastAsia="Arial" w:hAnsi="Arial"/>
                <w:sz w:val="17"/>
                <w:szCs w:val="17"/>
                <w:color w:val="auto"/>
              </w:rPr>
              <w:t>Rest of World</w:t>
            </w:r>
          </w:p>
        </w:tc>
        <w:tc>
          <w:tcPr>
            <w:tcW w:w="1080" w:type="dxa"/>
            <w:vAlign w:val="bottom"/>
          </w:tcPr>
          <w:p>
            <w:pPr>
              <w:spacing w:after="0"/>
              <w:rPr>
                <w:sz w:val="19"/>
                <w:szCs w:val="19"/>
                <w:color w:val="auto"/>
              </w:rPr>
            </w:pPr>
          </w:p>
        </w:tc>
        <w:tc>
          <w:tcPr>
            <w:tcW w:w="700" w:type="dxa"/>
            <w:vAlign w:val="bottom"/>
          </w:tcPr>
          <w:p>
            <w:pPr>
              <w:jc w:val="right"/>
              <w:ind w:right="36"/>
              <w:spacing w:after="0"/>
              <w:rPr>
                <w:sz w:val="20"/>
                <w:szCs w:val="20"/>
                <w:color w:val="auto"/>
              </w:rPr>
            </w:pPr>
            <w:r>
              <w:rPr>
                <w:rFonts w:ascii="Arial" w:cs="Arial" w:eastAsia="Arial" w:hAnsi="Arial"/>
                <w:sz w:val="17"/>
                <w:szCs w:val="17"/>
                <w:color w:val="auto"/>
              </w:rPr>
              <w:t>6,160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ind w:right="16"/>
              <w:spacing w:after="0"/>
              <w:rPr>
                <w:sz w:val="20"/>
                <w:szCs w:val="20"/>
                <w:color w:val="auto"/>
              </w:rPr>
            </w:pPr>
            <w:r>
              <w:rPr>
                <w:rFonts w:ascii="Arial" w:cs="Arial" w:eastAsia="Arial" w:hAnsi="Arial"/>
                <w:sz w:val="17"/>
                <w:szCs w:val="17"/>
                <w:color w:val="auto"/>
              </w:rPr>
              <w:t>5,355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tcPr>
          <w:p>
            <w:pPr>
              <w:jc w:val="right"/>
              <w:ind w:right="36"/>
              <w:spacing w:after="0"/>
              <w:rPr>
                <w:sz w:val="20"/>
                <w:szCs w:val="20"/>
                <w:color w:val="auto"/>
              </w:rPr>
            </w:pPr>
            <w:r>
              <w:rPr>
                <w:rFonts w:ascii="Arial" w:cs="Arial" w:eastAsia="Arial" w:hAnsi="Arial"/>
                <w:sz w:val="17"/>
                <w:szCs w:val="17"/>
                <w:color w:val="auto"/>
              </w:rPr>
              <w:t>17,158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ind w:right="16"/>
              <w:spacing w:after="0"/>
              <w:rPr>
                <w:sz w:val="20"/>
                <w:szCs w:val="20"/>
                <w:color w:val="auto"/>
              </w:rPr>
            </w:pPr>
            <w:r>
              <w:rPr>
                <w:rFonts w:ascii="Arial" w:cs="Arial" w:eastAsia="Arial" w:hAnsi="Arial"/>
                <w:sz w:val="17"/>
                <w:szCs w:val="17"/>
                <w:color w:val="auto"/>
              </w:rPr>
              <w:t>16,493</w:t>
            </w:r>
          </w:p>
        </w:tc>
      </w:tr>
      <w:tr>
        <w:trPr>
          <w:trHeight w:val="26"/>
        </w:trPr>
        <w:tc>
          <w:tcPr>
            <w:tcW w:w="34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0"/>
        </w:trPr>
        <w:tc>
          <w:tcPr>
            <w:tcW w:w="3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w w:val="91"/>
              </w:rPr>
              <w:t>171,200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163,503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508,714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6"/>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462,634</w:t>
            </w: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tbl>
      <w:tblPr>
        <w:tblLayout w:type="fixed"/>
        <w:tblInd w:w="440" w:type="dxa"/>
        <w:tblCellMar>
          <w:top w:w="0" w:type="dxa"/>
          <w:left w:w="0" w:type="dxa"/>
          <w:bottom w:w="0" w:type="dxa"/>
          <w:right w:w="0" w:type="dxa"/>
        </w:tblCellMar>
      </w:tblPr>
      <w:tr>
        <w:trPr>
          <w:trHeight w:val="218"/>
        </w:trPr>
        <w:tc>
          <w:tcPr>
            <w:tcW w:w="6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80" w:type="dxa"/>
            <w:vAlign w:val="bottom"/>
            <w:gridSpan w:val="2"/>
          </w:tcPr>
          <w:p>
            <w:pPr>
              <w:ind w:left="120"/>
              <w:spacing w:after="0"/>
              <w:rPr>
                <w:sz w:val="20"/>
                <w:szCs w:val="20"/>
                <w:color w:val="auto"/>
              </w:rPr>
            </w:pPr>
            <w:r>
              <w:rPr>
                <w:rFonts w:ascii="Arial" w:cs="Arial" w:eastAsia="Arial" w:hAnsi="Arial"/>
                <w:sz w:val="17"/>
                <w:szCs w:val="17"/>
                <w:b w:val="1"/>
                <w:bCs w:val="1"/>
                <w:color w:val="auto"/>
              </w:rPr>
              <w:t>September 30, 2016</w:t>
            </w:r>
          </w:p>
        </w:tc>
        <w:tc>
          <w:tcPr>
            <w:tcW w:w="220" w:type="dxa"/>
            <w:vAlign w:val="bottom"/>
          </w:tcPr>
          <w:p>
            <w:pPr>
              <w:spacing w:after="0"/>
              <w:rPr>
                <w:sz w:val="18"/>
                <w:szCs w:val="18"/>
                <w:color w:val="auto"/>
              </w:rPr>
            </w:pPr>
          </w:p>
        </w:tc>
        <w:tc>
          <w:tcPr>
            <w:tcW w:w="1780" w:type="dxa"/>
            <w:vAlign w:val="bottom"/>
          </w:tcPr>
          <w:p>
            <w:pPr>
              <w:jc w:val="right"/>
              <w:ind w:right="236"/>
              <w:spacing w:after="0"/>
              <w:rPr>
                <w:sz w:val="20"/>
                <w:szCs w:val="20"/>
                <w:color w:val="auto"/>
              </w:rPr>
            </w:pPr>
            <w:r>
              <w:rPr>
                <w:rFonts w:ascii="Arial" w:cs="Arial" w:eastAsia="Arial" w:hAnsi="Arial"/>
                <w:sz w:val="17"/>
                <w:szCs w:val="17"/>
                <w:b w:val="1"/>
                <w:bCs w:val="1"/>
                <w:color w:val="auto"/>
                <w:w w:val="94"/>
              </w:rPr>
              <w:t>December 31, 2015</w:t>
            </w:r>
          </w:p>
        </w:tc>
      </w:tr>
      <w:tr>
        <w:trPr>
          <w:trHeight w:val="26"/>
        </w:trPr>
        <w:tc>
          <w:tcPr>
            <w:tcW w:w="6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25"/>
        </w:trPr>
        <w:tc>
          <w:tcPr>
            <w:tcW w:w="6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Fixed assets, net</w:t>
            </w:r>
          </w:p>
        </w:tc>
        <w:tc>
          <w:tcPr>
            <w:tcW w:w="240" w:type="dxa"/>
            <w:vAlign w:val="bottom"/>
            <w:tcBorders>
              <w:bottom w:val="single" w:sz="8" w:color="CCEEFF"/>
            </w:tcBorders>
            <w:shd w:val="clear" w:color="auto" w:fill="CCEEFF"/>
          </w:tcPr>
          <w:p>
            <w:pPr>
              <w:spacing w:after="0"/>
              <w:rPr>
                <w:sz w:val="19"/>
                <w:szCs w:val="19"/>
                <w:color w:val="auto"/>
              </w:rPr>
            </w:pPr>
          </w:p>
        </w:tc>
        <w:tc>
          <w:tcPr>
            <w:tcW w:w="1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780" w:type="dxa"/>
            <w:vAlign w:val="bottom"/>
            <w:tcBorders>
              <w:bottom w:val="single" w:sz="8" w:color="CCEEFF"/>
            </w:tcBorders>
            <w:shd w:val="clear" w:color="auto" w:fill="CCEEFF"/>
          </w:tcPr>
          <w:p>
            <w:pPr>
              <w:spacing w:after="0"/>
              <w:rPr>
                <w:sz w:val="19"/>
                <w:szCs w:val="19"/>
                <w:color w:val="auto"/>
              </w:rPr>
            </w:pPr>
          </w:p>
        </w:tc>
      </w:tr>
      <w:tr>
        <w:trPr>
          <w:trHeight w:val="227"/>
        </w:trPr>
        <w:tc>
          <w:tcPr>
            <w:tcW w:w="6340" w:type="dxa"/>
            <w:vAlign w:val="bottom"/>
          </w:tcPr>
          <w:p>
            <w:pPr>
              <w:spacing w:after="0"/>
              <w:rPr>
                <w:sz w:val="20"/>
                <w:szCs w:val="20"/>
                <w:color w:val="auto"/>
              </w:rPr>
            </w:pPr>
            <w:r>
              <w:rPr>
                <w:rFonts w:ascii="Arial" w:cs="Arial" w:eastAsia="Arial" w:hAnsi="Arial"/>
                <w:sz w:val="17"/>
                <w:szCs w:val="17"/>
                <w:color w:val="auto"/>
              </w:rPr>
              <w:t>India</w:t>
            </w:r>
          </w:p>
        </w:tc>
        <w:tc>
          <w:tcPr>
            <w:tcW w:w="24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880" w:type="dxa"/>
            <w:vAlign w:val="bottom"/>
          </w:tcPr>
          <w:p>
            <w:pPr>
              <w:jc w:val="right"/>
              <w:ind w:right="16"/>
              <w:spacing w:after="0"/>
              <w:rPr>
                <w:sz w:val="20"/>
                <w:szCs w:val="20"/>
                <w:color w:val="auto"/>
              </w:rPr>
            </w:pPr>
            <w:r>
              <w:rPr>
                <w:rFonts w:ascii="Arial" w:cs="Arial" w:eastAsia="Arial" w:hAnsi="Arial"/>
                <w:sz w:val="17"/>
                <w:szCs w:val="17"/>
                <w:color w:val="auto"/>
              </w:rPr>
              <w:t>24,089</w:t>
            </w:r>
          </w:p>
        </w:tc>
        <w:tc>
          <w:tcPr>
            <w:tcW w:w="100" w:type="dxa"/>
            <w:vAlign w:val="bottom"/>
          </w:tcPr>
          <w:p>
            <w:pPr>
              <w:spacing w:after="0"/>
              <w:rPr>
                <w:sz w:val="19"/>
                <w:szCs w:val="19"/>
                <w:color w:val="auto"/>
              </w:rPr>
            </w:pPr>
          </w:p>
        </w:tc>
        <w:tc>
          <w:tcPr>
            <w:tcW w:w="220" w:type="dxa"/>
            <w:vAlign w:val="bottom"/>
          </w:tcPr>
          <w:p>
            <w:pPr>
              <w:jc w:val="right"/>
              <w:ind w:right="36"/>
              <w:spacing w:after="0"/>
              <w:rPr>
                <w:sz w:val="20"/>
                <w:szCs w:val="20"/>
                <w:color w:val="auto"/>
              </w:rPr>
            </w:pPr>
            <w:r>
              <w:rPr>
                <w:rFonts w:ascii="Arial" w:cs="Arial" w:eastAsia="Arial" w:hAnsi="Arial"/>
                <w:sz w:val="17"/>
                <w:szCs w:val="17"/>
                <w:color w:val="auto"/>
                <w:w w:val="84"/>
              </w:rPr>
              <w:t>$</w:t>
            </w:r>
          </w:p>
        </w:tc>
        <w:tc>
          <w:tcPr>
            <w:tcW w:w="1780" w:type="dxa"/>
            <w:vAlign w:val="bottom"/>
          </w:tcPr>
          <w:p>
            <w:pPr>
              <w:jc w:val="right"/>
              <w:ind w:right="16"/>
              <w:spacing w:after="0"/>
              <w:rPr>
                <w:sz w:val="20"/>
                <w:szCs w:val="20"/>
                <w:color w:val="auto"/>
              </w:rPr>
            </w:pPr>
            <w:r>
              <w:rPr>
                <w:rFonts w:ascii="Arial" w:cs="Arial" w:eastAsia="Arial" w:hAnsi="Arial"/>
                <w:sz w:val="17"/>
                <w:szCs w:val="17"/>
                <w:color w:val="auto"/>
              </w:rPr>
              <w:t>23,415</w:t>
            </w:r>
          </w:p>
        </w:tc>
      </w:tr>
      <w:tr>
        <w:trPr>
          <w:trHeight w:val="26"/>
        </w:trPr>
        <w:tc>
          <w:tcPr>
            <w:tcW w:w="6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33"/>
        </w:trPr>
        <w:tc>
          <w:tcPr>
            <w:tcW w:w="6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United States</w:t>
            </w:r>
          </w:p>
        </w:tc>
        <w:tc>
          <w:tcPr>
            <w:tcW w:w="24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10,917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10,680</w:t>
            </w:r>
          </w:p>
        </w:tc>
      </w:tr>
      <w:tr>
        <w:trPr>
          <w:trHeight w:val="227"/>
        </w:trPr>
        <w:tc>
          <w:tcPr>
            <w:tcW w:w="6340" w:type="dxa"/>
            <w:vAlign w:val="bottom"/>
          </w:tcPr>
          <w:p>
            <w:pPr>
              <w:spacing w:after="0"/>
              <w:rPr>
                <w:sz w:val="20"/>
                <w:szCs w:val="20"/>
                <w:color w:val="auto"/>
              </w:rPr>
            </w:pPr>
            <w:r>
              <w:rPr>
                <w:rFonts w:ascii="Arial" w:cs="Arial" w:eastAsia="Arial" w:hAnsi="Arial"/>
                <w:sz w:val="17"/>
                <w:szCs w:val="17"/>
                <w:color w:val="auto"/>
              </w:rPr>
              <w:t>Philippines</w:t>
            </w:r>
          </w:p>
        </w:tc>
        <w:tc>
          <w:tcPr>
            <w:tcW w:w="240" w:type="dxa"/>
            <w:vAlign w:val="bottom"/>
          </w:tcPr>
          <w:p>
            <w:pPr>
              <w:spacing w:after="0"/>
              <w:rPr>
                <w:sz w:val="19"/>
                <w:szCs w:val="19"/>
                <w:color w:val="auto"/>
              </w:rPr>
            </w:pPr>
          </w:p>
        </w:tc>
        <w:tc>
          <w:tcPr>
            <w:tcW w:w="1880" w:type="dxa"/>
            <w:vAlign w:val="bottom"/>
          </w:tcPr>
          <w:p>
            <w:pPr>
              <w:jc w:val="right"/>
              <w:ind w:right="16"/>
              <w:spacing w:after="0"/>
              <w:rPr>
                <w:sz w:val="20"/>
                <w:szCs w:val="20"/>
                <w:color w:val="auto"/>
              </w:rPr>
            </w:pPr>
            <w:r>
              <w:rPr>
                <w:rFonts w:ascii="Arial" w:cs="Arial" w:eastAsia="Arial" w:hAnsi="Arial"/>
                <w:sz w:val="17"/>
                <w:szCs w:val="17"/>
                <w:color w:val="auto"/>
              </w:rPr>
              <w:t>10,811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jc w:val="right"/>
              <w:ind w:right="16"/>
              <w:spacing w:after="0"/>
              <w:rPr>
                <w:sz w:val="20"/>
                <w:szCs w:val="20"/>
                <w:color w:val="auto"/>
              </w:rPr>
            </w:pPr>
            <w:r>
              <w:rPr>
                <w:rFonts w:ascii="Arial" w:cs="Arial" w:eastAsia="Arial" w:hAnsi="Arial"/>
                <w:sz w:val="17"/>
                <w:szCs w:val="17"/>
                <w:color w:val="auto"/>
              </w:rPr>
              <w:t>11,285</w:t>
            </w:r>
          </w:p>
        </w:tc>
      </w:tr>
      <w:tr>
        <w:trPr>
          <w:trHeight w:val="26"/>
        </w:trPr>
        <w:tc>
          <w:tcPr>
            <w:tcW w:w="6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3"/>
        </w:trPr>
        <w:tc>
          <w:tcPr>
            <w:tcW w:w="6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Rest of World</w:t>
            </w:r>
          </w:p>
        </w:tc>
        <w:tc>
          <w:tcPr>
            <w:tcW w:w="24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3,189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2,611</w:t>
            </w:r>
          </w:p>
        </w:tc>
      </w:tr>
      <w:tr>
        <w:trPr>
          <w:trHeight w:val="220"/>
        </w:trPr>
        <w:tc>
          <w:tcPr>
            <w:tcW w:w="6340" w:type="dxa"/>
            <w:vAlign w:val="bottom"/>
          </w:tcPr>
          <w:p>
            <w:pPr>
              <w:spacing w:after="0"/>
              <w:rPr>
                <w:sz w:val="19"/>
                <w:szCs w:val="19"/>
                <w:color w:val="auto"/>
              </w:rPr>
            </w:pPr>
          </w:p>
        </w:tc>
        <w:tc>
          <w:tcPr>
            <w:tcW w:w="24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color w:val="auto"/>
              </w:rPr>
              <w:t>$</w:t>
            </w:r>
          </w:p>
        </w:tc>
        <w:tc>
          <w:tcPr>
            <w:tcW w:w="188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49,006</w:t>
            </w:r>
          </w:p>
        </w:tc>
        <w:tc>
          <w:tcPr>
            <w:tcW w:w="100" w:type="dxa"/>
            <w:vAlign w:val="bottom"/>
          </w:tcPr>
          <w:p>
            <w:pPr>
              <w:spacing w:after="0"/>
              <w:rPr>
                <w:sz w:val="19"/>
                <w:szCs w:val="19"/>
                <w:color w:val="auto"/>
              </w:rPr>
            </w:pPr>
          </w:p>
        </w:tc>
        <w:tc>
          <w:tcPr>
            <w:tcW w:w="22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color w:val="auto"/>
                <w:w w:val="84"/>
              </w:rPr>
              <w:t>$</w:t>
            </w:r>
          </w:p>
        </w:tc>
        <w:tc>
          <w:tcPr>
            <w:tcW w:w="178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47,991</w:t>
            </w:r>
          </w:p>
        </w:tc>
      </w:tr>
      <w:tr>
        <w:trPr>
          <w:trHeight w:val="26"/>
        </w:trPr>
        <w:tc>
          <w:tcPr>
            <w:tcW w:w="6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0"/>
        </w:trPr>
        <w:tc>
          <w:tcPr>
            <w:tcW w:w="6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16. Commitments and Contingencies</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Fixed Asset Commitments</w:t>
      </w:r>
    </w:p>
    <w:p>
      <w:pPr>
        <w:spacing w:after="0" w:line="108" w:lineRule="exact"/>
        <w:rPr>
          <w:sz w:val="20"/>
          <w:szCs w:val="20"/>
          <w:color w:val="auto"/>
        </w:rPr>
      </w:pPr>
    </w:p>
    <w:p>
      <w:pPr>
        <w:jc w:val="both"/>
        <w:ind w:right="420" w:firstLine="404"/>
        <w:spacing w:after="0" w:line="271" w:lineRule="auto"/>
        <w:rPr>
          <w:sz w:val="20"/>
          <w:szCs w:val="20"/>
          <w:color w:val="auto"/>
        </w:rPr>
      </w:pPr>
      <w:r>
        <w:rPr>
          <w:rFonts w:ascii="Arial" w:cs="Arial" w:eastAsia="Arial" w:hAnsi="Arial"/>
          <w:sz w:val="17"/>
          <w:szCs w:val="17"/>
          <w:color w:val="auto"/>
        </w:rPr>
        <w:t>At September 30, 2016, the Company has committed to spend approximately $6,400 under agreements to purchase fixed assets. This amount is net of capital advances paid in respect of these purchases.</w:t>
      </w: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Commitments</w:t>
      </w:r>
    </w:p>
    <w:p>
      <w:pPr>
        <w:spacing w:after="0" w:line="108" w:lineRule="exact"/>
        <w:rPr>
          <w:sz w:val="20"/>
          <w:szCs w:val="20"/>
          <w:color w:val="auto"/>
        </w:rPr>
      </w:pPr>
    </w:p>
    <w:p>
      <w:pPr>
        <w:jc w:val="both"/>
        <w:ind w:firstLine="404"/>
        <w:spacing w:after="0" w:line="255" w:lineRule="auto"/>
        <w:rPr>
          <w:sz w:val="20"/>
          <w:szCs w:val="20"/>
          <w:color w:val="auto"/>
        </w:rPr>
      </w:pPr>
      <w:r>
        <w:rPr>
          <w:rFonts w:ascii="Arial" w:cs="Arial" w:eastAsia="Arial" w:hAnsi="Arial"/>
          <w:sz w:val="17"/>
          <w:szCs w:val="17"/>
          <w:color w:val="auto"/>
        </w:rPr>
        <w:t>Certain units of the Company’s Indian subsidiaries were established as 100% Export-Oriented units or under the Software Technology Parks of India (“STPI”) scheme promulgated by the Government of India. These units are exempt from customs, central excise duties, and levies on imported and indigenous capital goods, stores, and spares. The Company has undertaken to pay custom duties, service taxes, levies, and liquidated damages payable, if any, in respect of imported and indigenous capital</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1420"/>
          </w:cols>
          <w:pgMar w:left="240" w:top="123" w:right="239" w:bottom="1440" w:gutter="0" w:footer="0" w:header="0"/>
        </w:sectPr>
      </w:pPr>
    </w:p>
    <w:bookmarkStart w:id="25" w:name="page26"/>
    <w:bookmarkEnd w:id="25"/>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23" w:lineRule="exact"/>
        <w:rPr>
          <w:sz w:val="20"/>
          <w:szCs w:val="20"/>
          <w:color w:val="auto"/>
        </w:rPr>
      </w:pPr>
    </w:p>
    <w:p>
      <w:pPr>
        <w:ind w:left="4480"/>
        <w:spacing w:after="0"/>
        <w:rPr>
          <w:sz w:val="20"/>
          <w:szCs w:val="20"/>
          <w:color w:val="auto"/>
        </w:rPr>
      </w:pPr>
      <w:r>
        <w:rPr>
          <w:rFonts w:ascii="Arial" w:cs="Arial" w:eastAsia="Arial" w:hAnsi="Arial"/>
          <w:sz w:val="17"/>
          <w:szCs w:val="17"/>
          <w:b w:val="1"/>
          <w:bCs w:val="1"/>
          <w:color w:val="auto"/>
        </w:rPr>
        <w:t>EXLSERVICE HOLDINGS, INC.</w:t>
      </w:r>
    </w:p>
    <w:p>
      <w:pPr>
        <w:spacing w:after="0" w:line="92" w:lineRule="exact"/>
        <w:rPr>
          <w:sz w:val="20"/>
          <w:szCs w:val="20"/>
          <w:color w:val="auto"/>
        </w:rPr>
      </w:pPr>
    </w:p>
    <w:p>
      <w:pPr>
        <w:ind w:left="2480"/>
        <w:spacing w:after="0"/>
        <w:rPr>
          <w:sz w:val="20"/>
          <w:szCs w:val="20"/>
          <w:color w:val="auto"/>
        </w:rPr>
      </w:pPr>
      <w:r>
        <w:rPr>
          <w:rFonts w:ascii="Arial" w:cs="Arial" w:eastAsia="Arial" w:hAnsi="Arial"/>
          <w:sz w:val="17"/>
          <w:szCs w:val="17"/>
          <w:b w:val="1"/>
          <w:bCs w:val="1"/>
          <w:color w:val="auto"/>
        </w:rPr>
        <w:t>NOTES TO UNAUDITED CONSOLIDATED FINANCIAL STATEMENTS—(continued)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September 30, 2016</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00" w:lineRule="exact"/>
        <w:rPr>
          <w:sz w:val="20"/>
          <w:szCs w:val="20"/>
          <w:color w:val="auto"/>
        </w:rPr>
      </w:pPr>
    </w:p>
    <w:p>
      <w:pPr>
        <w:spacing w:after="0" w:line="32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goods, stores and spares consumed duty free, in the event that certain terms and conditions are not fulfilled. The Company’s management believes, however, that these units have in the past satisfied and will continue to satisfy the required conditions.</w:t>
      </w:r>
    </w:p>
    <w:p>
      <w:pPr>
        <w:spacing w:after="0" w:line="165" w:lineRule="exact"/>
        <w:rPr>
          <w:sz w:val="20"/>
          <w:szCs w:val="20"/>
          <w:color w:val="auto"/>
        </w:rPr>
      </w:pPr>
    </w:p>
    <w:p>
      <w:pPr>
        <w:jc w:val="both"/>
        <w:ind w:firstLine="404"/>
        <w:spacing w:after="0" w:line="283" w:lineRule="auto"/>
        <w:rPr>
          <w:sz w:val="20"/>
          <w:szCs w:val="20"/>
          <w:color w:val="auto"/>
        </w:rPr>
      </w:pPr>
      <w:r>
        <w:rPr>
          <w:rFonts w:ascii="Arial" w:cs="Arial" w:eastAsia="Arial" w:hAnsi="Arial"/>
          <w:sz w:val="16"/>
          <w:szCs w:val="16"/>
          <w:color w:val="auto"/>
        </w:rPr>
        <w:t>The Company’s operations centers in the Philippines are registered with the Philippine Economic Zone Authority (“PEZA”). The registration provides the Company with certain fiscal incentives on the import of capital goods and requires ExlService Philippines, Inc. to meet certain performance and investment criteria. The Company’s management believes that these centers have in the past satisfied and will continue to satisfy the required criteria.</w:t>
      </w: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Contingencies</w:t>
      </w:r>
    </w:p>
    <w:p>
      <w:pPr>
        <w:spacing w:after="0" w:line="108" w:lineRule="exact"/>
        <w:rPr>
          <w:sz w:val="20"/>
          <w:szCs w:val="20"/>
          <w:color w:val="auto"/>
        </w:rPr>
      </w:pPr>
    </w:p>
    <w:p>
      <w:pPr>
        <w:jc w:val="both"/>
        <w:ind w:firstLine="404"/>
        <w:spacing w:after="0" w:line="292" w:lineRule="auto"/>
        <w:rPr>
          <w:sz w:val="20"/>
          <w:szCs w:val="20"/>
          <w:color w:val="auto"/>
        </w:rPr>
      </w:pPr>
      <w:r>
        <w:rPr>
          <w:rFonts w:ascii="Arial" w:cs="Arial" w:eastAsia="Arial" w:hAnsi="Arial"/>
          <w:sz w:val="15"/>
          <w:szCs w:val="15"/>
          <w:color w:val="auto"/>
        </w:rPr>
        <w:t>U.S. and Indian transfer pricing regulations require that any international transaction involving associated enterprises be at an arm’s-length price. Accordingly, the Company determines the appropriate pricing for the international transactions among its associated enterprises on the basis of a detailed functional and economic analysis involving benchmarking against transactions among entities that are not under common control. The tax authorities have jurisdiction to review this arrangement and in the event that they determine that the transfer price applied was not appropriate, the Company may incur increased tax liability, including accrued interest and penalties. The Company is currently involved in disputes with the Indian tax authorities over the application of some of its transfer pricing policies for some of its subsidiaries. Further, the Company and a U.S. subsidiary are engaged in tax litigation with the income-tax authorities in India on the issue of permanent establishment.</w:t>
      </w:r>
    </w:p>
    <w:p>
      <w:pPr>
        <w:spacing w:after="0" w:line="156" w:lineRule="exact"/>
        <w:rPr>
          <w:sz w:val="20"/>
          <w:szCs w:val="20"/>
          <w:color w:val="auto"/>
        </w:rPr>
      </w:pPr>
    </w:p>
    <w:p>
      <w:pPr>
        <w:jc w:val="both"/>
        <w:ind w:firstLine="404"/>
        <w:spacing w:after="0" w:line="292" w:lineRule="auto"/>
        <w:rPr>
          <w:sz w:val="20"/>
          <w:szCs w:val="20"/>
          <w:color w:val="auto"/>
        </w:rPr>
      </w:pPr>
      <w:r>
        <w:rPr>
          <w:rFonts w:ascii="Arial" w:cs="Arial" w:eastAsia="Arial" w:hAnsi="Arial"/>
          <w:sz w:val="15"/>
          <w:szCs w:val="15"/>
          <w:color w:val="auto"/>
        </w:rPr>
        <w:t>The aggregate disputed amount demanded by Indian tax authorities from the Company related to its transfer pricing issues for years ranging from tax years 2003 to 2013 and its permanent establishment issues ranging from tax years 2003 to 2007 as of September 30, 2016 and December 31, 2015 is $20,540 and $21,360, respectively, of which the Company has made payments or provided a bank guarantee to the extent of $14,563 and $14,668, respectively. Amounts paid as deposits in respect of such assessments aggregating to $12,574 and $12,665 as of September 30, 2016 and December 31, 2015, respectively, are included in “Other assets” and amounts deposited for bank guarantees aggregating to $1,989 and $2,003 as of September 30, 2016 and December 31, 2015, respectively, are included in “Restricted cash” in the non-current assets section of the Company’s consolidated balance sheets as of September 30, 2016 and December 31, 2015.</w:t>
      </w:r>
    </w:p>
    <w:p>
      <w:pPr>
        <w:spacing w:after="0" w:line="156" w:lineRule="exact"/>
        <w:rPr>
          <w:sz w:val="20"/>
          <w:szCs w:val="20"/>
          <w:color w:val="auto"/>
        </w:rPr>
      </w:pPr>
    </w:p>
    <w:p>
      <w:pPr>
        <w:jc w:val="both"/>
        <w:ind w:firstLine="404"/>
        <w:spacing w:after="0" w:line="254" w:lineRule="auto"/>
        <w:rPr>
          <w:sz w:val="20"/>
          <w:szCs w:val="20"/>
          <w:color w:val="auto"/>
        </w:rPr>
      </w:pPr>
      <w:r>
        <w:rPr>
          <w:rFonts w:ascii="Arial" w:cs="Arial" w:eastAsia="Arial" w:hAnsi="Arial"/>
          <w:sz w:val="17"/>
          <w:szCs w:val="17"/>
          <w:color w:val="auto"/>
        </w:rPr>
        <w:t>Based on advice from its Indian tax advisors, the facts underlying the Company’s position and its experience with these types of assessments, the Company believes that the probability that it will ultimately be found liable for these assessments is remote and accordingly has not accrued any amount with respect to these matters in its consolidated financial statements. The Company does not expect any impact from these assessments on its future income tax expense. It is possible that the Company might receive similar orders or assessments from tax authorities for subsequent years. Accordingly even if these disputes are resolved, the Indian tax authorities may still serve additional orders or assessments.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17. Subsequent Event</w:t>
      </w:r>
    </w:p>
    <w:p>
      <w:pPr>
        <w:spacing w:after="0" w:line="213" w:lineRule="exact"/>
        <w:rPr>
          <w:sz w:val="20"/>
          <w:szCs w:val="20"/>
          <w:color w:val="auto"/>
        </w:rPr>
      </w:pPr>
    </w:p>
    <w:p>
      <w:pPr>
        <w:jc w:val="both"/>
        <w:ind w:firstLine="404"/>
        <w:spacing w:after="0" w:line="286" w:lineRule="auto"/>
        <w:rPr>
          <w:sz w:val="20"/>
          <w:szCs w:val="20"/>
          <w:color w:val="auto"/>
        </w:rPr>
      </w:pPr>
      <w:r>
        <w:rPr>
          <w:rFonts w:ascii="Arial" w:cs="Arial" w:eastAsia="Arial" w:hAnsi="Arial"/>
          <w:sz w:val="15"/>
          <w:szCs w:val="15"/>
          <w:color w:val="auto"/>
        </w:rPr>
        <w:t>On October 21, 2016, Exl LLC purchased Datasource Consulting, LLC ("Datasource"), a Colorado limited liability company for $18,800, subject to a working capital adjustment. The Company also issued restricted stock at a fair value of $4,700 to certain key employees of Datasource, each of whom accepted new employment terms as part of the consummation of the combination. Datasource is a provider of enterprise data management and business intelligence solutions.</w:t>
      </w:r>
    </w:p>
    <w:p>
      <w:pPr>
        <w:spacing w:after="0" w:line="2" w:lineRule="exact"/>
        <w:rPr>
          <w:sz w:val="20"/>
          <w:szCs w:val="20"/>
          <w:color w:val="auto"/>
        </w:rPr>
      </w:pPr>
    </w:p>
    <w:p>
      <w:pPr>
        <w:ind w:left="400"/>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1420"/>
          </w:cols>
          <w:pgMar w:left="240" w:top="123" w:right="239" w:bottom="1440" w:gutter="0" w:footer="0" w:header="0"/>
        </w:sectPr>
      </w:pPr>
    </w:p>
    <w:bookmarkStart w:id="26" w:name="page27"/>
    <w:bookmarkEnd w:id="26"/>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234"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112" w:lineRule="exact"/>
        <w:rPr>
          <w:sz w:val="20"/>
          <w:szCs w:val="20"/>
          <w:color w:val="auto"/>
        </w:rPr>
      </w:pPr>
    </w:p>
    <w:p>
      <w:pPr>
        <w:ind w:right="20" w:firstLine="404"/>
        <w:spacing w:after="0" w:line="255" w:lineRule="auto"/>
        <w:rPr>
          <w:sz w:val="20"/>
          <w:szCs w:val="20"/>
          <w:color w:val="auto"/>
        </w:rPr>
      </w:pPr>
      <w:r>
        <w:rPr>
          <w:rFonts w:ascii="Arial" w:cs="Arial" w:eastAsia="Arial" w:hAnsi="Arial"/>
          <w:sz w:val="17"/>
          <w:szCs w:val="17"/>
          <w:i w:val="1"/>
          <w:iCs w:val="1"/>
          <w:color w:val="auto"/>
        </w:rPr>
        <w:t>You should read the following discussion in connection with our unaudited consolidated financial statements and the related notes included elsewhere in this Quarterly Report on Form 10-Q and our audited consolidated financial statements and the related notes included in our Annual Report on Form 10-K for the fiscal year ended December 31, 2015. Some of the statements in the following discussion are forward looking statements. See “Forward Looking Statements.” Dollar amounts within Item 2 are presented as actual, approximated, dollar amounts.</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Cautionary Note Regarding Forward Looking Statements</w:t>
      </w:r>
    </w:p>
    <w:p>
      <w:pPr>
        <w:spacing w:after="0" w:line="112" w:lineRule="exact"/>
        <w:rPr>
          <w:sz w:val="20"/>
          <w:szCs w:val="20"/>
          <w:color w:val="auto"/>
        </w:rPr>
      </w:pPr>
    </w:p>
    <w:p>
      <w:pPr>
        <w:jc w:val="both"/>
        <w:ind w:firstLine="404"/>
        <w:spacing w:after="0" w:line="289" w:lineRule="auto"/>
        <w:rPr>
          <w:sz w:val="20"/>
          <w:szCs w:val="20"/>
          <w:color w:val="auto"/>
        </w:rPr>
      </w:pPr>
      <w:r>
        <w:rPr>
          <w:rFonts w:ascii="Arial" w:cs="Arial" w:eastAsia="Arial" w:hAnsi="Arial"/>
          <w:sz w:val="15"/>
          <w:szCs w:val="15"/>
          <w:color w:val="auto"/>
        </w:rPr>
        <w:t>This Quarterly Report on Form 10-Q contains forward looking statements. You should not place undue reliance on these statements because they are subject to numerous uncertainties and factors relating to our operations and business environment, all of which are difficult to predict and many of which are beyond our control. These statements often include words such as “may,” “will,” “should,” “believe,” “expect,” “anticipate,” “intend,” “plan,” “estimate” or similar expressions. These statements are based on assumptions that we have made in light of our experience in the industry as well as our perceptions of historical trends, current conditions, expected future developments and other factors we believe are appropriate under the circumstances. As you read and consider this Quarterly Report on Form 10-Q, you should understand that these statements are not guarantees of performance or results. They involve known and unknown risks, uncertainties and assumptions. Although we believe that these forward looking statements are based on reasonable assumptions, you should be aware that many factors could affect our actual financial results or results of operations and could cause actual results to differ materially from those in the forward looking statements. These factors include but are not limited to:</w:t>
      </w:r>
    </w:p>
    <w:p>
      <w:pPr>
        <w:spacing w:after="0" w:line="83" w:lineRule="exact"/>
        <w:rPr>
          <w:sz w:val="20"/>
          <w:szCs w:val="20"/>
          <w:color w:val="auto"/>
        </w:rPr>
      </w:pPr>
    </w:p>
    <w:p>
      <w:pPr>
        <w:ind w:left="660" w:hanging="356"/>
        <w:spacing w:after="0"/>
        <w:tabs>
          <w:tab w:leader="none" w:pos="660" w:val="left"/>
        </w:tabs>
        <w:numPr>
          <w:ilvl w:val="1"/>
          <w:numId w:val="11"/>
        </w:numPr>
        <w:rPr>
          <w:rFonts w:ascii="Arial" w:cs="Arial" w:eastAsia="Arial" w:hAnsi="Arial"/>
          <w:sz w:val="17"/>
          <w:szCs w:val="17"/>
          <w:color w:val="auto"/>
        </w:rPr>
      </w:pPr>
      <w:r>
        <w:rPr>
          <w:rFonts w:ascii="Arial" w:cs="Arial" w:eastAsia="Arial" w:hAnsi="Arial"/>
          <w:sz w:val="17"/>
          <w:szCs w:val="17"/>
          <w:color w:val="auto"/>
        </w:rPr>
        <w:t>our dependence on a limited number of clients in a limited number of industries;</w:t>
      </w:r>
    </w:p>
    <w:p>
      <w:pPr>
        <w:spacing w:after="0" w:line="69" w:lineRule="exact"/>
        <w:rPr>
          <w:rFonts w:ascii="Arial" w:cs="Arial" w:eastAsia="Arial" w:hAnsi="Arial"/>
          <w:sz w:val="17"/>
          <w:szCs w:val="17"/>
          <w:color w:val="auto"/>
        </w:rPr>
      </w:pPr>
    </w:p>
    <w:p>
      <w:pPr>
        <w:ind w:left="600" w:hanging="308"/>
        <w:spacing w:after="0"/>
        <w:tabs>
          <w:tab w:leader="none" w:pos="6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worldwide political, economic or business conditions;</w:t>
      </w:r>
    </w:p>
    <w:p>
      <w:pPr>
        <w:spacing w:after="0" w:line="57" w:lineRule="exact"/>
        <w:rPr>
          <w:rFonts w:ascii="Arial" w:cs="Arial" w:eastAsia="Arial" w:hAnsi="Arial"/>
          <w:sz w:val="17"/>
          <w:szCs w:val="17"/>
          <w:color w:val="auto"/>
        </w:rPr>
      </w:pPr>
    </w:p>
    <w:p>
      <w:pPr>
        <w:ind w:left="600" w:hanging="308"/>
        <w:spacing w:after="0"/>
        <w:tabs>
          <w:tab w:leader="none" w:pos="6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negative public reaction in the U.S. or elsewhere to offshore outsourcing;</w:t>
      </w:r>
    </w:p>
    <w:p>
      <w:pPr>
        <w:spacing w:after="0" w:line="57" w:lineRule="exact"/>
        <w:rPr>
          <w:rFonts w:ascii="Arial" w:cs="Arial" w:eastAsia="Arial" w:hAnsi="Arial"/>
          <w:sz w:val="17"/>
          <w:szCs w:val="17"/>
          <w:color w:val="auto"/>
        </w:rPr>
      </w:pPr>
    </w:p>
    <w:p>
      <w:pPr>
        <w:ind w:left="600" w:hanging="308"/>
        <w:spacing w:after="0"/>
        <w:tabs>
          <w:tab w:leader="none" w:pos="6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fluctuations in our earnings;</w:t>
      </w:r>
    </w:p>
    <w:p>
      <w:pPr>
        <w:spacing w:after="0" w:line="57" w:lineRule="exact"/>
        <w:rPr>
          <w:rFonts w:ascii="Arial" w:cs="Arial" w:eastAsia="Arial" w:hAnsi="Arial"/>
          <w:sz w:val="17"/>
          <w:szCs w:val="17"/>
          <w:color w:val="auto"/>
        </w:rPr>
      </w:pPr>
    </w:p>
    <w:p>
      <w:pPr>
        <w:ind w:left="600" w:hanging="308"/>
        <w:spacing w:after="0"/>
        <w:tabs>
          <w:tab w:leader="none" w:pos="6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ability to attract and retain clients;</w:t>
      </w:r>
    </w:p>
    <w:p>
      <w:pPr>
        <w:spacing w:after="0" w:line="57" w:lineRule="exact"/>
        <w:rPr>
          <w:rFonts w:ascii="Arial" w:cs="Arial" w:eastAsia="Arial" w:hAnsi="Arial"/>
          <w:sz w:val="17"/>
          <w:szCs w:val="17"/>
          <w:color w:val="auto"/>
        </w:rPr>
      </w:pPr>
    </w:p>
    <w:p>
      <w:pPr>
        <w:ind w:left="600" w:hanging="308"/>
        <w:spacing w:after="0"/>
        <w:tabs>
          <w:tab w:leader="none" w:pos="6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ability to successfully consummate or integrate strategic acquisitions;</w:t>
      </w:r>
    </w:p>
    <w:p>
      <w:pPr>
        <w:spacing w:after="0" w:line="57" w:lineRule="exact"/>
        <w:rPr>
          <w:rFonts w:ascii="Arial" w:cs="Arial" w:eastAsia="Arial" w:hAnsi="Arial"/>
          <w:sz w:val="17"/>
          <w:szCs w:val="17"/>
          <w:color w:val="auto"/>
        </w:rPr>
      </w:pPr>
    </w:p>
    <w:p>
      <w:pPr>
        <w:ind w:left="600" w:hanging="308"/>
        <w:spacing w:after="0"/>
        <w:tabs>
          <w:tab w:leader="none" w:pos="6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restrictions on immigration;</w:t>
      </w:r>
    </w:p>
    <w:p>
      <w:pPr>
        <w:spacing w:after="0" w:line="57" w:lineRule="exact"/>
        <w:rPr>
          <w:rFonts w:ascii="Arial" w:cs="Arial" w:eastAsia="Arial" w:hAnsi="Arial"/>
          <w:sz w:val="17"/>
          <w:szCs w:val="17"/>
          <w:color w:val="auto"/>
        </w:rPr>
      </w:pPr>
    </w:p>
    <w:p>
      <w:pPr>
        <w:ind w:left="600" w:hanging="308"/>
        <w:spacing w:after="0"/>
        <w:tabs>
          <w:tab w:leader="none" w:pos="6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ability to hire and retain enough sufficiently trained employees to support our operations;</w:t>
      </w:r>
    </w:p>
    <w:p>
      <w:pPr>
        <w:spacing w:after="0" w:line="57" w:lineRule="exact"/>
        <w:rPr>
          <w:rFonts w:ascii="Arial" w:cs="Arial" w:eastAsia="Arial" w:hAnsi="Arial"/>
          <w:sz w:val="17"/>
          <w:szCs w:val="17"/>
          <w:color w:val="auto"/>
        </w:rPr>
      </w:pPr>
    </w:p>
    <w:p>
      <w:pPr>
        <w:ind w:left="600" w:hanging="308"/>
        <w:spacing w:after="0"/>
        <w:tabs>
          <w:tab w:leader="none" w:pos="6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ability to grow our business or effectively manage growth and international operations;</w:t>
      </w:r>
    </w:p>
    <w:p>
      <w:pPr>
        <w:spacing w:after="0" w:line="57" w:lineRule="exact"/>
        <w:rPr>
          <w:rFonts w:ascii="Arial" w:cs="Arial" w:eastAsia="Arial" w:hAnsi="Arial"/>
          <w:sz w:val="17"/>
          <w:szCs w:val="17"/>
          <w:color w:val="auto"/>
        </w:rPr>
      </w:pPr>
    </w:p>
    <w:p>
      <w:pPr>
        <w:ind w:left="600" w:hanging="308"/>
        <w:spacing w:after="0"/>
        <w:tabs>
          <w:tab w:leader="none" w:pos="6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increasing competition in our industry;</w:t>
      </w:r>
    </w:p>
    <w:p>
      <w:pPr>
        <w:spacing w:after="0" w:line="57" w:lineRule="exact"/>
        <w:rPr>
          <w:rFonts w:ascii="Arial" w:cs="Arial" w:eastAsia="Arial" w:hAnsi="Arial"/>
          <w:sz w:val="17"/>
          <w:szCs w:val="17"/>
          <w:color w:val="auto"/>
        </w:rPr>
      </w:pPr>
    </w:p>
    <w:p>
      <w:pPr>
        <w:ind w:left="600" w:hanging="308"/>
        <w:spacing w:after="0"/>
        <w:tabs>
          <w:tab w:leader="none" w:pos="6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telecommunications or technology disruptions;</w:t>
      </w:r>
    </w:p>
    <w:p>
      <w:pPr>
        <w:spacing w:after="0" w:line="57" w:lineRule="exact"/>
        <w:rPr>
          <w:rFonts w:ascii="Arial" w:cs="Arial" w:eastAsia="Arial" w:hAnsi="Arial"/>
          <w:sz w:val="17"/>
          <w:szCs w:val="17"/>
          <w:color w:val="auto"/>
        </w:rPr>
      </w:pPr>
    </w:p>
    <w:p>
      <w:pPr>
        <w:ind w:left="600" w:hanging="308"/>
        <w:spacing w:after="0"/>
        <w:tabs>
          <w:tab w:leader="none" w:pos="6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ability to withstand the loss of a significant customer ;</w:t>
      </w:r>
    </w:p>
    <w:p>
      <w:pPr>
        <w:spacing w:after="0" w:line="57" w:lineRule="exact"/>
        <w:rPr>
          <w:rFonts w:ascii="Arial" w:cs="Arial" w:eastAsia="Arial" w:hAnsi="Arial"/>
          <w:sz w:val="17"/>
          <w:szCs w:val="17"/>
          <w:color w:val="auto"/>
        </w:rPr>
      </w:pPr>
    </w:p>
    <w:p>
      <w:pPr>
        <w:ind w:left="600" w:hanging="308"/>
        <w:spacing w:after="0"/>
        <w:tabs>
          <w:tab w:leader="none" w:pos="6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regulatory, legislative and judicial developments, including changes to or the withdrawal of governmental fiscal incentives;</w:t>
      </w:r>
    </w:p>
    <w:p>
      <w:pPr>
        <w:spacing w:after="0" w:line="57" w:lineRule="exact"/>
        <w:rPr>
          <w:rFonts w:ascii="Arial" w:cs="Arial" w:eastAsia="Arial" w:hAnsi="Arial"/>
          <w:sz w:val="17"/>
          <w:szCs w:val="17"/>
          <w:color w:val="auto"/>
        </w:rPr>
      </w:pPr>
    </w:p>
    <w:p>
      <w:pPr>
        <w:ind w:left="600" w:hanging="308"/>
        <w:spacing w:after="0"/>
        <w:tabs>
          <w:tab w:leader="none" w:pos="6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technological innovation;</w:t>
      </w:r>
    </w:p>
    <w:p>
      <w:pPr>
        <w:spacing w:after="0" w:line="57" w:lineRule="exact"/>
        <w:rPr>
          <w:rFonts w:ascii="Arial" w:cs="Arial" w:eastAsia="Arial" w:hAnsi="Arial"/>
          <w:sz w:val="17"/>
          <w:szCs w:val="17"/>
          <w:color w:val="auto"/>
        </w:rPr>
      </w:pPr>
    </w:p>
    <w:p>
      <w:pPr>
        <w:ind w:left="600" w:hanging="308"/>
        <w:spacing w:after="0"/>
        <w:tabs>
          <w:tab w:leader="none" w:pos="6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political or economic instability in the geographies in which we operate;</w:t>
      </w:r>
    </w:p>
    <w:p>
      <w:pPr>
        <w:spacing w:after="0" w:line="57" w:lineRule="exact"/>
        <w:rPr>
          <w:rFonts w:ascii="Arial" w:cs="Arial" w:eastAsia="Arial" w:hAnsi="Arial"/>
          <w:sz w:val="17"/>
          <w:szCs w:val="17"/>
          <w:color w:val="auto"/>
        </w:rPr>
      </w:pPr>
    </w:p>
    <w:p>
      <w:pPr>
        <w:ind w:left="600" w:hanging="308"/>
        <w:spacing w:after="0"/>
        <w:tabs>
          <w:tab w:leader="none" w:pos="6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unauthorized disclosure of sensitive or confidential client and customer data; and</w:t>
      </w:r>
    </w:p>
    <w:p>
      <w:pPr>
        <w:spacing w:after="0" w:line="57" w:lineRule="exact"/>
        <w:rPr>
          <w:rFonts w:ascii="Arial" w:cs="Arial" w:eastAsia="Arial" w:hAnsi="Arial"/>
          <w:sz w:val="17"/>
          <w:szCs w:val="17"/>
          <w:color w:val="auto"/>
        </w:rPr>
      </w:pPr>
    </w:p>
    <w:p>
      <w:pPr>
        <w:ind w:left="600" w:hanging="308"/>
        <w:spacing w:after="0"/>
        <w:tabs>
          <w:tab w:leader="none" w:pos="6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adverse outcome of our disputes with the Indian tax authorities.</w:t>
      </w:r>
    </w:p>
    <w:p>
      <w:pPr>
        <w:spacing w:after="0" w:line="108" w:lineRule="exact"/>
        <w:rPr>
          <w:sz w:val="20"/>
          <w:szCs w:val="20"/>
          <w:color w:val="auto"/>
        </w:rPr>
      </w:pPr>
    </w:p>
    <w:p>
      <w:pPr>
        <w:jc w:val="both"/>
        <w:ind w:firstLine="404"/>
        <w:spacing w:after="0" w:line="271" w:lineRule="auto"/>
        <w:rPr>
          <w:sz w:val="20"/>
          <w:szCs w:val="20"/>
          <w:color w:val="auto"/>
        </w:rPr>
      </w:pPr>
      <w:r>
        <w:rPr>
          <w:rFonts w:ascii="Arial" w:cs="Arial" w:eastAsia="Arial" w:hAnsi="Arial"/>
          <w:sz w:val="17"/>
          <w:szCs w:val="17"/>
          <w:color w:val="auto"/>
        </w:rPr>
        <w:t>These and other factors are more fully discussed elsewhere in this Quarterly Report on Form 10-Q. These and other risks could cause actual results to differ materially from those implied by forward looking statements in this Quarterly Report on Form 10-Q.</w:t>
      </w:r>
    </w:p>
    <w:p>
      <w:pPr>
        <w:spacing w:after="0" w:line="64" w:lineRule="exact"/>
        <w:rPr>
          <w:sz w:val="20"/>
          <w:szCs w:val="20"/>
          <w:color w:val="auto"/>
        </w:rPr>
      </w:pPr>
    </w:p>
    <w:p>
      <w:pPr>
        <w:jc w:val="both"/>
        <w:ind w:firstLine="404"/>
        <w:spacing w:after="0" w:line="310" w:lineRule="auto"/>
        <w:rPr>
          <w:sz w:val="20"/>
          <w:szCs w:val="20"/>
          <w:color w:val="auto"/>
        </w:rPr>
      </w:pPr>
      <w:r>
        <w:rPr>
          <w:rFonts w:ascii="Arial" w:cs="Arial" w:eastAsia="Arial" w:hAnsi="Arial"/>
          <w:sz w:val="15"/>
          <w:szCs w:val="15"/>
          <w:color w:val="auto"/>
        </w:rPr>
        <w:t>The forward looking statements made by us in this Quarterly Report on Form 10-Q, or elsewhere, speak only as of the date on which they were made. New risks and uncertainties come up from time to time, and it is impossible for us to predict those events or how they may affect us. We have no obligation to update any forward looking statements in this Quarterly Report on Form 10-Q after the date of this Quarterly Report on Form 10-Q, except as required by federal securities laws.</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Overview</w:t>
      </w:r>
    </w:p>
    <w:p>
      <w:pPr>
        <w:spacing w:after="0" w:line="112" w:lineRule="exact"/>
        <w:rPr>
          <w:sz w:val="20"/>
          <w:szCs w:val="20"/>
          <w:color w:val="auto"/>
        </w:rPr>
      </w:pPr>
    </w:p>
    <w:p>
      <w:pPr>
        <w:jc w:val="both"/>
        <w:ind w:firstLine="404"/>
        <w:spacing w:after="0" w:line="310" w:lineRule="auto"/>
        <w:rPr>
          <w:sz w:val="20"/>
          <w:szCs w:val="20"/>
          <w:color w:val="auto"/>
        </w:rPr>
      </w:pPr>
      <w:r>
        <w:rPr>
          <w:rFonts w:ascii="Arial" w:cs="Arial" w:eastAsia="Arial" w:hAnsi="Arial"/>
          <w:sz w:val="15"/>
          <w:szCs w:val="15"/>
          <w:color w:val="auto"/>
        </w:rPr>
        <w:t>We are a leading Operations Management and Analytics company that helps businesses enhance growth and profitability. Using our proprietary platforms, methodologies and tools we look deeper to help companies improve global operations, enhance data-driven insights, increase customer satisfaction, and manage risk and compliance. We serve the insurance, healthcare, banking and financial services, utilities and travel, transportation and logistics industries, among others.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1420"/>
          </w:cols>
          <w:pgMar w:left="240" w:top="325" w:right="239" w:bottom="1440" w:gutter="0" w:footer="0" w:header="0"/>
        </w:sectPr>
      </w:pPr>
    </w:p>
    <w:bookmarkStart w:id="27" w:name="page28"/>
    <w:bookmarkEnd w:id="27"/>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339" w:lineRule="exact"/>
        <w:rPr>
          <w:sz w:val="20"/>
          <w:szCs w:val="20"/>
          <w:color w:val="auto"/>
        </w:rPr>
      </w:pPr>
    </w:p>
    <w:p>
      <w:pPr>
        <w:jc w:val="both"/>
        <w:ind w:firstLine="404"/>
        <w:spacing w:after="0" w:line="254" w:lineRule="auto"/>
        <w:rPr>
          <w:sz w:val="20"/>
          <w:szCs w:val="20"/>
          <w:color w:val="auto"/>
        </w:rPr>
      </w:pPr>
      <w:r>
        <w:rPr>
          <w:rFonts w:ascii="Arial" w:cs="Arial" w:eastAsia="Arial" w:hAnsi="Arial"/>
          <w:sz w:val="17"/>
          <w:szCs w:val="17"/>
          <w:color w:val="auto"/>
        </w:rPr>
        <w:t>Our operating segments are significant strategic business units that align our products and services with how we manage our business, approach our key markets and interact with our clients. Effective for the quarter and year ended December 31, 2015, we merged two of our operating segments (Operations Consulting and Finance Transformation, previously part of the Analytics and Business Transformation reportable segment) into the Consulting operating segment to reflect recent organizational changes. We have also revised our reportable segments to reflect management’s focus on the Analytics operating segment. All our other operating segments have been aggregated into the Operations Management reportable segment.</w:t>
      </w:r>
    </w:p>
    <w:p>
      <w:pPr>
        <w:spacing w:after="0" w:line="53" w:lineRule="exact"/>
        <w:rPr>
          <w:sz w:val="20"/>
          <w:szCs w:val="20"/>
          <w:color w:val="auto"/>
        </w:rPr>
      </w:pPr>
    </w:p>
    <w:p>
      <w:pPr>
        <w:ind w:left="360"/>
        <w:spacing w:after="0"/>
        <w:rPr>
          <w:sz w:val="20"/>
          <w:szCs w:val="20"/>
          <w:color w:val="auto"/>
        </w:rPr>
      </w:pPr>
      <w:r>
        <w:rPr>
          <w:rFonts w:ascii="Arial" w:cs="Arial" w:eastAsia="Arial" w:hAnsi="Arial"/>
          <w:sz w:val="17"/>
          <w:szCs w:val="17"/>
          <w:color w:val="auto"/>
        </w:rPr>
        <w:t>Our current reportable segments are as follows:</w:t>
      </w:r>
    </w:p>
    <w:p>
      <w:pPr>
        <w:spacing w:after="0" w:line="83" w:lineRule="exact"/>
        <w:rPr>
          <w:sz w:val="20"/>
          <w:szCs w:val="20"/>
          <w:color w:val="auto"/>
        </w:rPr>
      </w:pPr>
    </w:p>
    <w:p>
      <w:pPr>
        <w:ind w:left="600" w:hanging="296"/>
        <w:spacing w:after="0"/>
        <w:tabs>
          <w:tab w:leader="none" w:pos="6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Operations Management, and</w:t>
      </w:r>
    </w:p>
    <w:p>
      <w:pPr>
        <w:spacing w:after="0" w:line="18" w:lineRule="exact"/>
        <w:rPr>
          <w:rFonts w:ascii="Arial" w:cs="Arial" w:eastAsia="Arial" w:hAnsi="Arial"/>
          <w:sz w:val="17"/>
          <w:szCs w:val="17"/>
          <w:color w:val="auto"/>
        </w:rPr>
      </w:pPr>
    </w:p>
    <w:p>
      <w:pPr>
        <w:ind w:left="600" w:hanging="296"/>
        <w:spacing w:after="0"/>
        <w:tabs>
          <w:tab w:leader="none" w:pos="6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Analytics</w:t>
      </w:r>
    </w:p>
    <w:p>
      <w:pPr>
        <w:spacing w:after="0" w:line="96" w:lineRule="exact"/>
        <w:rPr>
          <w:sz w:val="20"/>
          <w:szCs w:val="20"/>
          <w:color w:val="auto"/>
        </w:rPr>
      </w:pPr>
    </w:p>
    <w:p>
      <w:pPr>
        <w:jc w:val="both"/>
        <w:ind w:firstLine="404"/>
        <w:spacing w:after="0" w:line="259" w:lineRule="auto"/>
        <w:rPr>
          <w:sz w:val="20"/>
          <w:szCs w:val="20"/>
          <w:color w:val="auto"/>
        </w:rPr>
      </w:pPr>
      <w:r>
        <w:rPr>
          <w:rFonts w:ascii="Arial" w:cs="Arial" w:eastAsia="Arial" w:hAnsi="Arial"/>
          <w:sz w:val="17"/>
          <w:szCs w:val="17"/>
          <w:color w:val="auto"/>
        </w:rPr>
        <w:t>We have restated the segment information for all prior periods presented herein to conform to the current presentation. This change in segment presentation does not affect our consolidated statements of income, balance sheets or statements of cash flows. For further descriptions of our operating segments, see Note 4 to the unaudited consolidated financial statements contained herein.</w:t>
      </w:r>
    </w:p>
    <w:p>
      <w:pPr>
        <w:spacing w:after="0" w:line="176" w:lineRule="exact"/>
        <w:rPr>
          <w:sz w:val="20"/>
          <w:szCs w:val="20"/>
          <w:color w:val="auto"/>
        </w:rPr>
      </w:pPr>
    </w:p>
    <w:p>
      <w:pPr>
        <w:jc w:val="both"/>
        <w:ind w:firstLine="379"/>
        <w:spacing w:after="0" w:line="259" w:lineRule="auto"/>
        <w:rPr>
          <w:sz w:val="20"/>
          <w:szCs w:val="20"/>
          <w:color w:val="auto"/>
        </w:rPr>
      </w:pPr>
      <w:r>
        <w:rPr>
          <w:rFonts w:ascii="Arial" w:cs="Arial" w:eastAsia="Arial" w:hAnsi="Arial"/>
          <w:sz w:val="17"/>
          <w:szCs w:val="17"/>
          <w:color w:val="auto"/>
        </w:rPr>
        <w:t>Our global delivery network, which include highly trained industry and process specialists across the United States, Latin America, South Africa, Europe and Asia (primarily India and the Philippines), is a key asset. We have operations centers in India, the U.S., the Philippines, Bulgaria, Colombia, South Africa, Romania and the Czech Republic.</w:t>
      </w:r>
    </w:p>
    <w:p>
      <w:pPr>
        <w:spacing w:after="0" w:line="176" w:lineRule="exact"/>
        <w:rPr>
          <w:sz w:val="20"/>
          <w:szCs w:val="20"/>
          <w:color w:val="auto"/>
        </w:rPr>
      </w:pPr>
    </w:p>
    <w:p>
      <w:pPr>
        <w:ind w:left="380"/>
        <w:spacing w:after="0"/>
        <w:rPr>
          <w:sz w:val="20"/>
          <w:szCs w:val="20"/>
          <w:color w:val="auto"/>
        </w:rPr>
      </w:pPr>
      <w:r>
        <w:rPr>
          <w:rFonts w:ascii="Arial" w:cs="Arial" w:eastAsia="Arial" w:hAnsi="Arial"/>
          <w:sz w:val="15"/>
          <w:szCs w:val="15"/>
          <w:color w:val="auto"/>
        </w:rPr>
        <w:t>Consistent with our growth strategy, on July 1, 2016 and September 1, 2016, we acquired Liss Systems Limited (the "Liss acquisition") and IQR Consulting Inc.</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color w:val="auto"/>
        </w:rPr>
        <w:t>(the "IQR Acquisition"), respectively.</w:t>
      </w:r>
    </w:p>
    <w:p>
      <w:pPr>
        <w:spacing w:after="0" w:line="96" w:lineRule="exact"/>
        <w:rPr>
          <w:sz w:val="20"/>
          <w:szCs w:val="20"/>
          <w:color w:val="auto"/>
        </w:rPr>
      </w:pPr>
    </w:p>
    <w:p>
      <w:pPr>
        <w:jc w:val="both"/>
        <w:ind w:firstLine="379"/>
        <w:spacing w:after="0" w:line="239" w:lineRule="auto"/>
        <w:rPr>
          <w:sz w:val="20"/>
          <w:szCs w:val="20"/>
          <w:color w:val="auto"/>
        </w:rPr>
      </w:pPr>
      <w:r>
        <w:rPr>
          <w:rFonts w:ascii="Arial" w:cs="Arial" w:eastAsia="Arial" w:hAnsi="Arial"/>
          <w:sz w:val="16"/>
          <w:szCs w:val="16"/>
          <w:color w:val="auto"/>
        </w:rPr>
        <w:t>Liss is a provider of policy administration solutions for the life and pensions industry, combining both depth of life industry knowledge with expertise in the design and delivery of core system solutions. Liss’s "LISSIA" platform combined with our platforms’ such as LifePRO</w:t>
      </w:r>
      <w:r>
        <w:rPr>
          <w:rFonts w:ascii="Arial" w:cs="Arial" w:eastAsia="Arial" w:hAnsi="Arial"/>
          <w:sz w:val="22"/>
          <w:szCs w:val="22"/>
          <w:color w:val="auto"/>
          <w:vertAlign w:val="superscript"/>
        </w:rPr>
        <w:t>®</w:t>
      </w:r>
      <w:r>
        <w:rPr>
          <w:rFonts w:ascii="Arial" w:cs="Arial" w:eastAsia="Arial" w:hAnsi="Arial"/>
          <w:sz w:val="16"/>
          <w:szCs w:val="16"/>
          <w:color w:val="auto"/>
        </w:rPr>
        <w:t xml:space="preserve"> will enable expansion of our solutions set for the insurance market, and is expected to strengthen our end-to-end offering and bolster our position as a leader in the insurance industry.</w:t>
      </w:r>
    </w:p>
    <w:p>
      <w:pPr>
        <w:spacing w:after="0" w:line="191" w:lineRule="exact"/>
        <w:rPr>
          <w:sz w:val="20"/>
          <w:szCs w:val="20"/>
          <w:color w:val="auto"/>
        </w:rPr>
      </w:pPr>
    </w:p>
    <w:p>
      <w:pPr>
        <w:jc w:val="both"/>
        <w:ind w:firstLine="379"/>
        <w:spacing w:after="0" w:line="259" w:lineRule="auto"/>
        <w:rPr>
          <w:sz w:val="20"/>
          <w:szCs w:val="20"/>
          <w:color w:val="auto"/>
        </w:rPr>
      </w:pPr>
      <w:r>
        <w:rPr>
          <w:rFonts w:ascii="Arial" w:cs="Arial" w:eastAsia="Arial" w:hAnsi="Arial"/>
          <w:sz w:val="17"/>
          <w:szCs w:val="17"/>
          <w:color w:val="auto"/>
        </w:rPr>
        <w:t>IQR is a U.S.-based provider of marketing and risk analytics solutions to super-regional banks and credit unions and specializes in data analytics and strategic consulting services. IQR’s industry focus aligns well with our Analytics strengths and we anticipate that the acquisition will bring even more value to our clients by enhancing customer satisfaction, increasing revenue growth and minimizing risk.</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Revenues</w:t>
      </w:r>
    </w:p>
    <w:p>
      <w:pPr>
        <w:spacing w:after="0" w:line="112" w:lineRule="exact"/>
        <w:rPr>
          <w:sz w:val="20"/>
          <w:szCs w:val="20"/>
          <w:color w:val="auto"/>
        </w:rPr>
      </w:pPr>
    </w:p>
    <w:p>
      <w:pPr>
        <w:jc w:val="both"/>
        <w:ind w:firstLine="379"/>
        <w:spacing w:after="0" w:line="255" w:lineRule="auto"/>
        <w:rPr>
          <w:sz w:val="20"/>
          <w:szCs w:val="20"/>
          <w:color w:val="auto"/>
        </w:rPr>
      </w:pPr>
      <w:r>
        <w:rPr>
          <w:rFonts w:ascii="Arial" w:cs="Arial" w:eastAsia="Arial" w:hAnsi="Arial"/>
          <w:sz w:val="17"/>
          <w:szCs w:val="17"/>
          <w:color w:val="auto"/>
        </w:rPr>
        <w:t>For the three months ended September 30, 2016, we had revenues of $171.2 million compared to revenues of $163.5 million for the three months ended September 30, 2015, an increase of $7.7 million, or 4.7%. Revenues from operations management services were $129.6 million for the three months ended September 30, 2016 compared to $128.0 million for the three months ended September 30, 2015. Revenues from analytics services were $41.6 million for the three months ended September 30, 2016 compared to $35.5 million for the three months ended September 30, 2015.</w:t>
      </w:r>
    </w:p>
    <w:p>
      <w:pPr>
        <w:spacing w:after="0" w:line="79" w:lineRule="exact"/>
        <w:rPr>
          <w:sz w:val="20"/>
          <w:szCs w:val="20"/>
          <w:color w:val="auto"/>
        </w:rPr>
      </w:pPr>
    </w:p>
    <w:p>
      <w:pPr>
        <w:jc w:val="both"/>
        <w:ind w:firstLine="379"/>
        <w:spacing w:after="0" w:line="255" w:lineRule="auto"/>
        <w:rPr>
          <w:sz w:val="20"/>
          <w:szCs w:val="20"/>
          <w:color w:val="auto"/>
        </w:rPr>
      </w:pPr>
      <w:r>
        <w:rPr>
          <w:rFonts w:ascii="Arial" w:cs="Arial" w:eastAsia="Arial" w:hAnsi="Arial"/>
          <w:sz w:val="17"/>
          <w:szCs w:val="17"/>
          <w:color w:val="auto"/>
        </w:rPr>
        <w:t>For the nine months ended September 30, 2016, we had revenues of $508.7 million compared to revenues of $462.6 million for the nine months ended September 30, 2015, an increase of $46.1 million, or 10.0%. Revenues from operations management services were $388.5 million for the nine months ended September 30, 2016 compared to $376.9 million for the nine months ended September 30, 2015. Revenues from analytics services were $120.2 million for the nine months ended September 30, 2016 compared to $85.7 million for the nine months ended September 30, 2015.</w:t>
      </w:r>
    </w:p>
    <w:p>
      <w:pPr>
        <w:spacing w:after="0" w:line="180" w:lineRule="exact"/>
        <w:rPr>
          <w:sz w:val="20"/>
          <w:szCs w:val="20"/>
          <w:color w:val="auto"/>
        </w:rPr>
      </w:pPr>
    </w:p>
    <w:p>
      <w:pPr>
        <w:jc w:val="both"/>
        <w:ind w:firstLine="379"/>
        <w:spacing w:after="0" w:line="255" w:lineRule="auto"/>
        <w:rPr>
          <w:sz w:val="20"/>
          <w:szCs w:val="20"/>
          <w:color w:val="auto"/>
        </w:rPr>
      </w:pPr>
      <w:r>
        <w:rPr>
          <w:rFonts w:ascii="Arial" w:cs="Arial" w:eastAsia="Arial" w:hAnsi="Arial"/>
          <w:sz w:val="17"/>
          <w:szCs w:val="17"/>
          <w:color w:val="auto"/>
        </w:rPr>
        <w:t>We serve clients mainly in the U.S. and the U.K., with these two regions generating approximately 80.1% and 16.4%, respectively, of our total revenues for the three months ended September 30, 2016 and approximately 79.4% and 17.3%, respectively, of our revenues for the three months ended September 30, 2015. For the nine months ended September 30, 2016, these two regions generated 80.1% and 16.6%, respectively, of our total revenues and 78.8% and 17.6%, respectively, of our total revenues for the nine months ended September 30, 2015.</w:t>
      </w:r>
    </w:p>
    <w:p>
      <w:pPr>
        <w:spacing w:after="0" w:line="180" w:lineRule="exact"/>
        <w:rPr>
          <w:sz w:val="20"/>
          <w:szCs w:val="20"/>
          <w:color w:val="auto"/>
        </w:rPr>
      </w:pPr>
    </w:p>
    <w:p>
      <w:pPr>
        <w:jc w:val="both"/>
        <w:ind w:firstLine="379"/>
        <w:spacing w:after="0" w:line="254" w:lineRule="auto"/>
        <w:rPr>
          <w:sz w:val="20"/>
          <w:szCs w:val="20"/>
          <w:color w:val="auto"/>
        </w:rPr>
      </w:pPr>
      <w:r>
        <w:rPr>
          <w:rFonts w:ascii="Arial" w:cs="Arial" w:eastAsia="Arial" w:hAnsi="Arial"/>
          <w:sz w:val="17"/>
          <w:szCs w:val="17"/>
          <w:color w:val="auto"/>
        </w:rPr>
        <w:t>For the three months ended September 30, 2016 and 2015, our total revenues from our top ten clients accounted for 41.0% and 39.8% of our total revenues, respectively. For the nine months ended September 30, 2016 and 2015, our total revenues from our top ten clients accounted for 40.6% and 41.8% of our total revenues, respectively. None of our clients accounted for more than 10% of our total revenues during the three and nine months ended September 30, 2016 and 2015. Although we are continually increasing and diversifying our customer base, we expect in the near future that a significant portion of our revenue will continue to be contributed by a limited number of large clients.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1420"/>
          </w:cols>
          <w:pgMar w:left="240" w:top="325" w:right="239" w:bottom="1440" w:gutter="0" w:footer="0" w:header="0"/>
        </w:sectPr>
      </w:pPr>
    </w:p>
    <w:bookmarkStart w:id="28" w:name="page29"/>
    <w:bookmarkEnd w:id="28"/>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Business</w:t>
      </w:r>
    </w:p>
    <w:p>
      <w:pPr>
        <w:spacing w:after="0" w:line="213" w:lineRule="exact"/>
        <w:rPr>
          <w:sz w:val="20"/>
          <w:szCs w:val="20"/>
          <w:color w:val="auto"/>
        </w:rPr>
      </w:pPr>
    </w:p>
    <w:p>
      <w:pPr>
        <w:jc w:val="both"/>
        <w:ind w:firstLine="379"/>
        <w:spacing w:after="0" w:line="259" w:lineRule="auto"/>
        <w:rPr>
          <w:sz w:val="20"/>
          <w:szCs w:val="20"/>
          <w:color w:val="auto"/>
        </w:rPr>
      </w:pPr>
      <w:r>
        <w:rPr>
          <w:rFonts w:ascii="Arial" w:cs="Arial" w:eastAsia="Arial" w:hAnsi="Arial"/>
          <w:sz w:val="17"/>
          <w:szCs w:val="17"/>
          <w:color w:val="auto"/>
        </w:rPr>
        <w:t>Our business is divided into two reporting segments: Operations Management and Analytics. We market our services to our existing and prospective clients through our sales and client management teams, which are aligned by key industry verticals and cross-industry domains such as finance and accounting. Our sales and client management teams operate from the U.S., Europe and Australia.</w:t>
      </w:r>
    </w:p>
    <w:p>
      <w:pPr>
        <w:spacing w:after="0" w:line="176" w:lineRule="exact"/>
        <w:rPr>
          <w:sz w:val="20"/>
          <w:szCs w:val="20"/>
          <w:color w:val="auto"/>
        </w:rPr>
      </w:pPr>
    </w:p>
    <w:p>
      <w:pPr>
        <w:jc w:val="both"/>
        <w:ind w:firstLine="379"/>
        <w:spacing w:after="0" w:line="259" w:lineRule="auto"/>
        <w:rPr>
          <w:sz w:val="20"/>
          <w:szCs w:val="20"/>
          <w:color w:val="auto"/>
        </w:rPr>
      </w:pPr>
      <w:r>
        <w:rPr>
          <w:rFonts w:ascii="Arial" w:cs="Arial" w:eastAsia="Arial" w:hAnsi="Arial"/>
          <w:sz w:val="17"/>
          <w:szCs w:val="17"/>
          <w:color w:val="auto"/>
        </w:rPr>
        <w:t>Operations Management: We provide our clients with a range of operations management solutions principally in the insurance, healthcare, utilities, banking and financial services, and travel, transportation and logistics sectors, among others, as well as cross-industry operations management solutions, such as finance and accounting services.</w:t>
      </w:r>
    </w:p>
    <w:p>
      <w:pPr>
        <w:spacing w:after="0" w:line="176" w:lineRule="exact"/>
        <w:rPr>
          <w:sz w:val="20"/>
          <w:szCs w:val="20"/>
          <w:color w:val="auto"/>
        </w:rPr>
      </w:pPr>
    </w:p>
    <w:p>
      <w:pPr>
        <w:jc w:val="both"/>
        <w:ind w:firstLine="379"/>
        <w:spacing w:after="0" w:line="254" w:lineRule="auto"/>
        <w:rPr>
          <w:sz w:val="20"/>
          <w:szCs w:val="20"/>
          <w:color w:val="auto"/>
        </w:rPr>
      </w:pPr>
      <w:r>
        <w:rPr>
          <w:rFonts w:ascii="Arial" w:cs="Arial" w:eastAsia="Arial" w:hAnsi="Arial"/>
          <w:sz w:val="17"/>
          <w:szCs w:val="17"/>
          <w:color w:val="auto"/>
        </w:rPr>
        <w:t>Our Operations Management solutions typically involve the transfer to the Company of select business operations of a client such as claims processing, clinical operations, or financial transaction processing, after which we administer and manage the operations for our client on an ongoing basis. As part of this transfer, we hire and train employees to work at our operations centers on the relevant business operations, implement a process migration to these operations centers and then provide services either to the client or directly to the client’s customers. Each client contract has different terms based on the scope, deliverables and complexity of the engagement.</w:t>
      </w:r>
    </w:p>
    <w:p>
      <w:pPr>
        <w:spacing w:after="0" w:line="179" w:lineRule="exact"/>
        <w:rPr>
          <w:sz w:val="20"/>
          <w:szCs w:val="20"/>
          <w:color w:val="auto"/>
        </w:rPr>
      </w:pPr>
    </w:p>
    <w:p>
      <w:pPr>
        <w:jc w:val="both"/>
        <w:ind w:firstLine="379"/>
        <w:spacing w:after="0" w:line="251" w:lineRule="auto"/>
        <w:rPr>
          <w:sz w:val="20"/>
          <w:szCs w:val="20"/>
          <w:color w:val="auto"/>
        </w:rPr>
      </w:pPr>
      <w:r>
        <w:rPr>
          <w:rFonts w:ascii="Arial" w:cs="Arial" w:eastAsia="Arial" w:hAnsi="Arial"/>
          <w:sz w:val="17"/>
          <w:szCs w:val="17"/>
          <w:color w:val="auto"/>
        </w:rPr>
        <w:t>We have been observing a shift in industry pricing models toward transaction-based pricing, outcome-based pricing and other pricing models. We believe this trend will continue, and we have begun to use transaction-based, outcome-based and other pricing models with some of our current clients and are seeking to move certain other clients from a billing rate model to a transaction-based or other pricing model. These transaction-based pricing models place the focus on operating efficiency in order to maintain our operating margins. In addition, we have also observed that prospective larger clients are entering into multi-vendor relationships with regard to their outsourcing needs. We believe that the trend toward multi-vendor relationships will continue. A multi-vendor relationship allows a client to seek more favorable pricing and other contract terms from each vendor, which can result in significantly reduced operating margins from the provision of services to such client for each vendor. To the extent our large clients expand their use of multi-vendor relationships and are able to extract more favorable contract terms from other vendors, our operating margins and revenues may be reduced with regard to such clients if we are required to modify the terms of our relationships with such clients to meet competition.</w:t>
      </w:r>
    </w:p>
    <w:p>
      <w:pPr>
        <w:spacing w:after="0" w:line="182" w:lineRule="exact"/>
        <w:rPr>
          <w:sz w:val="20"/>
          <w:szCs w:val="20"/>
          <w:color w:val="auto"/>
        </w:rPr>
      </w:pPr>
    </w:p>
    <w:p>
      <w:pPr>
        <w:jc w:val="both"/>
        <w:ind w:firstLine="379"/>
        <w:spacing w:after="0" w:line="300" w:lineRule="auto"/>
        <w:rPr>
          <w:sz w:val="20"/>
          <w:szCs w:val="20"/>
          <w:color w:val="auto"/>
        </w:rPr>
      </w:pPr>
      <w:r>
        <w:rPr>
          <w:rFonts w:ascii="Arial" w:cs="Arial" w:eastAsia="Arial" w:hAnsi="Arial"/>
          <w:sz w:val="15"/>
          <w:szCs w:val="15"/>
          <w:color w:val="auto"/>
        </w:rPr>
        <w:t>As we increase our capabilities utilizing technology service platforms and other software-based services, we expect that revenues from such services will continue to grow in proportion to our total revenues. Revenues from annual maintenance and support contracts for our software platforms provide us with a relatively predictable revenue base and are generally recognized ratably over the terms of the contracts. New license sales and implementation projects have a long selling cycle and it is difficult to predict the timing of when such new contracts will be signed, which may lead to fluctuations in our revenues over the short term.</w:t>
      </w:r>
    </w:p>
    <w:p>
      <w:pPr>
        <w:spacing w:after="0" w:line="149" w:lineRule="exact"/>
        <w:rPr>
          <w:sz w:val="20"/>
          <w:szCs w:val="20"/>
          <w:color w:val="auto"/>
        </w:rPr>
      </w:pPr>
    </w:p>
    <w:p>
      <w:pPr>
        <w:jc w:val="both"/>
        <w:ind w:firstLine="379"/>
        <w:spacing w:after="0" w:line="276" w:lineRule="auto"/>
        <w:rPr>
          <w:sz w:val="20"/>
          <w:szCs w:val="20"/>
          <w:color w:val="auto"/>
        </w:rPr>
      </w:pPr>
      <w:r>
        <w:rPr>
          <w:rFonts w:ascii="Arial" w:cs="Arial" w:eastAsia="Arial" w:hAnsi="Arial"/>
          <w:sz w:val="16"/>
          <w:szCs w:val="16"/>
          <w:i w:val="1"/>
          <w:iCs w:val="1"/>
          <w:color w:val="auto"/>
        </w:rPr>
        <w:t xml:space="preserve">Analytics: </w:t>
      </w:r>
      <w:r>
        <w:rPr>
          <w:rFonts w:ascii="Arial" w:cs="Arial" w:eastAsia="Arial" w:hAnsi="Arial"/>
          <w:sz w:val="16"/>
          <w:szCs w:val="16"/>
          <w:color w:val="auto"/>
        </w:rPr>
        <w:t>Our Analytics services focus on driving improved business outcomes for our customers by generating data-driven insights across all parts of our</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customers’ business. Our teams deliver predictive and prescriptive analytics in the areas of customer acquisition and lifecycle management, risk underwriting and pricing, operational effectiveness, credit and operational risk monitoring and governance, strategic consulting, regulatory reporting, and data management. We actively cross-sell and, where appropriate, integrate our Analytics services with Operations Management as part of a comprehensive solution for our clients.</w:t>
      </w:r>
    </w:p>
    <w:p>
      <w:pPr>
        <w:spacing w:after="0" w:line="165" w:lineRule="exact"/>
        <w:rPr>
          <w:sz w:val="20"/>
          <w:szCs w:val="20"/>
          <w:color w:val="auto"/>
        </w:rPr>
      </w:pPr>
    </w:p>
    <w:p>
      <w:pPr>
        <w:ind w:left="380"/>
        <w:spacing w:after="0"/>
        <w:rPr>
          <w:sz w:val="20"/>
          <w:szCs w:val="20"/>
          <w:color w:val="auto"/>
        </w:rPr>
      </w:pPr>
      <w:r>
        <w:rPr>
          <w:rFonts w:ascii="Arial" w:cs="Arial" w:eastAsia="Arial" w:hAnsi="Arial"/>
          <w:sz w:val="15"/>
          <w:szCs w:val="15"/>
          <w:color w:val="auto"/>
        </w:rPr>
        <w:t>We anticipate that revenues from our Analytics services will grow as we expand our service offerings and client base, both organically and through acquisitions.</w:t>
      </w:r>
    </w:p>
    <w:p>
      <w:pPr>
        <w:spacing w:after="0" w:line="3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213" w:lineRule="exact"/>
        <w:rPr>
          <w:sz w:val="20"/>
          <w:szCs w:val="20"/>
          <w:color w:val="auto"/>
        </w:rPr>
      </w:pPr>
    </w:p>
    <w:p>
      <w:pPr>
        <w:jc w:val="both"/>
        <w:ind w:firstLine="379"/>
        <w:spacing w:after="0" w:line="259" w:lineRule="auto"/>
        <w:rPr>
          <w:sz w:val="20"/>
          <w:szCs w:val="20"/>
          <w:color w:val="auto"/>
        </w:rPr>
      </w:pPr>
      <w:r>
        <w:rPr>
          <w:rFonts w:ascii="Arial" w:cs="Arial" w:eastAsia="Arial" w:hAnsi="Arial"/>
          <w:sz w:val="17"/>
          <w:szCs w:val="17"/>
          <w:color w:val="auto"/>
        </w:rPr>
        <w:t>For a description of our critical accounting policies and estimates, refer to “Management’s Discussion and Analysis of Financial Condition and Results of Operations – Critical Accounting Policies and Estimates” and Note 2 to the Consolidated Financial Statements included in our 2015 Annual Report on Form 10-K for the year ended December 31, 2015.</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1420"/>
          </w:cols>
          <w:pgMar w:left="240" w:top="325" w:right="239" w:bottom="1440" w:gutter="0" w:footer="0" w:header="0"/>
        </w:sectPr>
      </w:pPr>
    </w:p>
    <w:bookmarkStart w:id="29" w:name="page30"/>
    <w:bookmarkEnd w:id="29"/>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112"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table summarizes our results of operations for the three months ended September 30, 2016 and 2015:</w:t>
      </w:r>
    </w:p>
    <w:p>
      <w:pPr>
        <w:spacing w:after="0" w:line="256" w:lineRule="exact"/>
        <w:rPr>
          <w:sz w:val="20"/>
          <w:szCs w:val="20"/>
          <w:color w:val="auto"/>
        </w:rPr>
      </w:pPr>
    </w:p>
    <w:tbl>
      <w:tblPr>
        <w:tblLayout w:type="fixed"/>
        <w:tblInd w:w="460" w:type="dxa"/>
        <w:tblCellMar>
          <w:top w:w="0" w:type="dxa"/>
          <w:left w:w="0" w:type="dxa"/>
          <w:bottom w:w="0" w:type="dxa"/>
          <w:right w:w="0" w:type="dxa"/>
        </w:tblCellMar>
      </w:tblPr>
      <w:tr>
        <w:trPr>
          <w:trHeight w:val="218"/>
        </w:trPr>
        <w:tc>
          <w:tcPr>
            <w:tcW w:w="4240" w:type="dxa"/>
            <w:vAlign w:val="bottom"/>
          </w:tcPr>
          <w:p>
            <w:pPr>
              <w:spacing w:after="0"/>
              <w:rPr>
                <w:sz w:val="18"/>
                <w:szCs w:val="18"/>
                <w:color w:val="auto"/>
              </w:rPr>
            </w:pPr>
          </w:p>
        </w:tc>
        <w:tc>
          <w:tcPr>
            <w:tcW w:w="2960" w:type="dxa"/>
            <w:vAlign w:val="bottom"/>
            <w:gridSpan w:val="6"/>
          </w:tcPr>
          <w:p>
            <w:pPr>
              <w:ind w:left="180"/>
              <w:spacing w:after="0"/>
              <w:rPr>
                <w:sz w:val="20"/>
                <w:szCs w:val="20"/>
                <w:color w:val="auto"/>
              </w:rPr>
            </w:pPr>
            <w:r>
              <w:rPr>
                <w:rFonts w:ascii="Arial" w:cs="Arial" w:eastAsia="Arial" w:hAnsi="Arial"/>
                <w:sz w:val="17"/>
                <w:szCs w:val="17"/>
                <w:b w:val="1"/>
                <w:bCs w:val="1"/>
                <w:color w:val="auto"/>
                <w:w w:val="95"/>
              </w:rPr>
              <w:t>Three months ended September 30,</w:t>
            </w:r>
          </w:p>
        </w:tc>
        <w:tc>
          <w:tcPr>
            <w:tcW w:w="160" w:type="dxa"/>
            <w:vAlign w:val="bottom"/>
          </w:tcPr>
          <w:p>
            <w:pPr>
              <w:spacing w:after="0"/>
              <w:rPr>
                <w:sz w:val="18"/>
                <w:szCs w:val="18"/>
                <w:color w:val="auto"/>
              </w:rPr>
            </w:pPr>
          </w:p>
        </w:tc>
        <w:tc>
          <w:tcPr>
            <w:tcW w:w="2700" w:type="dxa"/>
            <w:vAlign w:val="bottom"/>
            <w:gridSpan w:val="3"/>
          </w:tcPr>
          <w:p>
            <w:pPr>
              <w:jc w:val="right"/>
              <w:ind w:right="116"/>
              <w:spacing w:after="0"/>
              <w:rPr>
                <w:sz w:val="20"/>
                <w:szCs w:val="20"/>
                <w:color w:val="auto"/>
              </w:rPr>
            </w:pPr>
            <w:r>
              <w:rPr>
                <w:rFonts w:ascii="Arial" w:cs="Arial" w:eastAsia="Arial" w:hAnsi="Arial"/>
                <w:sz w:val="17"/>
                <w:szCs w:val="17"/>
                <w:b w:val="1"/>
                <w:bCs w:val="1"/>
                <w:color w:val="auto"/>
                <w:w w:val="88"/>
              </w:rPr>
              <w:t>Nine months ended September 30,</w:t>
            </w:r>
          </w:p>
        </w:tc>
      </w:tr>
      <w:tr>
        <w:trPr>
          <w:trHeight w:val="26"/>
        </w:trPr>
        <w:tc>
          <w:tcPr>
            <w:tcW w:w="42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0"/>
        </w:trPr>
        <w:tc>
          <w:tcPr>
            <w:tcW w:w="4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2016</w:t>
            </w: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2015</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ind w:right="436"/>
              <w:spacing w:after="0"/>
              <w:rPr>
                <w:sz w:val="20"/>
                <w:szCs w:val="20"/>
                <w:color w:val="auto"/>
              </w:rPr>
            </w:pPr>
            <w:r>
              <w:rPr>
                <w:rFonts w:ascii="Arial" w:cs="Arial" w:eastAsia="Arial" w:hAnsi="Arial"/>
                <w:sz w:val="17"/>
                <w:szCs w:val="17"/>
                <w:b w:val="1"/>
                <w:bCs w:val="1"/>
                <w:color w:val="auto"/>
              </w:rPr>
              <w:t>2016</w:t>
            </w:r>
          </w:p>
        </w:tc>
        <w:tc>
          <w:tcPr>
            <w:tcW w:w="440" w:type="dxa"/>
            <w:vAlign w:val="bottom"/>
          </w:tcPr>
          <w:p>
            <w:pPr>
              <w:spacing w:after="0"/>
              <w:rPr>
                <w:sz w:val="19"/>
                <w:szCs w:val="19"/>
                <w:color w:val="auto"/>
              </w:rPr>
            </w:pPr>
          </w:p>
        </w:tc>
        <w:tc>
          <w:tcPr>
            <w:tcW w:w="1080" w:type="dxa"/>
            <w:vAlign w:val="bottom"/>
          </w:tcPr>
          <w:p>
            <w:pPr>
              <w:jc w:val="right"/>
              <w:ind w:right="436"/>
              <w:spacing w:after="0"/>
              <w:rPr>
                <w:sz w:val="20"/>
                <w:szCs w:val="20"/>
                <w:color w:val="auto"/>
              </w:rPr>
            </w:pPr>
            <w:r>
              <w:rPr>
                <w:rFonts w:ascii="Arial" w:cs="Arial" w:eastAsia="Arial" w:hAnsi="Arial"/>
                <w:sz w:val="17"/>
                <w:szCs w:val="17"/>
                <w:b w:val="1"/>
                <w:bCs w:val="1"/>
                <w:color w:val="auto"/>
              </w:rPr>
              <w:t>2015</w:t>
            </w:r>
          </w:p>
        </w:tc>
      </w:tr>
      <w:tr>
        <w:trPr>
          <w:trHeight w:val="26"/>
        </w:trPr>
        <w:tc>
          <w:tcPr>
            <w:tcW w:w="4240" w:type="dxa"/>
            <w:vAlign w:val="bottom"/>
          </w:tcPr>
          <w:p>
            <w:pPr>
              <w:spacing w:after="0"/>
              <w:rPr>
                <w:sz w:val="2"/>
                <w:szCs w:val="2"/>
                <w:color w:val="auto"/>
              </w:rPr>
            </w:pPr>
          </w:p>
        </w:tc>
        <w:tc>
          <w:tcPr>
            <w:tcW w:w="2380" w:type="dxa"/>
            <w:vAlign w:val="bottom"/>
            <w:tcBorders>
              <w:bottom w:val="single" w:sz="8" w:color="auto"/>
            </w:tcBorders>
            <w:gridSpan w:val="4"/>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gridSpan w:val="3"/>
          </w:tcPr>
          <w:p>
            <w:pPr>
              <w:spacing w:after="0"/>
              <w:rPr>
                <w:sz w:val="2"/>
                <w:szCs w:val="2"/>
                <w:color w:val="auto"/>
              </w:rPr>
            </w:pPr>
          </w:p>
        </w:tc>
      </w:tr>
      <w:tr>
        <w:trPr>
          <w:trHeight w:val="220"/>
        </w:trPr>
        <w:tc>
          <w:tcPr>
            <w:tcW w:w="4240" w:type="dxa"/>
            <w:vAlign w:val="bottom"/>
          </w:tcPr>
          <w:p>
            <w:pPr>
              <w:spacing w:after="0"/>
              <w:rPr>
                <w:sz w:val="19"/>
                <w:szCs w:val="19"/>
                <w:color w:val="auto"/>
              </w:rPr>
            </w:pPr>
          </w:p>
        </w:tc>
        <w:tc>
          <w:tcPr>
            <w:tcW w:w="2380" w:type="dxa"/>
            <w:vAlign w:val="bottom"/>
            <w:gridSpan w:val="4"/>
          </w:tcPr>
          <w:p>
            <w:pPr>
              <w:jc w:val="right"/>
              <w:ind w:right="156"/>
              <w:spacing w:after="0"/>
              <w:rPr>
                <w:sz w:val="20"/>
                <w:szCs w:val="20"/>
                <w:color w:val="auto"/>
              </w:rPr>
            </w:pPr>
            <w:r>
              <w:rPr>
                <w:rFonts w:ascii="Arial" w:cs="Arial" w:eastAsia="Arial" w:hAnsi="Arial"/>
                <w:sz w:val="17"/>
                <w:szCs w:val="17"/>
                <w:b w:val="1"/>
                <w:bCs w:val="1"/>
                <w:color w:val="auto"/>
              </w:rPr>
              <w:t>(dollars in millions)</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700" w:type="dxa"/>
            <w:vAlign w:val="bottom"/>
            <w:gridSpan w:val="3"/>
          </w:tcPr>
          <w:p>
            <w:pPr>
              <w:jc w:val="right"/>
              <w:ind w:right="636"/>
              <w:spacing w:after="0"/>
              <w:rPr>
                <w:sz w:val="20"/>
                <w:szCs w:val="20"/>
                <w:color w:val="auto"/>
              </w:rPr>
            </w:pPr>
            <w:r>
              <w:rPr>
                <w:rFonts w:ascii="Arial" w:cs="Arial" w:eastAsia="Arial" w:hAnsi="Arial"/>
                <w:sz w:val="17"/>
                <w:szCs w:val="17"/>
                <w:b w:val="1"/>
                <w:bCs w:val="1"/>
                <w:color w:val="auto"/>
              </w:rPr>
              <w:t>(dollars in millions)</w:t>
            </w:r>
          </w:p>
        </w:tc>
      </w:tr>
      <w:tr>
        <w:trPr>
          <w:trHeight w:val="26"/>
        </w:trPr>
        <w:tc>
          <w:tcPr>
            <w:tcW w:w="4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3"/>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Revenues, net</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7"/>
                <w:szCs w:val="17"/>
                <w:color w:val="auto"/>
              </w:rPr>
              <w:t>$</w:t>
            </w:r>
          </w:p>
        </w:tc>
        <w:tc>
          <w:tcPr>
            <w:tcW w:w="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w w:val="89"/>
              </w:rPr>
              <w:t>171.2</w:t>
            </w:r>
          </w:p>
        </w:tc>
        <w:tc>
          <w:tcPr>
            <w:tcW w:w="1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616"/>
              <w:spacing w:after="0"/>
              <w:rPr>
                <w:sz w:val="20"/>
                <w:szCs w:val="20"/>
                <w:color w:val="auto"/>
              </w:rPr>
            </w:pPr>
            <w:r>
              <w:rPr>
                <w:rFonts w:ascii="Arial" w:cs="Arial" w:eastAsia="Arial" w:hAnsi="Arial"/>
                <w:sz w:val="17"/>
                <w:szCs w:val="17"/>
                <w:color w:val="auto"/>
                <w:w w:val="84"/>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9"/>
              </w:rPr>
              <w:t>163.5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508.7</w:t>
            </w:r>
          </w:p>
        </w:tc>
        <w:tc>
          <w:tcPr>
            <w:tcW w:w="44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462.6</w:t>
            </w:r>
          </w:p>
        </w:tc>
      </w:tr>
      <w:tr>
        <w:trPr>
          <w:trHeight w:val="227"/>
        </w:trPr>
        <w:tc>
          <w:tcPr>
            <w:tcW w:w="4240" w:type="dxa"/>
            <w:vAlign w:val="bottom"/>
          </w:tcPr>
          <w:p>
            <w:pPr>
              <w:ind w:left="20"/>
              <w:spacing w:after="0"/>
              <w:rPr>
                <w:sz w:val="20"/>
                <w:szCs w:val="20"/>
                <w:color w:val="auto"/>
              </w:rPr>
            </w:pPr>
            <w:r>
              <w:rPr>
                <w:rFonts w:ascii="Arial" w:cs="Arial" w:eastAsia="Arial" w:hAnsi="Arial"/>
                <w:sz w:val="17"/>
                <w:szCs w:val="17"/>
                <w:color w:val="auto"/>
                <w:w w:val="91"/>
              </w:rPr>
              <w:t>Cost of revenues (exclusive of depreciation and amortization)</w:t>
            </w:r>
          </w:p>
        </w:tc>
        <w:tc>
          <w:tcPr>
            <w:tcW w:w="900" w:type="dxa"/>
            <w:vAlign w:val="bottom"/>
          </w:tcPr>
          <w:p>
            <w:pPr>
              <w:spacing w:after="0"/>
              <w:rPr>
                <w:sz w:val="19"/>
                <w:szCs w:val="19"/>
                <w:color w:val="auto"/>
              </w:rPr>
            </w:pPr>
          </w:p>
        </w:tc>
        <w:tc>
          <w:tcPr>
            <w:tcW w:w="500" w:type="dxa"/>
            <w:vAlign w:val="bottom"/>
          </w:tcPr>
          <w:p>
            <w:pPr>
              <w:jc w:val="right"/>
              <w:ind w:right="16"/>
              <w:spacing w:after="0"/>
              <w:rPr>
                <w:sz w:val="20"/>
                <w:szCs w:val="20"/>
                <w:color w:val="auto"/>
              </w:rPr>
            </w:pPr>
            <w:r>
              <w:rPr>
                <w:rFonts w:ascii="Arial" w:cs="Arial" w:eastAsia="Arial" w:hAnsi="Arial"/>
                <w:sz w:val="17"/>
                <w:szCs w:val="17"/>
                <w:color w:val="auto"/>
                <w:w w:val="89"/>
              </w:rPr>
              <w:t>111.8</w:t>
            </w: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w w:val="89"/>
              </w:rPr>
              <w:t>103.2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ind w:right="56"/>
              <w:spacing w:after="0"/>
              <w:rPr>
                <w:sz w:val="20"/>
                <w:szCs w:val="20"/>
                <w:color w:val="auto"/>
              </w:rPr>
            </w:pPr>
            <w:r>
              <w:rPr>
                <w:rFonts w:ascii="Arial" w:cs="Arial" w:eastAsia="Arial" w:hAnsi="Arial"/>
                <w:sz w:val="17"/>
                <w:szCs w:val="17"/>
                <w:color w:val="auto"/>
              </w:rPr>
              <w:t>332.2</w:t>
            </w:r>
          </w:p>
        </w:tc>
        <w:tc>
          <w:tcPr>
            <w:tcW w:w="440" w:type="dxa"/>
            <w:vAlign w:val="bottom"/>
          </w:tcPr>
          <w:p>
            <w:pPr>
              <w:spacing w:after="0"/>
              <w:rPr>
                <w:sz w:val="19"/>
                <w:szCs w:val="19"/>
                <w:color w:val="auto"/>
              </w:rPr>
            </w:pPr>
          </w:p>
        </w:tc>
        <w:tc>
          <w:tcPr>
            <w:tcW w:w="1080" w:type="dxa"/>
            <w:vAlign w:val="bottom"/>
          </w:tcPr>
          <w:p>
            <w:pPr>
              <w:jc w:val="right"/>
              <w:ind w:right="16"/>
              <w:spacing w:after="0"/>
              <w:rPr>
                <w:sz w:val="20"/>
                <w:szCs w:val="20"/>
                <w:color w:val="auto"/>
              </w:rPr>
            </w:pPr>
            <w:r>
              <w:rPr>
                <w:rFonts w:ascii="Arial" w:cs="Arial" w:eastAsia="Arial" w:hAnsi="Arial"/>
                <w:sz w:val="17"/>
                <w:szCs w:val="17"/>
                <w:color w:val="auto"/>
              </w:rPr>
              <w:t>296.8</w:t>
            </w:r>
          </w:p>
        </w:tc>
      </w:tr>
      <w:tr>
        <w:trPr>
          <w:trHeight w:val="26"/>
        </w:trPr>
        <w:tc>
          <w:tcPr>
            <w:tcW w:w="42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5"/>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9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59.4</w:t>
            </w: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176.5</w:t>
            </w:r>
          </w:p>
        </w:tc>
        <w:tc>
          <w:tcPr>
            <w:tcW w:w="4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165.8</w:t>
            </w:r>
          </w:p>
        </w:tc>
      </w:tr>
      <w:tr>
        <w:trPr>
          <w:trHeight w:val="207"/>
        </w:trPr>
        <w:tc>
          <w:tcPr>
            <w:tcW w:w="4240" w:type="dxa"/>
            <w:vAlign w:val="bottom"/>
          </w:tcPr>
          <w:p>
            <w:pPr>
              <w:ind w:left="20"/>
              <w:spacing w:after="0"/>
              <w:rPr>
                <w:sz w:val="20"/>
                <w:szCs w:val="20"/>
                <w:color w:val="auto"/>
              </w:rPr>
            </w:pPr>
            <w:r>
              <w:rPr>
                <w:rFonts w:ascii="Arial" w:cs="Arial" w:eastAsia="Arial" w:hAnsi="Arial"/>
                <w:sz w:val="17"/>
                <w:szCs w:val="17"/>
                <w:color w:val="auto"/>
              </w:rPr>
              <w:t>Operating expenses:</w:t>
            </w:r>
          </w:p>
        </w:tc>
        <w:tc>
          <w:tcPr>
            <w:tcW w:w="90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r>
      <w:tr>
        <w:trPr>
          <w:trHeight w:val="38"/>
        </w:trPr>
        <w:tc>
          <w:tcPr>
            <w:tcW w:w="4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33"/>
        </w:trPr>
        <w:tc>
          <w:tcPr>
            <w:tcW w:w="4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General and administrative expenses</w:t>
            </w:r>
          </w:p>
        </w:tc>
        <w:tc>
          <w:tcPr>
            <w:tcW w:w="9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21.9</w:t>
            </w:r>
          </w:p>
        </w:tc>
        <w:tc>
          <w:tcPr>
            <w:tcW w:w="1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63.6</w:t>
            </w:r>
          </w:p>
        </w:tc>
        <w:tc>
          <w:tcPr>
            <w:tcW w:w="4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57.4</w:t>
            </w:r>
          </w:p>
        </w:tc>
      </w:tr>
      <w:tr>
        <w:trPr>
          <w:trHeight w:val="227"/>
        </w:trPr>
        <w:tc>
          <w:tcPr>
            <w:tcW w:w="4240" w:type="dxa"/>
            <w:vAlign w:val="bottom"/>
          </w:tcPr>
          <w:p>
            <w:pPr>
              <w:ind w:left="360"/>
              <w:spacing w:after="0"/>
              <w:rPr>
                <w:sz w:val="20"/>
                <w:szCs w:val="20"/>
                <w:color w:val="auto"/>
              </w:rPr>
            </w:pPr>
            <w:r>
              <w:rPr>
                <w:rFonts w:ascii="Arial" w:cs="Arial" w:eastAsia="Arial" w:hAnsi="Arial"/>
                <w:sz w:val="17"/>
                <w:szCs w:val="17"/>
                <w:color w:val="auto"/>
              </w:rPr>
              <w:t>Selling and marketing expenses</w:t>
            </w:r>
          </w:p>
        </w:tc>
        <w:tc>
          <w:tcPr>
            <w:tcW w:w="900" w:type="dxa"/>
            <w:vAlign w:val="bottom"/>
          </w:tcPr>
          <w:p>
            <w:pPr>
              <w:spacing w:after="0"/>
              <w:rPr>
                <w:sz w:val="19"/>
                <w:szCs w:val="19"/>
                <w:color w:val="auto"/>
              </w:rPr>
            </w:pPr>
          </w:p>
        </w:tc>
        <w:tc>
          <w:tcPr>
            <w:tcW w:w="500" w:type="dxa"/>
            <w:vAlign w:val="bottom"/>
          </w:tcPr>
          <w:p>
            <w:pPr>
              <w:jc w:val="right"/>
              <w:ind w:right="16"/>
              <w:spacing w:after="0"/>
              <w:rPr>
                <w:sz w:val="20"/>
                <w:szCs w:val="20"/>
                <w:color w:val="auto"/>
              </w:rPr>
            </w:pPr>
            <w:r>
              <w:rPr>
                <w:rFonts w:ascii="Arial" w:cs="Arial" w:eastAsia="Arial" w:hAnsi="Arial"/>
                <w:sz w:val="17"/>
                <w:szCs w:val="17"/>
                <w:color w:val="auto"/>
              </w:rPr>
              <w:t>11.6</w:t>
            </w: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12.7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ind w:right="56"/>
              <w:spacing w:after="0"/>
              <w:rPr>
                <w:sz w:val="20"/>
                <w:szCs w:val="20"/>
                <w:color w:val="auto"/>
              </w:rPr>
            </w:pPr>
            <w:r>
              <w:rPr>
                <w:rFonts w:ascii="Arial" w:cs="Arial" w:eastAsia="Arial" w:hAnsi="Arial"/>
                <w:sz w:val="17"/>
                <w:szCs w:val="17"/>
                <w:color w:val="auto"/>
              </w:rPr>
              <w:t>37.9</w:t>
            </w:r>
          </w:p>
        </w:tc>
        <w:tc>
          <w:tcPr>
            <w:tcW w:w="440" w:type="dxa"/>
            <w:vAlign w:val="bottom"/>
          </w:tcPr>
          <w:p>
            <w:pPr>
              <w:spacing w:after="0"/>
              <w:rPr>
                <w:sz w:val="19"/>
                <w:szCs w:val="19"/>
                <w:color w:val="auto"/>
              </w:rPr>
            </w:pPr>
          </w:p>
        </w:tc>
        <w:tc>
          <w:tcPr>
            <w:tcW w:w="1080" w:type="dxa"/>
            <w:vAlign w:val="bottom"/>
          </w:tcPr>
          <w:p>
            <w:pPr>
              <w:jc w:val="right"/>
              <w:ind w:right="16"/>
              <w:spacing w:after="0"/>
              <w:rPr>
                <w:sz w:val="20"/>
                <w:szCs w:val="20"/>
                <w:color w:val="auto"/>
              </w:rPr>
            </w:pPr>
            <w:r>
              <w:rPr>
                <w:rFonts w:ascii="Arial" w:cs="Arial" w:eastAsia="Arial" w:hAnsi="Arial"/>
                <w:sz w:val="17"/>
                <w:szCs w:val="17"/>
                <w:color w:val="auto"/>
              </w:rPr>
              <w:t>35.7</w:t>
            </w:r>
          </w:p>
        </w:tc>
      </w:tr>
      <w:tr>
        <w:trPr>
          <w:trHeight w:val="26"/>
        </w:trPr>
        <w:tc>
          <w:tcPr>
            <w:tcW w:w="4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3"/>
        </w:trPr>
        <w:tc>
          <w:tcPr>
            <w:tcW w:w="4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Depreciation and amortization</w:t>
            </w:r>
          </w:p>
        </w:tc>
        <w:tc>
          <w:tcPr>
            <w:tcW w:w="9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8.6</w:t>
            </w: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25.0</w:t>
            </w:r>
          </w:p>
        </w:tc>
        <w:tc>
          <w:tcPr>
            <w:tcW w:w="4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23.2</w:t>
            </w:r>
          </w:p>
        </w:tc>
      </w:tr>
      <w:tr>
        <w:trPr>
          <w:trHeight w:val="220"/>
        </w:trPr>
        <w:tc>
          <w:tcPr>
            <w:tcW w:w="4240" w:type="dxa"/>
            <w:vAlign w:val="bottom"/>
          </w:tcPr>
          <w:p>
            <w:pPr>
              <w:ind w:left="20"/>
              <w:spacing w:after="0"/>
              <w:rPr>
                <w:sz w:val="20"/>
                <w:szCs w:val="20"/>
                <w:color w:val="auto"/>
              </w:rPr>
            </w:pPr>
            <w:r>
              <w:rPr>
                <w:rFonts w:ascii="Arial" w:cs="Arial" w:eastAsia="Arial" w:hAnsi="Arial"/>
                <w:sz w:val="17"/>
                <w:szCs w:val="17"/>
                <w:color w:val="auto"/>
              </w:rPr>
              <w:t>Total operating expenses</w:t>
            </w:r>
          </w:p>
        </w:tc>
        <w:tc>
          <w:tcPr>
            <w:tcW w:w="9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42.1</w:t>
            </w:r>
          </w:p>
        </w:tc>
        <w:tc>
          <w:tcPr>
            <w:tcW w:w="18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39.5</w:t>
            </w:r>
          </w:p>
        </w:tc>
        <w:tc>
          <w:tcPr>
            <w:tcW w:w="1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56"/>
              <w:spacing w:after="0"/>
              <w:rPr>
                <w:sz w:val="20"/>
                <w:szCs w:val="20"/>
                <w:color w:val="auto"/>
              </w:rPr>
            </w:pPr>
            <w:r>
              <w:rPr>
                <w:rFonts w:ascii="Arial" w:cs="Arial" w:eastAsia="Arial" w:hAnsi="Arial"/>
                <w:sz w:val="17"/>
                <w:szCs w:val="17"/>
                <w:color w:val="auto"/>
              </w:rPr>
              <w:t>126.5</w:t>
            </w:r>
          </w:p>
        </w:tc>
        <w:tc>
          <w:tcPr>
            <w:tcW w:w="4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116.3</w:t>
            </w:r>
          </w:p>
        </w:tc>
      </w:tr>
      <w:tr>
        <w:trPr>
          <w:trHeight w:val="26"/>
        </w:trPr>
        <w:tc>
          <w:tcPr>
            <w:tcW w:w="42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5"/>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Income from operations</w:t>
            </w:r>
          </w:p>
        </w:tc>
        <w:tc>
          <w:tcPr>
            <w:tcW w:w="9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17.3</w:t>
            </w:r>
          </w:p>
        </w:tc>
        <w:tc>
          <w:tcPr>
            <w:tcW w:w="1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20.8</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50.0</w:t>
            </w:r>
          </w:p>
        </w:tc>
        <w:tc>
          <w:tcPr>
            <w:tcW w:w="4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49.5</w:t>
            </w:r>
          </w:p>
        </w:tc>
      </w:tr>
      <w:tr>
        <w:trPr>
          <w:trHeight w:val="227"/>
        </w:trPr>
        <w:tc>
          <w:tcPr>
            <w:tcW w:w="4240" w:type="dxa"/>
            <w:vAlign w:val="bottom"/>
          </w:tcPr>
          <w:p>
            <w:pPr>
              <w:ind w:left="20"/>
              <w:spacing w:after="0"/>
              <w:rPr>
                <w:sz w:val="20"/>
                <w:szCs w:val="20"/>
                <w:color w:val="auto"/>
              </w:rPr>
            </w:pPr>
            <w:r>
              <w:rPr>
                <w:rFonts w:ascii="Arial" w:cs="Arial" w:eastAsia="Arial" w:hAnsi="Arial"/>
                <w:sz w:val="17"/>
                <w:szCs w:val="17"/>
                <w:color w:val="auto"/>
              </w:rPr>
              <w:t>Foreign exchange gain</w:t>
            </w:r>
          </w:p>
        </w:tc>
        <w:tc>
          <w:tcPr>
            <w:tcW w:w="900" w:type="dxa"/>
            <w:vAlign w:val="bottom"/>
          </w:tcPr>
          <w:p>
            <w:pPr>
              <w:spacing w:after="0"/>
              <w:rPr>
                <w:sz w:val="19"/>
                <w:szCs w:val="19"/>
                <w:color w:val="auto"/>
              </w:rPr>
            </w:pPr>
          </w:p>
        </w:tc>
        <w:tc>
          <w:tcPr>
            <w:tcW w:w="500" w:type="dxa"/>
            <w:vAlign w:val="bottom"/>
          </w:tcPr>
          <w:p>
            <w:pPr>
              <w:jc w:val="right"/>
              <w:ind w:right="16"/>
              <w:spacing w:after="0"/>
              <w:rPr>
                <w:sz w:val="20"/>
                <w:szCs w:val="20"/>
                <w:color w:val="auto"/>
              </w:rPr>
            </w:pPr>
            <w:r>
              <w:rPr>
                <w:rFonts w:ascii="Arial" w:cs="Arial" w:eastAsia="Arial" w:hAnsi="Arial"/>
                <w:sz w:val="17"/>
                <w:szCs w:val="17"/>
                <w:color w:val="auto"/>
              </w:rPr>
              <w:t>1.7</w:t>
            </w: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0.2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ind w:right="56"/>
              <w:spacing w:after="0"/>
              <w:rPr>
                <w:sz w:val="20"/>
                <w:szCs w:val="20"/>
                <w:color w:val="auto"/>
              </w:rPr>
            </w:pPr>
            <w:r>
              <w:rPr>
                <w:rFonts w:ascii="Arial" w:cs="Arial" w:eastAsia="Arial" w:hAnsi="Arial"/>
                <w:sz w:val="17"/>
                <w:szCs w:val="17"/>
                <w:color w:val="auto"/>
              </w:rPr>
              <w:t>3.6</w:t>
            </w:r>
          </w:p>
        </w:tc>
        <w:tc>
          <w:tcPr>
            <w:tcW w:w="440" w:type="dxa"/>
            <w:vAlign w:val="bottom"/>
          </w:tcPr>
          <w:p>
            <w:pPr>
              <w:spacing w:after="0"/>
              <w:rPr>
                <w:sz w:val="19"/>
                <w:szCs w:val="19"/>
                <w:color w:val="auto"/>
              </w:rPr>
            </w:pPr>
          </w:p>
        </w:tc>
        <w:tc>
          <w:tcPr>
            <w:tcW w:w="1080" w:type="dxa"/>
            <w:vAlign w:val="bottom"/>
          </w:tcPr>
          <w:p>
            <w:pPr>
              <w:jc w:val="right"/>
              <w:ind w:right="16"/>
              <w:spacing w:after="0"/>
              <w:rPr>
                <w:sz w:val="20"/>
                <w:szCs w:val="20"/>
                <w:color w:val="auto"/>
              </w:rPr>
            </w:pPr>
            <w:r>
              <w:rPr>
                <w:rFonts w:ascii="Arial" w:cs="Arial" w:eastAsia="Arial" w:hAnsi="Arial"/>
                <w:sz w:val="17"/>
                <w:szCs w:val="17"/>
                <w:color w:val="auto"/>
              </w:rPr>
              <w:t>2.3</w:t>
            </w:r>
          </w:p>
        </w:tc>
      </w:tr>
      <w:tr>
        <w:trPr>
          <w:trHeight w:val="26"/>
        </w:trPr>
        <w:tc>
          <w:tcPr>
            <w:tcW w:w="4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3"/>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income, net</w:t>
            </w:r>
          </w:p>
        </w:tc>
        <w:tc>
          <w:tcPr>
            <w:tcW w:w="9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2.6</w:t>
            </w: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11.2</w:t>
            </w:r>
          </w:p>
        </w:tc>
        <w:tc>
          <w:tcPr>
            <w:tcW w:w="4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4.3</w:t>
            </w:r>
          </w:p>
        </w:tc>
      </w:tr>
      <w:tr>
        <w:trPr>
          <w:trHeight w:val="220"/>
        </w:trPr>
        <w:tc>
          <w:tcPr>
            <w:tcW w:w="4240" w:type="dxa"/>
            <w:vAlign w:val="bottom"/>
          </w:tcPr>
          <w:p>
            <w:pPr>
              <w:ind w:left="20"/>
              <w:spacing w:after="0"/>
              <w:rPr>
                <w:sz w:val="20"/>
                <w:szCs w:val="20"/>
                <w:color w:val="auto"/>
              </w:rPr>
            </w:pPr>
            <w:r>
              <w:rPr>
                <w:rFonts w:ascii="Arial" w:cs="Arial" w:eastAsia="Arial" w:hAnsi="Arial"/>
                <w:sz w:val="17"/>
                <w:szCs w:val="17"/>
                <w:color w:val="auto"/>
              </w:rPr>
              <w:t>Income before income taxes</w:t>
            </w:r>
          </w:p>
        </w:tc>
        <w:tc>
          <w:tcPr>
            <w:tcW w:w="9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21.6</w:t>
            </w:r>
          </w:p>
        </w:tc>
        <w:tc>
          <w:tcPr>
            <w:tcW w:w="18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22.8</w:t>
            </w:r>
          </w:p>
        </w:tc>
        <w:tc>
          <w:tcPr>
            <w:tcW w:w="1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56"/>
              <w:spacing w:after="0"/>
              <w:rPr>
                <w:sz w:val="20"/>
                <w:szCs w:val="20"/>
                <w:color w:val="auto"/>
              </w:rPr>
            </w:pPr>
            <w:r>
              <w:rPr>
                <w:rFonts w:ascii="Arial" w:cs="Arial" w:eastAsia="Arial" w:hAnsi="Arial"/>
                <w:sz w:val="17"/>
                <w:szCs w:val="17"/>
                <w:color w:val="auto"/>
              </w:rPr>
              <w:t>64.8</w:t>
            </w:r>
          </w:p>
        </w:tc>
        <w:tc>
          <w:tcPr>
            <w:tcW w:w="4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56.1</w:t>
            </w:r>
          </w:p>
        </w:tc>
      </w:tr>
      <w:tr>
        <w:trPr>
          <w:trHeight w:val="26"/>
        </w:trPr>
        <w:tc>
          <w:tcPr>
            <w:tcW w:w="4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3"/>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Income tax expense</w:t>
            </w:r>
          </w:p>
        </w:tc>
        <w:tc>
          <w:tcPr>
            <w:tcW w:w="9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5.6</w:t>
            </w: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18.5</w:t>
            </w:r>
          </w:p>
        </w:tc>
        <w:tc>
          <w:tcPr>
            <w:tcW w:w="4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19.3</w:t>
            </w:r>
          </w:p>
        </w:tc>
      </w:tr>
      <w:tr>
        <w:trPr>
          <w:trHeight w:val="220"/>
        </w:trPr>
        <w:tc>
          <w:tcPr>
            <w:tcW w:w="4240" w:type="dxa"/>
            <w:vAlign w:val="bottom"/>
          </w:tcPr>
          <w:p>
            <w:pPr>
              <w:ind w:left="20"/>
              <w:spacing w:after="0"/>
              <w:rPr>
                <w:sz w:val="20"/>
                <w:szCs w:val="20"/>
                <w:color w:val="auto"/>
              </w:rPr>
            </w:pPr>
            <w:r>
              <w:rPr>
                <w:rFonts w:ascii="Arial" w:cs="Arial" w:eastAsia="Arial" w:hAnsi="Arial"/>
                <w:sz w:val="17"/>
                <w:szCs w:val="17"/>
                <w:color w:val="auto"/>
              </w:rPr>
              <w:t>Net income</w:t>
            </w:r>
          </w:p>
        </w:tc>
        <w:tc>
          <w:tcPr>
            <w:tcW w:w="900" w:type="dxa"/>
            <w:vAlign w:val="bottom"/>
            <w:tcBorders>
              <w:top w:val="single" w:sz="8" w:color="auto"/>
            </w:tcBorders>
          </w:tcPr>
          <w:p>
            <w:pPr>
              <w:jc w:val="right"/>
              <w:ind w:right="696"/>
              <w:spacing w:after="0"/>
              <w:rPr>
                <w:sz w:val="20"/>
                <w:szCs w:val="20"/>
                <w:color w:val="auto"/>
              </w:rPr>
            </w:pPr>
            <w:r>
              <w:rPr>
                <w:rFonts w:ascii="Arial" w:cs="Arial" w:eastAsia="Arial" w:hAnsi="Arial"/>
                <w:sz w:val="17"/>
                <w:szCs w:val="17"/>
                <w:color w:val="auto"/>
              </w:rPr>
              <w:t>$</w:t>
            </w:r>
          </w:p>
        </w:tc>
        <w:tc>
          <w:tcPr>
            <w:tcW w:w="50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16.0</w:t>
            </w:r>
          </w:p>
        </w:tc>
        <w:tc>
          <w:tcPr>
            <w:tcW w:w="180" w:type="dxa"/>
            <w:vAlign w:val="bottom"/>
          </w:tcPr>
          <w:p>
            <w:pPr>
              <w:spacing w:after="0"/>
              <w:rPr>
                <w:sz w:val="19"/>
                <w:szCs w:val="19"/>
                <w:color w:val="auto"/>
              </w:rPr>
            </w:pPr>
          </w:p>
        </w:tc>
        <w:tc>
          <w:tcPr>
            <w:tcW w:w="800" w:type="dxa"/>
            <w:vAlign w:val="bottom"/>
            <w:tcBorders>
              <w:top w:val="single" w:sz="8" w:color="auto"/>
            </w:tcBorders>
          </w:tcPr>
          <w:p>
            <w:pPr>
              <w:jc w:val="right"/>
              <w:ind w:right="616"/>
              <w:spacing w:after="0"/>
              <w:rPr>
                <w:sz w:val="20"/>
                <w:szCs w:val="20"/>
                <w:color w:val="auto"/>
              </w:rPr>
            </w:pPr>
            <w:r>
              <w:rPr>
                <w:rFonts w:ascii="Arial" w:cs="Arial" w:eastAsia="Arial" w:hAnsi="Arial"/>
                <w:sz w:val="17"/>
                <w:szCs w:val="17"/>
                <w:color w:val="auto"/>
                <w:w w:val="84"/>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15.2</w:t>
            </w:r>
          </w:p>
        </w:tc>
        <w:tc>
          <w:tcPr>
            <w:tcW w:w="1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top w:val="single" w:sz="8" w:color="auto"/>
            </w:tcBorders>
          </w:tcPr>
          <w:p>
            <w:pPr>
              <w:jc w:val="right"/>
              <w:ind w:right="56"/>
              <w:spacing w:after="0"/>
              <w:rPr>
                <w:sz w:val="20"/>
                <w:szCs w:val="20"/>
                <w:color w:val="auto"/>
              </w:rPr>
            </w:pPr>
            <w:r>
              <w:rPr>
                <w:rFonts w:ascii="Arial" w:cs="Arial" w:eastAsia="Arial" w:hAnsi="Arial"/>
                <w:sz w:val="17"/>
                <w:szCs w:val="17"/>
                <w:color w:val="auto"/>
              </w:rPr>
              <w:t>46.3</w:t>
            </w:r>
          </w:p>
        </w:tc>
        <w:tc>
          <w:tcPr>
            <w:tcW w:w="440" w:type="dxa"/>
            <w:vAlign w:val="bottom"/>
            <w:tcBorders>
              <w:top w:val="single" w:sz="8" w:color="auto"/>
            </w:tcBorders>
          </w:tcPr>
          <w:p>
            <w:pPr>
              <w:jc w:val="right"/>
              <w:ind w:right="116"/>
              <w:spacing w:after="0"/>
              <w:rPr>
                <w:sz w:val="20"/>
                <w:szCs w:val="20"/>
                <w:color w:val="auto"/>
              </w:rPr>
            </w:pPr>
            <w:r>
              <w:rPr>
                <w:rFonts w:ascii="Arial" w:cs="Arial" w:eastAsia="Arial" w:hAnsi="Arial"/>
                <w:sz w:val="17"/>
                <w:szCs w:val="17"/>
                <w:color w:val="auto"/>
              </w:rPr>
              <w:t>$</w:t>
            </w:r>
          </w:p>
        </w:tc>
        <w:tc>
          <w:tcPr>
            <w:tcW w:w="108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36.8</w:t>
            </w:r>
          </w:p>
        </w:tc>
      </w:tr>
      <w:tr>
        <w:trPr>
          <w:trHeight w:val="26"/>
        </w:trPr>
        <w:tc>
          <w:tcPr>
            <w:tcW w:w="42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4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407"/>
        </w:trPr>
        <w:tc>
          <w:tcPr>
            <w:tcW w:w="4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jc w:val="right"/>
              <w:ind w:right="216"/>
              <w:spacing w:after="0"/>
              <w:rPr>
                <w:sz w:val="20"/>
                <w:szCs w:val="20"/>
                <w:color w:val="auto"/>
              </w:rPr>
            </w:pPr>
            <w:r>
              <w:rPr>
                <w:rFonts w:ascii="Arial" w:cs="Arial" w:eastAsia="Arial" w:hAnsi="Arial"/>
                <w:sz w:val="17"/>
                <w:szCs w:val="17"/>
                <w:color w:val="auto"/>
                <w:w w:val="94"/>
              </w:rPr>
              <w:t>30</w:t>
            </w: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0520"/>
          </w:cols>
          <w:pgMar w:left="240" w:top="325" w:right="1139" w:bottom="1440" w:gutter="0" w:footer="0" w:header="0"/>
        </w:sectPr>
      </w:pPr>
    </w:p>
    <w:bookmarkStart w:id="30" w:name="page31"/>
    <w:bookmarkEnd w:id="30"/>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33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Three Months Ended September 30, 2016 Compared to Three Months Ended September 30, 2015</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Revenues.</w:t>
      </w:r>
    </w:p>
    <w:p>
      <w:pPr>
        <w:spacing w:after="0" w:line="256" w:lineRule="exact"/>
        <w:rPr>
          <w:sz w:val="20"/>
          <w:szCs w:val="20"/>
          <w:color w:val="auto"/>
        </w:rPr>
      </w:pPr>
    </w:p>
    <w:tbl>
      <w:tblPr>
        <w:tblLayout w:type="fixed"/>
        <w:tblInd w:w="300" w:type="dxa"/>
        <w:tblCellMar>
          <w:top w:w="0" w:type="dxa"/>
          <w:left w:w="0" w:type="dxa"/>
          <w:bottom w:w="0" w:type="dxa"/>
          <w:right w:w="0" w:type="dxa"/>
        </w:tblCellMar>
      </w:tblPr>
      <w:tr>
        <w:trPr>
          <w:trHeight w:val="218"/>
        </w:trPr>
        <w:tc>
          <w:tcPr>
            <w:tcW w:w="4340" w:type="dxa"/>
            <w:vAlign w:val="bottom"/>
          </w:tcPr>
          <w:p>
            <w:pPr>
              <w:spacing w:after="0"/>
              <w:rPr>
                <w:sz w:val="18"/>
                <w:szCs w:val="18"/>
                <w:color w:val="auto"/>
              </w:rPr>
            </w:pPr>
          </w:p>
        </w:tc>
        <w:tc>
          <w:tcPr>
            <w:tcW w:w="3040" w:type="dxa"/>
            <w:vAlign w:val="bottom"/>
            <w:gridSpan w:val="6"/>
          </w:tcPr>
          <w:p>
            <w:pPr>
              <w:ind w:left="220"/>
              <w:spacing w:after="0"/>
              <w:rPr>
                <w:sz w:val="20"/>
                <w:szCs w:val="20"/>
                <w:color w:val="auto"/>
              </w:rPr>
            </w:pPr>
            <w:r>
              <w:rPr>
                <w:rFonts w:ascii="Arial" w:cs="Arial" w:eastAsia="Arial" w:hAnsi="Arial"/>
                <w:sz w:val="17"/>
                <w:szCs w:val="17"/>
                <w:b w:val="1"/>
                <w:bCs w:val="1"/>
                <w:color w:val="auto"/>
                <w:w w:val="97"/>
              </w:rPr>
              <w:t>Three months ended September 30,</w:t>
            </w: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vMerge w:val="restart"/>
          </w:tcPr>
          <w:p>
            <w:pPr>
              <w:jc w:val="right"/>
              <w:ind w:right="216"/>
              <w:spacing w:after="0"/>
              <w:rPr>
                <w:sz w:val="20"/>
                <w:szCs w:val="20"/>
                <w:color w:val="auto"/>
              </w:rPr>
            </w:pPr>
            <w:r>
              <w:rPr>
                <w:rFonts w:ascii="Arial" w:cs="Arial" w:eastAsia="Arial" w:hAnsi="Arial"/>
                <w:sz w:val="17"/>
                <w:szCs w:val="17"/>
                <w:b w:val="1"/>
                <w:bCs w:val="1"/>
                <w:color w:val="auto"/>
              </w:rPr>
              <w:t>Percentage</w:t>
            </w:r>
          </w:p>
        </w:tc>
        <w:tc>
          <w:tcPr>
            <w:tcW w:w="0" w:type="dxa"/>
            <w:vAlign w:val="bottom"/>
          </w:tcPr>
          <w:p>
            <w:pPr>
              <w:spacing w:after="0"/>
              <w:rPr>
                <w:sz w:val="1"/>
                <w:szCs w:val="1"/>
                <w:color w:val="auto"/>
              </w:rPr>
            </w:pPr>
          </w:p>
        </w:tc>
      </w:tr>
      <w:tr>
        <w:trPr>
          <w:trHeight w:val="26"/>
        </w:trPr>
        <w:tc>
          <w:tcPr>
            <w:tcW w:w="43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4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2016</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2015</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ind w:left="140"/>
              <w:spacing w:after="0"/>
              <w:rPr>
                <w:sz w:val="20"/>
                <w:szCs w:val="20"/>
                <w:color w:val="auto"/>
              </w:rPr>
            </w:pPr>
            <w:r>
              <w:rPr>
                <w:rFonts w:ascii="Arial" w:cs="Arial" w:eastAsia="Arial" w:hAnsi="Arial"/>
                <w:sz w:val="17"/>
                <w:szCs w:val="17"/>
                <w:b w:val="1"/>
                <w:bCs w:val="1"/>
                <w:color w:val="auto"/>
              </w:rPr>
              <w:t>Change</w:t>
            </w:r>
          </w:p>
        </w:tc>
        <w:tc>
          <w:tcPr>
            <w:tcW w:w="1380" w:type="dxa"/>
            <w:vAlign w:val="bottom"/>
          </w:tcPr>
          <w:p>
            <w:pPr>
              <w:jc w:val="right"/>
              <w:ind w:right="356"/>
              <w:spacing w:after="0"/>
              <w:rPr>
                <w:sz w:val="20"/>
                <w:szCs w:val="20"/>
                <w:color w:val="auto"/>
              </w:rPr>
            </w:pPr>
            <w:r>
              <w:rPr>
                <w:rFonts w:ascii="Arial" w:cs="Arial" w:eastAsia="Arial" w:hAnsi="Arial"/>
                <w:sz w:val="17"/>
                <w:szCs w:val="17"/>
                <w:b w:val="1"/>
                <w:bCs w:val="1"/>
                <w:color w:val="auto"/>
              </w:rPr>
              <w:t>change</w:t>
            </w:r>
          </w:p>
        </w:tc>
        <w:tc>
          <w:tcPr>
            <w:tcW w:w="0" w:type="dxa"/>
            <w:vAlign w:val="bottom"/>
          </w:tcPr>
          <w:p>
            <w:pPr>
              <w:spacing w:after="0"/>
              <w:rPr>
                <w:sz w:val="1"/>
                <w:szCs w:val="1"/>
                <w:color w:val="auto"/>
              </w:rPr>
            </w:pPr>
          </w:p>
        </w:tc>
      </w:tr>
      <w:tr>
        <w:trPr>
          <w:trHeight w:val="26"/>
        </w:trPr>
        <w:tc>
          <w:tcPr>
            <w:tcW w:w="4340" w:type="dxa"/>
            <w:vAlign w:val="bottom"/>
          </w:tcPr>
          <w:p>
            <w:pPr>
              <w:spacing w:after="0"/>
              <w:rPr>
                <w:sz w:val="2"/>
                <w:szCs w:val="2"/>
                <w:color w:val="auto"/>
              </w:rPr>
            </w:pPr>
          </w:p>
        </w:tc>
        <w:tc>
          <w:tcPr>
            <w:tcW w:w="2460" w:type="dxa"/>
            <w:vAlign w:val="bottom"/>
            <w:tcBorders>
              <w:bottom w:val="single" w:sz="8" w:color="auto"/>
            </w:tcBorders>
            <w:gridSpan w:val="4"/>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4340" w:type="dxa"/>
            <w:vAlign w:val="bottom"/>
          </w:tcPr>
          <w:p>
            <w:pPr>
              <w:spacing w:after="0"/>
              <w:rPr>
                <w:sz w:val="19"/>
                <w:szCs w:val="19"/>
                <w:color w:val="auto"/>
              </w:rPr>
            </w:pPr>
          </w:p>
        </w:tc>
        <w:tc>
          <w:tcPr>
            <w:tcW w:w="2460" w:type="dxa"/>
            <w:vAlign w:val="bottom"/>
            <w:gridSpan w:val="4"/>
          </w:tcPr>
          <w:p>
            <w:pPr>
              <w:jc w:val="right"/>
              <w:ind w:right="196"/>
              <w:spacing w:after="0"/>
              <w:rPr>
                <w:sz w:val="20"/>
                <w:szCs w:val="20"/>
                <w:color w:val="auto"/>
              </w:rPr>
            </w:pPr>
            <w:r>
              <w:rPr>
                <w:rFonts w:ascii="Arial" w:cs="Arial" w:eastAsia="Arial" w:hAnsi="Arial"/>
                <w:sz w:val="17"/>
                <w:szCs w:val="17"/>
                <w:b w:val="1"/>
                <w:bCs w:val="1"/>
                <w:color w:val="auto"/>
              </w:rPr>
              <w:t>(dollars in millions)</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4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Operations Management</w:t>
            </w:r>
          </w:p>
        </w:tc>
        <w:tc>
          <w:tcPr>
            <w:tcW w:w="980" w:type="dxa"/>
            <w:vAlign w:val="bottom"/>
            <w:tcBorders>
              <w:bottom w:val="single" w:sz="8" w:color="CCEEFF"/>
            </w:tcBorders>
            <w:shd w:val="clear" w:color="auto" w:fill="CCEEFF"/>
          </w:tcPr>
          <w:p>
            <w:pPr>
              <w:jc w:val="right"/>
              <w:ind w:right="796"/>
              <w:spacing w:after="0"/>
              <w:rPr>
                <w:sz w:val="20"/>
                <w:szCs w:val="20"/>
                <w:color w:val="auto"/>
              </w:rPr>
            </w:pPr>
            <w:r>
              <w:rPr>
                <w:rFonts w:ascii="Arial" w:cs="Arial" w:eastAsia="Arial" w:hAnsi="Arial"/>
                <w:sz w:val="17"/>
                <w:szCs w:val="17"/>
                <w:color w:val="auto"/>
                <w:w w:val="84"/>
              </w:rPr>
              <w:t>$</w:t>
            </w:r>
          </w:p>
        </w:tc>
        <w:tc>
          <w:tcPr>
            <w:tcW w:w="5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w w:val="98"/>
              </w:rPr>
              <w:t>129.6</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7"/>
                <w:szCs w:val="17"/>
                <w:color w:val="auto"/>
                <w:w w:val="84"/>
              </w:rPr>
              <w:t>$</w:t>
            </w:r>
          </w:p>
        </w:tc>
        <w:tc>
          <w:tcPr>
            <w:tcW w:w="4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w w:val="84"/>
              </w:rPr>
              <w:t>128.0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1.6</w:t>
            </w:r>
          </w:p>
        </w:tc>
        <w:tc>
          <w:tcPr>
            <w:tcW w:w="1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27"/>
        </w:trPr>
        <w:tc>
          <w:tcPr>
            <w:tcW w:w="4340" w:type="dxa"/>
            <w:vAlign w:val="bottom"/>
          </w:tcPr>
          <w:p>
            <w:pPr>
              <w:ind w:left="20"/>
              <w:spacing w:after="0"/>
              <w:rPr>
                <w:sz w:val="20"/>
                <w:szCs w:val="20"/>
                <w:color w:val="auto"/>
              </w:rPr>
            </w:pPr>
            <w:r>
              <w:rPr>
                <w:rFonts w:ascii="Arial" w:cs="Arial" w:eastAsia="Arial" w:hAnsi="Arial"/>
                <w:sz w:val="17"/>
                <w:szCs w:val="17"/>
                <w:color w:val="auto"/>
              </w:rPr>
              <w:t>Analytics</w:t>
            </w:r>
          </w:p>
        </w:tc>
        <w:tc>
          <w:tcPr>
            <w:tcW w:w="980" w:type="dxa"/>
            <w:vAlign w:val="bottom"/>
          </w:tcPr>
          <w:p>
            <w:pPr>
              <w:spacing w:after="0"/>
              <w:rPr>
                <w:sz w:val="19"/>
                <w:szCs w:val="19"/>
                <w:color w:val="auto"/>
              </w:rPr>
            </w:pPr>
          </w:p>
        </w:tc>
        <w:tc>
          <w:tcPr>
            <w:tcW w:w="540" w:type="dxa"/>
            <w:vAlign w:val="bottom"/>
          </w:tcPr>
          <w:p>
            <w:pPr>
              <w:jc w:val="right"/>
              <w:ind w:right="16"/>
              <w:spacing w:after="0"/>
              <w:rPr>
                <w:sz w:val="20"/>
                <w:szCs w:val="20"/>
                <w:color w:val="auto"/>
              </w:rPr>
            </w:pPr>
            <w:r>
              <w:rPr>
                <w:rFonts w:ascii="Arial" w:cs="Arial" w:eastAsia="Arial" w:hAnsi="Arial"/>
                <w:sz w:val="17"/>
                <w:szCs w:val="17"/>
                <w:color w:val="auto"/>
              </w:rPr>
              <w:t>41.6</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jc w:val="right"/>
              <w:ind w:right="16"/>
              <w:spacing w:after="0"/>
              <w:rPr>
                <w:sz w:val="20"/>
                <w:szCs w:val="20"/>
                <w:color w:val="auto"/>
              </w:rPr>
            </w:pPr>
            <w:r>
              <w:rPr>
                <w:rFonts w:ascii="Arial" w:cs="Arial" w:eastAsia="Arial" w:hAnsi="Arial"/>
                <w:sz w:val="17"/>
                <w:szCs w:val="17"/>
                <w:color w:val="auto"/>
              </w:rPr>
              <w:t>35.5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16"/>
              <w:spacing w:after="0"/>
              <w:rPr>
                <w:sz w:val="20"/>
                <w:szCs w:val="20"/>
                <w:color w:val="auto"/>
              </w:rPr>
            </w:pPr>
            <w:r>
              <w:rPr>
                <w:rFonts w:ascii="Arial" w:cs="Arial" w:eastAsia="Arial" w:hAnsi="Arial"/>
                <w:sz w:val="17"/>
                <w:szCs w:val="17"/>
                <w:color w:val="auto"/>
              </w:rPr>
              <w:t>6.1</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17.4%</w:t>
            </w:r>
          </w:p>
        </w:tc>
        <w:tc>
          <w:tcPr>
            <w:tcW w:w="0" w:type="dxa"/>
            <w:vAlign w:val="bottom"/>
          </w:tcPr>
          <w:p>
            <w:pPr>
              <w:spacing w:after="0"/>
              <w:rPr>
                <w:sz w:val="1"/>
                <w:szCs w:val="1"/>
                <w:color w:val="auto"/>
              </w:rPr>
            </w:pPr>
          </w:p>
        </w:tc>
      </w:tr>
      <w:tr>
        <w:trPr>
          <w:trHeight w:val="26"/>
        </w:trPr>
        <w:tc>
          <w:tcPr>
            <w:tcW w:w="43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revenues, net</w:t>
            </w:r>
          </w:p>
        </w:tc>
        <w:tc>
          <w:tcPr>
            <w:tcW w:w="980" w:type="dxa"/>
            <w:vAlign w:val="bottom"/>
            <w:tcBorders>
              <w:bottom w:val="single" w:sz="8" w:color="CCEEFF"/>
            </w:tcBorders>
            <w:shd w:val="clear" w:color="auto" w:fill="CCEEFF"/>
          </w:tcPr>
          <w:p>
            <w:pPr>
              <w:jc w:val="right"/>
              <w:ind w:right="796"/>
              <w:spacing w:after="0"/>
              <w:rPr>
                <w:sz w:val="20"/>
                <w:szCs w:val="20"/>
                <w:color w:val="auto"/>
              </w:rPr>
            </w:pPr>
            <w:r>
              <w:rPr>
                <w:rFonts w:ascii="Arial" w:cs="Arial" w:eastAsia="Arial" w:hAnsi="Arial"/>
                <w:sz w:val="17"/>
                <w:szCs w:val="17"/>
                <w:color w:val="auto"/>
                <w:w w:val="84"/>
              </w:rPr>
              <w:t>$</w:t>
            </w:r>
          </w:p>
        </w:tc>
        <w:tc>
          <w:tcPr>
            <w:tcW w:w="5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w w:val="98"/>
              </w:rPr>
              <w:t>171.2</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7"/>
                <w:szCs w:val="17"/>
                <w:color w:val="auto"/>
                <w:w w:val="84"/>
              </w:rPr>
              <w:t>$</w:t>
            </w:r>
          </w:p>
        </w:tc>
        <w:tc>
          <w:tcPr>
            <w:tcW w:w="4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w w:val="84"/>
              </w:rPr>
              <w:t>163.5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4.7%</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520"/>
        <w:spacing w:after="0"/>
        <w:rPr>
          <w:sz w:val="20"/>
          <w:szCs w:val="20"/>
          <w:color w:val="auto"/>
        </w:rPr>
      </w:pPr>
      <w:r>
        <w:rPr>
          <w:rFonts w:ascii="Arial" w:cs="Arial" w:eastAsia="Arial" w:hAnsi="Arial"/>
          <w:sz w:val="15"/>
          <w:szCs w:val="15"/>
          <w:color w:val="auto"/>
        </w:rPr>
        <w:t>Revenues for the three months ended September 30, 2016 were $171.2 million, up $7.7 million or 4.7% compared to the three months ended September 30,</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color w:val="auto"/>
        </w:rPr>
        <w:t>2015.</w:t>
      </w:r>
    </w:p>
    <w:p>
      <w:pPr>
        <w:spacing w:after="0" w:line="96"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7"/>
          <w:szCs w:val="17"/>
          <w:color w:val="auto"/>
        </w:rPr>
        <w:t>Revenue growth in Operations Management of $1.6 million was driven by net volume increases from our new and existing clients of $2.4 million and incremental revenue of $0.7 million from our Liss acquisition. This increase in revenues was offset by a $1.5 million impact due to the depreciation of the Indian rupee, the U.K. pound sterling and the Philippine peso against the U.S. dollar during the three months ended September 30, 2016 compared to the three months ended September 30, 2015.</w:t>
      </w:r>
    </w:p>
    <w:p>
      <w:pPr>
        <w:spacing w:after="0" w:line="79"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7"/>
          <w:szCs w:val="17"/>
          <w:color w:val="auto"/>
        </w:rPr>
        <w:t>Revenue growth in Analytics of $6.1 million was driven by net volume increases in our recurring and project based engagements from our existing and new clients of $6.6 million and incremental revenue of $0.4 million from our IQR acquisition. The increase was offset by a decrease of $0.9 million, primarily due to the depreciation of the U.K. pound sterling against the U.S. dollar during the three months ended September 30, 2016 compared to the three months ended September 30, 2015.</w:t>
      </w:r>
    </w:p>
    <w:p>
      <w:pPr>
        <w:spacing w:after="0" w:line="180" w:lineRule="exact"/>
        <w:rPr>
          <w:sz w:val="20"/>
          <w:szCs w:val="20"/>
          <w:color w:val="auto"/>
        </w:rPr>
      </w:pPr>
    </w:p>
    <w:tbl>
      <w:tblPr>
        <w:tblLayout w:type="fixed"/>
        <w:tblInd w:w="300" w:type="dxa"/>
        <w:tblCellMar>
          <w:top w:w="0" w:type="dxa"/>
          <w:left w:w="0" w:type="dxa"/>
          <w:bottom w:w="0" w:type="dxa"/>
          <w:right w:w="0" w:type="dxa"/>
        </w:tblCellMar>
      </w:tblPr>
      <w:tr>
        <w:trPr>
          <w:trHeight w:val="214"/>
        </w:trPr>
        <w:tc>
          <w:tcPr>
            <w:tcW w:w="4280" w:type="dxa"/>
            <w:vAlign w:val="bottom"/>
          </w:tcPr>
          <w:p>
            <w:pPr>
              <w:ind w:left="100"/>
              <w:spacing w:after="0"/>
              <w:rPr>
                <w:sz w:val="20"/>
                <w:szCs w:val="20"/>
                <w:color w:val="auto"/>
              </w:rPr>
            </w:pPr>
            <w:r>
              <w:rPr>
                <w:rFonts w:ascii="Arial" w:cs="Arial" w:eastAsia="Arial" w:hAnsi="Arial"/>
                <w:sz w:val="17"/>
                <w:szCs w:val="17"/>
                <w:b w:val="1"/>
                <w:bCs w:val="1"/>
                <w:i w:val="1"/>
                <w:iCs w:val="1"/>
                <w:color w:val="auto"/>
              </w:rPr>
              <w:t>Cost of Revenues.</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4"/>
        </w:trPr>
        <w:tc>
          <w:tcPr>
            <w:tcW w:w="4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40" w:type="dxa"/>
            <w:vAlign w:val="bottom"/>
            <w:gridSpan w:val="5"/>
          </w:tcPr>
          <w:p>
            <w:pPr>
              <w:ind w:left="100"/>
              <w:spacing w:after="0"/>
              <w:rPr>
                <w:sz w:val="20"/>
                <w:szCs w:val="20"/>
                <w:color w:val="auto"/>
              </w:rPr>
            </w:pPr>
            <w:r>
              <w:rPr>
                <w:rFonts w:ascii="Arial" w:cs="Arial" w:eastAsia="Arial" w:hAnsi="Arial"/>
                <w:sz w:val="17"/>
                <w:szCs w:val="17"/>
                <w:b w:val="1"/>
                <w:bCs w:val="1"/>
                <w:color w:val="auto"/>
              </w:rPr>
              <w:t>Three months ended September 30,</w:t>
            </w: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vMerge w:val="restart"/>
          </w:tcPr>
          <w:p>
            <w:pPr>
              <w:jc w:val="right"/>
              <w:ind w:right="256"/>
              <w:spacing w:after="0"/>
              <w:rPr>
                <w:sz w:val="20"/>
                <w:szCs w:val="20"/>
                <w:color w:val="auto"/>
              </w:rPr>
            </w:pPr>
            <w:r>
              <w:rPr>
                <w:rFonts w:ascii="Arial" w:cs="Arial" w:eastAsia="Arial" w:hAnsi="Arial"/>
                <w:sz w:val="17"/>
                <w:szCs w:val="17"/>
                <w:b w:val="1"/>
                <w:bCs w:val="1"/>
                <w:color w:val="auto"/>
              </w:rPr>
              <w:t>Percentage</w:t>
            </w:r>
          </w:p>
        </w:tc>
        <w:tc>
          <w:tcPr>
            <w:tcW w:w="0" w:type="dxa"/>
            <w:vAlign w:val="bottom"/>
          </w:tcPr>
          <w:p>
            <w:pPr>
              <w:spacing w:after="0"/>
              <w:rPr>
                <w:sz w:val="1"/>
                <w:szCs w:val="1"/>
                <w:color w:val="auto"/>
              </w:rPr>
            </w:pPr>
          </w:p>
        </w:tc>
      </w:tr>
      <w:tr>
        <w:trPr>
          <w:trHeight w:val="26"/>
        </w:trPr>
        <w:tc>
          <w:tcPr>
            <w:tcW w:w="42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4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ind w:right="536"/>
              <w:spacing w:after="0"/>
              <w:rPr>
                <w:sz w:val="20"/>
                <w:szCs w:val="20"/>
                <w:color w:val="auto"/>
              </w:rPr>
            </w:pPr>
            <w:r>
              <w:rPr>
                <w:rFonts w:ascii="Arial" w:cs="Arial" w:eastAsia="Arial" w:hAnsi="Arial"/>
                <w:sz w:val="17"/>
                <w:szCs w:val="17"/>
                <w:b w:val="1"/>
                <w:bCs w:val="1"/>
                <w:color w:val="auto"/>
              </w:rPr>
              <w:t>2016</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jc w:val="right"/>
              <w:ind w:right="456"/>
              <w:spacing w:after="0"/>
              <w:rPr>
                <w:sz w:val="20"/>
                <w:szCs w:val="20"/>
                <w:color w:val="auto"/>
              </w:rPr>
            </w:pPr>
            <w:r>
              <w:rPr>
                <w:rFonts w:ascii="Arial" w:cs="Arial" w:eastAsia="Arial" w:hAnsi="Arial"/>
                <w:sz w:val="17"/>
                <w:szCs w:val="17"/>
                <w:b w:val="1"/>
                <w:bCs w:val="1"/>
                <w:color w:val="auto"/>
                <w:w w:val="79"/>
              </w:rPr>
              <w:t>2015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ind w:left="140"/>
              <w:spacing w:after="0"/>
              <w:rPr>
                <w:sz w:val="20"/>
                <w:szCs w:val="20"/>
                <w:color w:val="auto"/>
              </w:rPr>
            </w:pPr>
            <w:r>
              <w:rPr>
                <w:rFonts w:ascii="Arial" w:cs="Arial" w:eastAsia="Arial" w:hAnsi="Arial"/>
                <w:sz w:val="17"/>
                <w:szCs w:val="17"/>
                <w:b w:val="1"/>
                <w:bCs w:val="1"/>
                <w:color w:val="auto"/>
              </w:rPr>
              <w:t>Change</w:t>
            </w:r>
          </w:p>
        </w:tc>
        <w:tc>
          <w:tcPr>
            <w:tcW w:w="1480" w:type="dxa"/>
            <w:vAlign w:val="bottom"/>
          </w:tcPr>
          <w:p>
            <w:pPr>
              <w:jc w:val="right"/>
              <w:ind w:right="396"/>
              <w:spacing w:after="0"/>
              <w:rPr>
                <w:sz w:val="20"/>
                <w:szCs w:val="20"/>
                <w:color w:val="auto"/>
              </w:rPr>
            </w:pPr>
            <w:r>
              <w:rPr>
                <w:rFonts w:ascii="Arial" w:cs="Arial" w:eastAsia="Arial" w:hAnsi="Arial"/>
                <w:sz w:val="17"/>
                <w:szCs w:val="17"/>
                <w:b w:val="1"/>
                <w:bCs w:val="1"/>
                <w:color w:val="auto"/>
              </w:rPr>
              <w:t>change</w:t>
            </w:r>
          </w:p>
        </w:tc>
        <w:tc>
          <w:tcPr>
            <w:tcW w:w="0" w:type="dxa"/>
            <w:vAlign w:val="bottom"/>
          </w:tcPr>
          <w:p>
            <w:pPr>
              <w:spacing w:after="0"/>
              <w:rPr>
                <w:sz w:val="1"/>
                <w:szCs w:val="1"/>
                <w:color w:val="auto"/>
              </w:rPr>
            </w:pPr>
          </w:p>
        </w:tc>
      </w:tr>
      <w:tr>
        <w:trPr>
          <w:trHeight w:val="26"/>
        </w:trPr>
        <w:tc>
          <w:tcPr>
            <w:tcW w:w="42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4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80" w:type="dxa"/>
            <w:vAlign w:val="bottom"/>
            <w:gridSpan w:val="3"/>
          </w:tcPr>
          <w:p>
            <w:pPr>
              <w:jc w:val="right"/>
              <w:spacing w:after="0"/>
              <w:rPr>
                <w:sz w:val="20"/>
                <w:szCs w:val="20"/>
                <w:color w:val="auto"/>
              </w:rPr>
            </w:pPr>
            <w:r>
              <w:rPr>
                <w:rFonts w:ascii="Arial" w:cs="Arial" w:eastAsia="Arial" w:hAnsi="Arial"/>
                <w:sz w:val="17"/>
                <w:szCs w:val="17"/>
                <w:b w:val="1"/>
                <w:bCs w:val="1"/>
                <w:color w:val="auto"/>
              </w:rPr>
              <w:t>(dollars in millions)</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4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Revenues, net</w:t>
            </w:r>
          </w:p>
        </w:tc>
        <w:tc>
          <w:tcPr>
            <w:tcW w:w="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171.2</w:t>
            </w:r>
          </w:p>
        </w:tc>
        <w:tc>
          <w:tcPr>
            <w:tcW w:w="1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336"/>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7"/>
                <w:szCs w:val="17"/>
                <w:color w:val="auto"/>
              </w:rPr>
              <w:t>163.5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7.7</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4.7 %</w:t>
            </w:r>
          </w:p>
        </w:tc>
        <w:tc>
          <w:tcPr>
            <w:tcW w:w="0" w:type="dxa"/>
            <w:vAlign w:val="bottom"/>
          </w:tcPr>
          <w:p>
            <w:pPr>
              <w:spacing w:after="0"/>
              <w:rPr>
                <w:sz w:val="1"/>
                <w:szCs w:val="1"/>
                <w:color w:val="auto"/>
              </w:rPr>
            </w:pPr>
          </w:p>
        </w:tc>
      </w:tr>
      <w:tr>
        <w:trPr>
          <w:trHeight w:val="227"/>
        </w:trPr>
        <w:tc>
          <w:tcPr>
            <w:tcW w:w="4280" w:type="dxa"/>
            <w:vAlign w:val="bottom"/>
          </w:tcPr>
          <w:p>
            <w:pPr>
              <w:ind w:left="20"/>
              <w:spacing w:after="0"/>
              <w:rPr>
                <w:sz w:val="20"/>
                <w:szCs w:val="20"/>
                <w:color w:val="auto"/>
              </w:rPr>
            </w:pPr>
            <w:r>
              <w:rPr>
                <w:rFonts w:ascii="Arial" w:cs="Arial" w:eastAsia="Arial" w:hAnsi="Arial"/>
                <w:sz w:val="17"/>
                <w:szCs w:val="17"/>
                <w:color w:val="auto"/>
              </w:rPr>
              <w:t>Cost of revenues</w:t>
            </w:r>
          </w:p>
        </w:tc>
        <w:tc>
          <w:tcPr>
            <w:tcW w:w="220" w:type="dxa"/>
            <w:vAlign w:val="bottom"/>
          </w:tcPr>
          <w:p>
            <w:pPr>
              <w:spacing w:after="0"/>
              <w:rPr>
                <w:sz w:val="19"/>
                <w:szCs w:val="19"/>
                <w:color w:val="auto"/>
              </w:rPr>
            </w:pPr>
          </w:p>
        </w:tc>
        <w:tc>
          <w:tcPr>
            <w:tcW w:w="1360" w:type="dxa"/>
            <w:vAlign w:val="bottom"/>
          </w:tcPr>
          <w:p>
            <w:pPr>
              <w:jc w:val="right"/>
              <w:ind w:right="76"/>
              <w:spacing w:after="0"/>
              <w:rPr>
                <w:sz w:val="20"/>
                <w:szCs w:val="20"/>
                <w:color w:val="auto"/>
              </w:rPr>
            </w:pPr>
            <w:r>
              <w:rPr>
                <w:rFonts w:ascii="Arial" w:cs="Arial" w:eastAsia="Arial" w:hAnsi="Arial"/>
                <w:sz w:val="17"/>
                <w:szCs w:val="17"/>
                <w:color w:val="auto"/>
              </w:rPr>
              <w:t>111.8</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jc w:val="right"/>
              <w:ind w:right="96"/>
              <w:spacing w:after="0"/>
              <w:rPr>
                <w:sz w:val="20"/>
                <w:szCs w:val="20"/>
                <w:color w:val="auto"/>
              </w:rPr>
            </w:pPr>
            <w:r>
              <w:rPr>
                <w:rFonts w:ascii="Arial" w:cs="Arial" w:eastAsia="Arial" w:hAnsi="Arial"/>
                <w:sz w:val="17"/>
                <w:szCs w:val="17"/>
                <w:color w:val="auto"/>
              </w:rPr>
              <w:t>103.2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ind w:right="16"/>
              <w:spacing w:after="0"/>
              <w:rPr>
                <w:sz w:val="20"/>
                <w:szCs w:val="20"/>
                <w:color w:val="auto"/>
              </w:rPr>
            </w:pPr>
            <w:r>
              <w:rPr>
                <w:rFonts w:ascii="Arial" w:cs="Arial" w:eastAsia="Arial" w:hAnsi="Arial"/>
                <w:sz w:val="17"/>
                <w:szCs w:val="17"/>
                <w:color w:val="auto"/>
              </w:rPr>
              <w:t>8.6</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8.3 %</w:t>
            </w:r>
          </w:p>
        </w:tc>
        <w:tc>
          <w:tcPr>
            <w:tcW w:w="0" w:type="dxa"/>
            <w:vAlign w:val="bottom"/>
          </w:tcPr>
          <w:p>
            <w:pPr>
              <w:spacing w:after="0"/>
              <w:rPr>
                <w:sz w:val="1"/>
                <w:szCs w:val="1"/>
                <w:color w:val="auto"/>
              </w:rPr>
            </w:pPr>
          </w:p>
        </w:tc>
      </w:tr>
      <w:tr>
        <w:trPr>
          <w:trHeight w:val="26"/>
        </w:trPr>
        <w:tc>
          <w:tcPr>
            <w:tcW w:w="42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59.4</w:t>
            </w:r>
          </w:p>
        </w:tc>
        <w:tc>
          <w:tcPr>
            <w:tcW w:w="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6"/>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7"/>
                <w:szCs w:val="17"/>
                <w:color w:val="auto"/>
              </w:rPr>
              <w:t>60.3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As a percentage of revenues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2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34.7%</w:t>
            </w: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36.9%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1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increase in cost of revenues was primarily due to an increase in employee-related costs of $8.8 million (including</w:t>
      </w:r>
    </w:p>
    <w:p>
      <w:pPr>
        <w:spacing w:after="0" w:line="19"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$0.5 million of incremental employee-related costs related to our recent acquisitions). The remaining increase of $8.3 million in employee-related cost was primarily due to annual wage increases and an increase in our average headcount of personnel directly involved in providing services to our clients. We also experienced an increase in facilities, technology and other operating expenses of $0.2 million (including incremental cost of revenues of $0.1 million related to our recent acquisitions) and in reimbursable expenses of $1.1 million, resulting in a corresponding increase in revenues. These increases were partially offset by a decrease of $1.5 million due to the impact of depreciation of the Indian rupee, UK pound sterling and the Philippine peso against the U.S. dollar during the three months ended September 30, 2016 compared to the three months ended September 30, 2015.</w:t>
      </w:r>
    </w:p>
    <w:p>
      <w:pPr>
        <w:spacing w:after="0" w:line="183" w:lineRule="exact"/>
        <w:rPr>
          <w:sz w:val="20"/>
          <w:szCs w:val="20"/>
          <w:color w:val="auto"/>
        </w:rPr>
      </w:pPr>
    </w:p>
    <w:p>
      <w:pPr>
        <w:jc w:val="both"/>
        <w:ind w:firstLine="379"/>
        <w:spacing w:after="0" w:line="262" w:lineRule="auto"/>
        <w:rPr>
          <w:sz w:val="20"/>
          <w:szCs w:val="20"/>
          <w:color w:val="auto"/>
        </w:rPr>
      </w:pPr>
      <w:r>
        <w:rPr>
          <w:rFonts w:ascii="Arial" w:cs="Arial" w:eastAsia="Arial" w:hAnsi="Arial"/>
          <w:sz w:val="17"/>
          <w:szCs w:val="17"/>
          <w:b w:val="1"/>
          <w:bCs w:val="1"/>
          <w:i w:val="1"/>
          <w:iCs w:val="1"/>
          <w:color w:val="auto"/>
        </w:rPr>
        <w:t>Gross Profit</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Gross profit decreased by $0.9 million, or 1.4%, from $60.3 million for the three months ended September 30, 2015 to $59.4 million for the three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months ended September 30, 2016. The decrease was primarily due to lower revenues in our consulting and platform businesses in our Operations Management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1420"/>
          </w:cols>
          <w:pgMar w:left="240" w:top="325" w:right="2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195"/>
        </w:trPr>
        <w:tc>
          <w:tcPr>
            <w:tcW w:w="4780" w:type="dxa"/>
            <w:vAlign w:val="bottom"/>
            <w:gridSpan w:val="3"/>
          </w:tcPr>
          <w:p>
            <w:pPr>
              <w:spacing w:after="0"/>
              <w:rPr>
                <w:rFonts w:ascii="Arial" w:cs="Arial" w:eastAsia="Arial" w:hAnsi="Arial"/>
                <w:sz w:val="17"/>
                <w:szCs w:val="17"/>
                <w:b w:val="1"/>
                <w:bCs w:val="1"/>
                <w:color w:val="0000EE"/>
              </w:rPr>
            </w:pPr>
            <w:hyperlink w:anchor="page2">
              <w:r>
                <w:rPr>
                  <w:rFonts w:ascii="Arial" w:cs="Arial" w:eastAsia="Arial" w:hAnsi="Arial"/>
                  <w:sz w:val="17"/>
                  <w:szCs w:val="17"/>
                  <w:b w:val="1"/>
                  <w:bCs w:val="1"/>
                  <w:color w:val="0000EE"/>
                </w:rPr>
                <w:t>Table of Contents</w:t>
              </w:r>
            </w:hyperlink>
          </w:p>
        </w:tc>
        <w:tc>
          <w:tcPr>
            <w:tcW w:w="9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9"/>
        </w:trPr>
        <w:tc>
          <w:tcPr>
            <w:tcW w:w="300" w:type="dxa"/>
            <w:vAlign w:val="bottom"/>
          </w:tcPr>
          <w:p>
            <w:pPr>
              <w:spacing w:after="0"/>
              <w:rPr>
                <w:sz w:val="24"/>
                <w:szCs w:val="24"/>
                <w:color w:val="auto"/>
              </w:rPr>
            </w:pPr>
          </w:p>
        </w:tc>
        <w:tc>
          <w:tcPr>
            <w:tcW w:w="4480" w:type="dxa"/>
            <w:vAlign w:val="bottom"/>
            <w:gridSpan w:val="2"/>
          </w:tcPr>
          <w:p>
            <w:pPr>
              <w:ind w:left="80"/>
              <w:spacing w:after="0"/>
              <w:rPr>
                <w:sz w:val="20"/>
                <w:szCs w:val="20"/>
                <w:color w:val="auto"/>
              </w:rPr>
            </w:pPr>
            <w:r>
              <w:rPr>
                <w:rFonts w:ascii="Arial" w:cs="Arial" w:eastAsia="Arial" w:hAnsi="Arial"/>
                <w:sz w:val="17"/>
                <w:szCs w:val="17"/>
                <w:b w:val="1"/>
                <w:bCs w:val="1"/>
                <w:i w:val="1"/>
                <w:iCs w:val="1"/>
                <w:color w:val="auto"/>
                <w:w w:val="95"/>
              </w:rPr>
              <w:t>Selling, General and Administrative (“SG&amp;A”) Expenses.</w:t>
            </w: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3120" w:type="dxa"/>
            <w:vAlign w:val="bottom"/>
            <w:gridSpan w:val="6"/>
          </w:tcPr>
          <w:p>
            <w:pPr>
              <w:ind w:left="240"/>
              <w:spacing w:after="0"/>
              <w:rPr>
                <w:sz w:val="20"/>
                <w:szCs w:val="20"/>
                <w:color w:val="auto"/>
              </w:rPr>
            </w:pPr>
            <w:r>
              <w:rPr>
                <w:rFonts w:ascii="Arial" w:cs="Arial" w:eastAsia="Arial" w:hAnsi="Arial"/>
                <w:sz w:val="17"/>
                <w:szCs w:val="17"/>
                <w:b w:val="1"/>
                <w:bCs w:val="1"/>
                <w:color w:val="auto"/>
                <w:w w:val="99"/>
              </w:rPr>
              <w:t>Three months ended September 30,</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vMerge w:val="restart"/>
          </w:tcPr>
          <w:p>
            <w:pPr>
              <w:jc w:val="right"/>
              <w:ind w:right="256"/>
              <w:spacing w:after="0"/>
              <w:rPr>
                <w:sz w:val="20"/>
                <w:szCs w:val="20"/>
                <w:color w:val="auto"/>
              </w:rPr>
            </w:pPr>
            <w:r>
              <w:rPr>
                <w:rFonts w:ascii="Arial" w:cs="Arial" w:eastAsia="Arial" w:hAnsi="Arial"/>
                <w:sz w:val="17"/>
                <w:szCs w:val="17"/>
                <w:b w:val="1"/>
                <w:bCs w:val="1"/>
                <w:color w:val="auto"/>
              </w:rPr>
              <w:t>Percentage</w:t>
            </w:r>
          </w:p>
        </w:tc>
        <w:tc>
          <w:tcPr>
            <w:tcW w:w="0" w:type="dxa"/>
            <w:vAlign w:val="bottom"/>
          </w:tcPr>
          <w:p>
            <w:pPr>
              <w:spacing w:after="0"/>
              <w:rPr>
                <w:sz w:val="1"/>
                <w:szCs w:val="1"/>
                <w:color w:val="auto"/>
              </w:rPr>
            </w:pPr>
          </w:p>
        </w:tc>
      </w:tr>
      <w:tr>
        <w:trPr>
          <w:trHeight w:val="26"/>
        </w:trPr>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5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2016</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b w:val="1"/>
                <w:bCs w:val="1"/>
                <w:color w:val="auto"/>
              </w:rPr>
              <w:t>2015</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ind w:left="140"/>
              <w:spacing w:after="0"/>
              <w:rPr>
                <w:sz w:val="20"/>
                <w:szCs w:val="20"/>
                <w:color w:val="auto"/>
              </w:rPr>
            </w:pPr>
            <w:r>
              <w:rPr>
                <w:rFonts w:ascii="Arial" w:cs="Arial" w:eastAsia="Arial" w:hAnsi="Arial"/>
                <w:sz w:val="17"/>
                <w:szCs w:val="17"/>
                <w:b w:val="1"/>
                <w:bCs w:val="1"/>
                <w:color w:val="auto"/>
              </w:rPr>
              <w:t>Change</w:t>
            </w:r>
          </w:p>
        </w:tc>
        <w:tc>
          <w:tcPr>
            <w:tcW w:w="1460" w:type="dxa"/>
            <w:vAlign w:val="bottom"/>
          </w:tcPr>
          <w:p>
            <w:pPr>
              <w:jc w:val="right"/>
              <w:ind w:right="396"/>
              <w:spacing w:after="0"/>
              <w:rPr>
                <w:sz w:val="20"/>
                <w:szCs w:val="20"/>
                <w:color w:val="auto"/>
              </w:rPr>
            </w:pPr>
            <w:r>
              <w:rPr>
                <w:rFonts w:ascii="Arial" w:cs="Arial" w:eastAsia="Arial" w:hAnsi="Arial"/>
                <w:sz w:val="17"/>
                <w:szCs w:val="17"/>
                <w:b w:val="1"/>
                <w:bCs w:val="1"/>
                <w:color w:val="auto"/>
              </w:rPr>
              <w:t>change</w:t>
            </w:r>
          </w:p>
        </w:tc>
        <w:tc>
          <w:tcPr>
            <w:tcW w:w="0" w:type="dxa"/>
            <w:vAlign w:val="bottom"/>
          </w:tcPr>
          <w:p>
            <w:pPr>
              <w:spacing w:after="0"/>
              <w:rPr>
                <w:sz w:val="1"/>
                <w:szCs w:val="1"/>
                <w:color w:val="auto"/>
              </w:rPr>
            </w:pPr>
          </w:p>
        </w:tc>
      </w:tr>
      <w:tr>
        <w:trPr>
          <w:trHeight w:val="26"/>
        </w:trPr>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520" w:type="dxa"/>
            <w:vAlign w:val="bottom"/>
          </w:tcPr>
          <w:p>
            <w:pPr>
              <w:spacing w:after="0"/>
              <w:rPr>
                <w:sz w:val="2"/>
                <w:szCs w:val="2"/>
                <w:color w:val="auto"/>
              </w:rPr>
            </w:pPr>
          </w:p>
        </w:tc>
        <w:tc>
          <w:tcPr>
            <w:tcW w:w="2520" w:type="dxa"/>
            <w:vAlign w:val="bottom"/>
            <w:tcBorders>
              <w:bottom w:val="single" w:sz="8" w:color="auto"/>
            </w:tcBorders>
            <w:gridSpan w:val="4"/>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2520" w:type="dxa"/>
            <w:vAlign w:val="bottom"/>
            <w:gridSpan w:val="4"/>
          </w:tcPr>
          <w:p>
            <w:pPr>
              <w:jc w:val="right"/>
              <w:ind w:right="216"/>
              <w:spacing w:after="0"/>
              <w:rPr>
                <w:sz w:val="20"/>
                <w:szCs w:val="20"/>
                <w:color w:val="auto"/>
              </w:rPr>
            </w:pPr>
            <w:r>
              <w:rPr>
                <w:rFonts w:ascii="Arial" w:cs="Arial" w:eastAsia="Arial" w:hAnsi="Arial"/>
                <w:sz w:val="17"/>
                <w:szCs w:val="17"/>
                <w:b w:val="1"/>
                <w:bCs w:val="1"/>
                <w:color w:val="auto"/>
              </w:rPr>
              <w:t>(dollars in millions)</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300" w:type="dxa"/>
            <w:vAlign w:val="bottom"/>
          </w:tcPr>
          <w:p>
            <w:pPr>
              <w:spacing w:after="0"/>
              <w:rPr>
                <w:sz w:val="20"/>
                <w:szCs w:val="20"/>
                <w:color w:val="auto"/>
              </w:rPr>
            </w:pPr>
          </w:p>
        </w:tc>
        <w:tc>
          <w:tcPr>
            <w:tcW w:w="4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General and administrative expenses</w:t>
            </w:r>
          </w:p>
        </w:tc>
        <w:tc>
          <w:tcPr>
            <w:tcW w:w="980" w:type="dxa"/>
            <w:vAlign w:val="bottom"/>
            <w:tcBorders>
              <w:bottom w:val="single" w:sz="8" w:color="CCEEFF"/>
            </w:tcBorders>
            <w:shd w:val="clear" w:color="auto" w:fill="CCEEFF"/>
          </w:tcPr>
          <w:p>
            <w:pPr>
              <w:jc w:val="right"/>
              <w:ind w:right="796"/>
              <w:spacing w:after="0"/>
              <w:rPr>
                <w:sz w:val="20"/>
                <w:szCs w:val="20"/>
                <w:color w:val="auto"/>
              </w:rPr>
            </w:pPr>
            <w:r>
              <w:rPr>
                <w:rFonts w:ascii="Arial" w:cs="Arial" w:eastAsia="Arial" w:hAnsi="Arial"/>
                <w:sz w:val="17"/>
                <w:szCs w:val="17"/>
                <w:color w:val="auto"/>
                <w:w w:val="84"/>
              </w:rPr>
              <w:t>$</w:t>
            </w:r>
          </w:p>
        </w:tc>
        <w:tc>
          <w:tcPr>
            <w:tcW w:w="5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7"/>
                <w:szCs w:val="17"/>
                <w:color w:val="auto"/>
              </w:rPr>
              <w:t>21.9</w:t>
            </w: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7"/>
                <w:szCs w:val="17"/>
                <w:color w:val="auto"/>
              </w:rPr>
              <w:t>$</w:t>
            </w:r>
          </w:p>
        </w:tc>
        <w:tc>
          <w:tcPr>
            <w:tcW w:w="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18.8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3.1</w:t>
            </w: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16.5 %</w:t>
            </w:r>
          </w:p>
        </w:tc>
        <w:tc>
          <w:tcPr>
            <w:tcW w:w="0" w:type="dxa"/>
            <w:vAlign w:val="bottom"/>
          </w:tcPr>
          <w:p>
            <w:pPr>
              <w:spacing w:after="0"/>
              <w:rPr>
                <w:sz w:val="1"/>
                <w:szCs w:val="1"/>
                <w:color w:val="auto"/>
              </w:rPr>
            </w:pPr>
          </w:p>
        </w:tc>
      </w:tr>
      <w:tr>
        <w:trPr>
          <w:trHeight w:val="227"/>
        </w:trPr>
        <w:tc>
          <w:tcPr>
            <w:tcW w:w="300" w:type="dxa"/>
            <w:vAlign w:val="bottom"/>
          </w:tcPr>
          <w:p>
            <w:pPr>
              <w:spacing w:after="0"/>
              <w:rPr>
                <w:sz w:val="19"/>
                <w:szCs w:val="19"/>
                <w:color w:val="auto"/>
              </w:rPr>
            </w:pPr>
          </w:p>
        </w:tc>
        <w:tc>
          <w:tcPr>
            <w:tcW w:w="4480" w:type="dxa"/>
            <w:vAlign w:val="bottom"/>
            <w:gridSpan w:val="2"/>
          </w:tcPr>
          <w:p>
            <w:pPr>
              <w:ind w:left="20"/>
              <w:spacing w:after="0"/>
              <w:rPr>
                <w:sz w:val="20"/>
                <w:szCs w:val="20"/>
                <w:color w:val="auto"/>
              </w:rPr>
            </w:pPr>
            <w:r>
              <w:rPr>
                <w:rFonts w:ascii="Arial" w:cs="Arial" w:eastAsia="Arial" w:hAnsi="Arial"/>
                <w:sz w:val="17"/>
                <w:szCs w:val="17"/>
                <w:color w:val="auto"/>
              </w:rPr>
              <w:t>Selling and marketing expenses</w:t>
            </w:r>
          </w:p>
        </w:tc>
        <w:tc>
          <w:tcPr>
            <w:tcW w:w="980" w:type="dxa"/>
            <w:vAlign w:val="bottom"/>
          </w:tcPr>
          <w:p>
            <w:pPr>
              <w:spacing w:after="0"/>
              <w:rPr>
                <w:sz w:val="19"/>
                <w:szCs w:val="19"/>
                <w:color w:val="auto"/>
              </w:rPr>
            </w:pPr>
          </w:p>
        </w:tc>
        <w:tc>
          <w:tcPr>
            <w:tcW w:w="520" w:type="dxa"/>
            <w:vAlign w:val="bottom"/>
          </w:tcPr>
          <w:p>
            <w:pPr>
              <w:ind w:left="60"/>
              <w:spacing w:after="0"/>
              <w:rPr>
                <w:sz w:val="20"/>
                <w:szCs w:val="20"/>
                <w:color w:val="auto"/>
              </w:rPr>
            </w:pPr>
            <w:r>
              <w:rPr>
                <w:rFonts w:ascii="Arial" w:cs="Arial" w:eastAsia="Arial" w:hAnsi="Arial"/>
                <w:sz w:val="17"/>
                <w:szCs w:val="17"/>
                <w:color w:val="auto"/>
              </w:rPr>
              <w:t>11.6</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ind w:left="20"/>
              <w:spacing w:after="0"/>
              <w:rPr>
                <w:sz w:val="20"/>
                <w:szCs w:val="20"/>
                <w:color w:val="auto"/>
              </w:rPr>
            </w:pPr>
            <w:r>
              <w:rPr>
                <w:rFonts w:ascii="Arial" w:cs="Arial" w:eastAsia="Arial" w:hAnsi="Arial"/>
                <w:sz w:val="17"/>
                <w:szCs w:val="17"/>
                <w:color w:val="auto"/>
              </w:rPr>
              <w:t>12.7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(1.1)</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(8.7)%</w:t>
            </w:r>
          </w:p>
        </w:tc>
        <w:tc>
          <w:tcPr>
            <w:tcW w:w="0" w:type="dxa"/>
            <w:vAlign w:val="bottom"/>
          </w:tcPr>
          <w:p>
            <w:pPr>
              <w:spacing w:after="0"/>
              <w:rPr>
                <w:sz w:val="1"/>
                <w:szCs w:val="1"/>
                <w:color w:val="auto"/>
              </w:rPr>
            </w:pPr>
          </w:p>
        </w:tc>
      </w:tr>
      <w:tr>
        <w:trPr>
          <w:trHeight w:val="26"/>
        </w:trPr>
        <w:tc>
          <w:tcPr>
            <w:tcW w:w="300" w:type="dxa"/>
            <w:vAlign w:val="bottom"/>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35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00" w:type="dxa"/>
            <w:vAlign w:val="bottom"/>
          </w:tcPr>
          <w:p>
            <w:pPr>
              <w:spacing w:after="0"/>
              <w:rPr>
                <w:sz w:val="21"/>
                <w:szCs w:val="21"/>
                <w:color w:val="auto"/>
              </w:rPr>
            </w:pPr>
          </w:p>
        </w:tc>
        <w:tc>
          <w:tcPr>
            <w:tcW w:w="4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Selling, general and administrative expenses</w:t>
            </w:r>
          </w:p>
        </w:tc>
        <w:tc>
          <w:tcPr>
            <w:tcW w:w="980" w:type="dxa"/>
            <w:vAlign w:val="bottom"/>
            <w:tcBorders>
              <w:bottom w:val="single" w:sz="8" w:color="CCEEFF"/>
            </w:tcBorders>
            <w:shd w:val="clear" w:color="auto" w:fill="CCEEFF"/>
          </w:tcPr>
          <w:p>
            <w:pPr>
              <w:jc w:val="right"/>
              <w:ind w:right="796"/>
              <w:spacing w:after="0"/>
              <w:rPr>
                <w:sz w:val="20"/>
                <w:szCs w:val="20"/>
                <w:color w:val="auto"/>
              </w:rPr>
            </w:pPr>
            <w:r>
              <w:rPr>
                <w:rFonts w:ascii="Arial" w:cs="Arial" w:eastAsia="Arial" w:hAnsi="Arial"/>
                <w:sz w:val="17"/>
                <w:szCs w:val="17"/>
                <w:color w:val="auto"/>
                <w:w w:val="84"/>
              </w:rPr>
              <w:t>$</w:t>
            </w:r>
          </w:p>
        </w:tc>
        <w:tc>
          <w:tcPr>
            <w:tcW w:w="5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7"/>
                <w:szCs w:val="17"/>
                <w:color w:val="auto"/>
              </w:rPr>
              <w:t>33.5</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7"/>
                <w:szCs w:val="17"/>
                <w:color w:val="auto"/>
              </w:rPr>
              <w:t>$</w:t>
            </w:r>
          </w:p>
        </w:tc>
        <w:tc>
          <w:tcPr>
            <w:tcW w:w="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31.5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6.3 %</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44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7"/>
                <w:szCs w:val="17"/>
                <w:color w:val="auto"/>
              </w:rPr>
              <w:t>As a percentage of revenues</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300" w:type="dxa"/>
            <w:vAlign w:val="bottom"/>
          </w:tcPr>
          <w:p>
            <w:pPr>
              <w:spacing w:after="0"/>
              <w:rPr>
                <w:sz w:val="17"/>
                <w:szCs w:val="17"/>
                <w:color w:val="auto"/>
              </w:rPr>
            </w:pPr>
          </w:p>
        </w:tc>
        <w:tc>
          <w:tcPr>
            <w:tcW w:w="4480" w:type="dxa"/>
            <w:vAlign w:val="bottom"/>
            <w:gridSpan w:val="2"/>
            <w:vMerge w:val="continue"/>
          </w:tcPr>
          <w:p>
            <w:pPr>
              <w:spacing w:after="0"/>
              <w:rPr>
                <w:sz w:val="17"/>
                <w:szCs w:val="17"/>
                <w:color w:val="auto"/>
              </w:rPr>
            </w:pPr>
          </w:p>
        </w:tc>
        <w:tc>
          <w:tcPr>
            <w:tcW w:w="980" w:type="dxa"/>
            <w:vAlign w:val="bottom"/>
          </w:tcPr>
          <w:p>
            <w:pPr>
              <w:spacing w:after="0"/>
              <w:rPr>
                <w:sz w:val="17"/>
                <w:szCs w:val="17"/>
                <w:color w:val="auto"/>
              </w:rPr>
            </w:pPr>
          </w:p>
        </w:tc>
        <w:tc>
          <w:tcPr>
            <w:tcW w:w="520" w:type="dxa"/>
            <w:vAlign w:val="bottom"/>
          </w:tcPr>
          <w:p>
            <w:pPr>
              <w:ind w:left="60"/>
              <w:spacing w:after="0"/>
              <w:rPr>
                <w:sz w:val="20"/>
                <w:szCs w:val="20"/>
                <w:color w:val="auto"/>
              </w:rPr>
            </w:pPr>
            <w:r>
              <w:rPr>
                <w:rFonts w:ascii="Arial" w:cs="Arial" w:eastAsia="Arial" w:hAnsi="Arial"/>
                <w:sz w:val="17"/>
                <w:szCs w:val="17"/>
                <w:color w:val="auto"/>
                <w:w w:val="91"/>
              </w:rPr>
              <w:t>19.6%</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Pr>
          <w:p>
            <w:pPr>
              <w:ind w:left="20"/>
              <w:spacing w:after="0"/>
              <w:rPr>
                <w:sz w:val="20"/>
                <w:szCs w:val="20"/>
                <w:color w:val="auto"/>
              </w:rPr>
            </w:pPr>
            <w:r>
              <w:rPr>
                <w:rFonts w:ascii="Arial" w:cs="Arial" w:eastAsia="Arial" w:hAnsi="Arial"/>
                <w:sz w:val="17"/>
                <w:szCs w:val="17"/>
                <w:color w:val="auto"/>
                <w:w w:val="95"/>
              </w:rPr>
              <w:t>19.3%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jc w:val="both"/>
        <w:ind w:firstLine="379"/>
        <w:spacing w:after="0" w:line="292" w:lineRule="auto"/>
        <w:rPr>
          <w:sz w:val="20"/>
          <w:szCs w:val="20"/>
          <w:color w:val="auto"/>
        </w:rPr>
      </w:pPr>
      <w:r>
        <w:rPr>
          <w:rFonts w:ascii="Arial" w:cs="Arial" w:eastAsia="Arial" w:hAnsi="Arial"/>
          <w:sz w:val="15"/>
          <w:szCs w:val="15"/>
          <w:color w:val="auto"/>
        </w:rPr>
        <w:t>The increase in SG&amp;A expenses was primarily due to an increase in employee-related costs of $2.0 million (including $0.5 million of incremental employee-related costs related to our recent acquisitions). The remaining increase of $1.5 million in employee-related cost was primarily due to annual wage increments and an increase in our average headcount to support increased business volume. We also experienced an increase in our other SG&amp;A expenses of $0.3 million primarily due to an increase in our facilities costs in connection with our new operations centers in India and the Philippines and legal &amp; professional fees related to our recent acquisitions. This increase was partially offset by a decrease of $0.3 million due to the impact of depreciation of the Indian rupee, the U.K. pound sterling and the Philippine peso against the U.S. dollar during the three months ended September 30, 2016 compared to the three months ended September 30, 2015.</w:t>
      </w:r>
    </w:p>
    <w:p>
      <w:pPr>
        <w:spacing w:after="0" w:line="258" w:lineRule="exact"/>
        <w:rPr>
          <w:sz w:val="20"/>
          <w:szCs w:val="20"/>
          <w:color w:val="auto"/>
        </w:rPr>
      </w:pPr>
    </w:p>
    <w:tbl>
      <w:tblPr>
        <w:tblLayout w:type="fixed"/>
        <w:tblInd w:w="300" w:type="dxa"/>
        <w:tblCellMar>
          <w:top w:w="0" w:type="dxa"/>
          <w:left w:w="0" w:type="dxa"/>
          <w:bottom w:w="0" w:type="dxa"/>
          <w:right w:w="0" w:type="dxa"/>
        </w:tblCellMar>
      </w:tblPr>
      <w:tr>
        <w:trPr>
          <w:trHeight w:val="214"/>
        </w:trPr>
        <w:tc>
          <w:tcPr>
            <w:tcW w:w="4240" w:type="dxa"/>
            <w:vAlign w:val="bottom"/>
          </w:tcPr>
          <w:p>
            <w:pPr>
              <w:ind w:left="100"/>
              <w:spacing w:after="0"/>
              <w:rPr>
                <w:sz w:val="20"/>
                <w:szCs w:val="20"/>
                <w:color w:val="auto"/>
              </w:rPr>
            </w:pPr>
            <w:r>
              <w:rPr>
                <w:rFonts w:ascii="Arial" w:cs="Arial" w:eastAsia="Arial" w:hAnsi="Arial"/>
                <w:sz w:val="17"/>
                <w:szCs w:val="17"/>
                <w:b w:val="1"/>
                <w:bCs w:val="1"/>
                <w:i w:val="1"/>
                <w:iCs w:val="1"/>
                <w:color w:val="auto"/>
              </w:rPr>
              <w:t>Depreciation and Amortization.</w:t>
            </w: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4"/>
        </w:trPr>
        <w:tc>
          <w:tcPr>
            <w:tcW w:w="4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140" w:type="dxa"/>
            <w:vAlign w:val="bottom"/>
            <w:gridSpan w:val="5"/>
          </w:tcPr>
          <w:p>
            <w:pPr>
              <w:jc w:val="center"/>
              <w:ind w:right="320"/>
              <w:spacing w:after="0"/>
              <w:rPr>
                <w:sz w:val="20"/>
                <w:szCs w:val="20"/>
                <w:color w:val="auto"/>
              </w:rPr>
            </w:pPr>
            <w:r>
              <w:rPr>
                <w:rFonts w:ascii="Arial" w:cs="Arial" w:eastAsia="Arial" w:hAnsi="Arial"/>
                <w:sz w:val="17"/>
                <w:szCs w:val="17"/>
                <w:b w:val="1"/>
                <w:bCs w:val="1"/>
                <w:color w:val="auto"/>
                <w:w w:val="88"/>
              </w:rPr>
              <w:t>Three months ended September 30,</w:t>
            </w: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vMerge w:val="restart"/>
          </w:tcPr>
          <w:p>
            <w:pPr>
              <w:jc w:val="right"/>
              <w:ind w:right="216"/>
              <w:spacing w:after="0"/>
              <w:rPr>
                <w:sz w:val="20"/>
                <w:szCs w:val="20"/>
                <w:color w:val="auto"/>
              </w:rPr>
            </w:pPr>
            <w:r>
              <w:rPr>
                <w:rFonts w:ascii="Arial" w:cs="Arial" w:eastAsia="Arial" w:hAnsi="Arial"/>
                <w:sz w:val="17"/>
                <w:szCs w:val="17"/>
                <w:b w:val="1"/>
                <w:bCs w:val="1"/>
                <w:color w:val="auto"/>
              </w:rPr>
              <w:t>Percentage</w:t>
            </w:r>
          </w:p>
        </w:tc>
        <w:tc>
          <w:tcPr>
            <w:tcW w:w="0" w:type="dxa"/>
            <w:vAlign w:val="bottom"/>
          </w:tcPr>
          <w:p>
            <w:pPr>
              <w:spacing w:after="0"/>
              <w:rPr>
                <w:sz w:val="1"/>
                <w:szCs w:val="1"/>
                <w:color w:val="auto"/>
              </w:rPr>
            </w:pPr>
          </w:p>
        </w:tc>
      </w:tr>
      <w:tr>
        <w:trPr>
          <w:trHeight w:val="26"/>
        </w:trPr>
        <w:tc>
          <w:tcPr>
            <w:tcW w:w="4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4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ind w:left="440"/>
              <w:spacing w:after="0"/>
              <w:rPr>
                <w:sz w:val="20"/>
                <w:szCs w:val="20"/>
                <w:color w:val="auto"/>
              </w:rPr>
            </w:pPr>
            <w:r>
              <w:rPr>
                <w:rFonts w:ascii="Arial" w:cs="Arial" w:eastAsia="Arial" w:hAnsi="Arial"/>
                <w:sz w:val="17"/>
                <w:szCs w:val="17"/>
                <w:b w:val="1"/>
                <w:bCs w:val="1"/>
                <w:color w:val="auto"/>
              </w:rPr>
              <w:t>2016</w:t>
            </w: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ind w:left="40"/>
              <w:spacing w:after="0"/>
              <w:rPr>
                <w:sz w:val="20"/>
                <w:szCs w:val="20"/>
                <w:color w:val="auto"/>
              </w:rPr>
            </w:pPr>
            <w:r>
              <w:rPr>
                <w:rFonts w:ascii="Arial" w:cs="Arial" w:eastAsia="Arial" w:hAnsi="Arial"/>
                <w:sz w:val="17"/>
                <w:szCs w:val="17"/>
                <w:b w:val="1"/>
                <w:bCs w:val="1"/>
                <w:color w:val="auto"/>
              </w:rPr>
              <w:t>2015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ind w:left="140"/>
              <w:spacing w:after="0"/>
              <w:rPr>
                <w:sz w:val="20"/>
                <w:szCs w:val="20"/>
                <w:color w:val="auto"/>
              </w:rPr>
            </w:pPr>
            <w:r>
              <w:rPr>
                <w:rFonts w:ascii="Arial" w:cs="Arial" w:eastAsia="Arial" w:hAnsi="Arial"/>
                <w:sz w:val="17"/>
                <w:szCs w:val="17"/>
                <w:b w:val="1"/>
                <w:bCs w:val="1"/>
                <w:color w:val="auto"/>
              </w:rPr>
              <w:t>Change</w:t>
            </w:r>
          </w:p>
        </w:tc>
        <w:tc>
          <w:tcPr>
            <w:tcW w:w="1420" w:type="dxa"/>
            <w:vAlign w:val="bottom"/>
          </w:tcPr>
          <w:p>
            <w:pPr>
              <w:jc w:val="right"/>
              <w:ind w:right="376"/>
              <w:spacing w:after="0"/>
              <w:rPr>
                <w:sz w:val="20"/>
                <w:szCs w:val="20"/>
                <w:color w:val="auto"/>
              </w:rPr>
            </w:pPr>
            <w:r>
              <w:rPr>
                <w:rFonts w:ascii="Arial" w:cs="Arial" w:eastAsia="Arial" w:hAnsi="Arial"/>
                <w:sz w:val="17"/>
                <w:szCs w:val="17"/>
                <w:b w:val="1"/>
                <w:bCs w:val="1"/>
                <w:color w:val="auto"/>
              </w:rPr>
              <w:t>change</w:t>
            </w:r>
          </w:p>
        </w:tc>
        <w:tc>
          <w:tcPr>
            <w:tcW w:w="0" w:type="dxa"/>
            <w:vAlign w:val="bottom"/>
          </w:tcPr>
          <w:p>
            <w:pPr>
              <w:spacing w:after="0"/>
              <w:rPr>
                <w:sz w:val="1"/>
                <w:szCs w:val="1"/>
                <w:color w:val="auto"/>
              </w:rPr>
            </w:pPr>
          </w:p>
        </w:tc>
      </w:tr>
      <w:tr>
        <w:trPr>
          <w:trHeight w:val="26"/>
        </w:trPr>
        <w:tc>
          <w:tcPr>
            <w:tcW w:w="4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4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40" w:type="dxa"/>
            <w:vAlign w:val="bottom"/>
            <w:gridSpan w:val="3"/>
          </w:tcPr>
          <w:p>
            <w:pPr>
              <w:jc w:val="center"/>
              <w:ind w:left="616"/>
              <w:spacing w:after="0"/>
              <w:rPr>
                <w:sz w:val="20"/>
                <w:szCs w:val="20"/>
                <w:color w:val="auto"/>
              </w:rPr>
            </w:pPr>
            <w:r>
              <w:rPr>
                <w:rFonts w:ascii="Arial" w:cs="Arial" w:eastAsia="Arial" w:hAnsi="Arial"/>
                <w:sz w:val="17"/>
                <w:szCs w:val="17"/>
                <w:b w:val="1"/>
                <w:bCs w:val="1"/>
                <w:color w:val="auto"/>
                <w:w w:val="89"/>
              </w:rPr>
              <w:t>(dollars in millions)</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4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Depreciation expense</w:t>
            </w:r>
          </w:p>
        </w:tc>
        <w:tc>
          <w:tcPr>
            <w:tcW w:w="2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CCEEFF"/>
            </w:tcBorders>
            <w:shd w:val="clear" w:color="auto" w:fill="CCEEFF"/>
          </w:tcPr>
          <w:p>
            <w:pPr>
              <w:ind w:left="1080"/>
              <w:spacing w:after="0"/>
              <w:rPr>
                <w:sz w:val="20"/>
                <w:szCs w:val="20"/>
                <w:color w:val="auto"/>
              </w:rPr>
            </w:pPr>
            <w:r>
              <w:rPr>
                <w:rFonts w:ascii="Arial" w:cs="Arial" w:eastAsia="Arial" w:hAnsi="Arial"/>
                <w:sz w:val="17"/>
                <w:szCs w:val="17"/>
                <w:color w:val="auto"/>
              </w:rPr>
              <w:t>5.8</w:t>
            </w:r>
          </w:p>
        </w:tc>
        <w:tc>
          <w:tcPr>
            <w:tcW w:w="1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296"/>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7"/>
                <w:szCs w:val="17"/>
                <w:color w:val="auto"/>
              </w:rPr>
              <w:t>5.4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0.4</w:t>
            </w:r>
          </w:p>
        </w:tc>
        <w:tc>
          <w:tcPr>
            <w:tcW w:w="1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7.4%</w:t>
            </w:r>
          </w:p>
        </w:tc>
        <w:tc>
          <w:tcPr>
            <w:tcW w:w="0" w:type="dxa"/>
            <w:vAlign w:val="bottom"/>
          </w:tcPr>
          <w:p>
            <w:pPr>
              <w:spacing w:after="0"/>
              <w:rPr>
                <w:sz w:val="1"/>
                <w:szCs w:val="1"/>
                <w:color w:val="auto"/>
              </w:rPr>
            </w:pPr>
          </w:p>
        </w:tc>
      </w:tr>
      <w:tr>
        <w:trPr>
          <w:trHeight w:val="227"/>
        </w:trPr>
        <w:tc>
          <w:tcPr>
            <w:tcW w:w="4240" w:type="dxa"/>
            <w:vAlign w:val="bottom"/>
          </w:tcPr>
          <w:p>
            <w:pPr>
              <w:ind w:left="20"/>
              <w:spacing w:after="0"/>
              <w:rPr>
                <w:sz w:val="20"/>
                <w:szCs w:val="20"/>
                <w:color w:val="auto"/>
              </w:rPr>
            </w:pPr>
            <w:r>
              <w:rPr>
                <w:rFonts w:ascii="Arial" w:cs="Arial" w:eastAsia="Arial" w:hAnsi="Arial"/>
                <w:sz w:val="17"/>
                <w:szCs w:val="17"/>
                <w:color w:val="auto"/>
              </w:rPr>
              <w:t>Intangible amortization expense</w:t>
            </w:r>
          </w:p>
        </w:tc>
        <w:tc>
          <w:tcPr>
            <w:tcW w:w="240" w:type="dxa"/>
            <w:vAlign w:val="bottom"/>
          </w:tcPr>
          <w:p>
            <w:pPr>
              <w:spacing w:after="0"/>
              <w:rPr>
                <w:sz w:val="19"/>
                <w:szCs w:val="19"/>
                <w:color w:val="auto"/>
              </w:rPr>
            </w:pPr>
          </w:p>
        </w:tc>
        <w:tc>
          <w:tcPr>
            <w:tcW w:w="1460" w:type="dxa"/>
            <w:vAlign w:val="bottom"/>
          </w:tcPr>
          <w:p>
            <w:pPr>
              <w:ind w:left="1080"/>
              <w:spacing w:after="0"/>
              <w:rPr>
                <w:sz w:val="20"/>
                <w:szCs w:val="20"/>
                <w:color w:val="auto"/>
              </w:rPr>
            </w:pPr>
            <w:r>
              <w:rPr>
                <w:rFonts w:ascii="Arial" w:cs="Arial" w:eastAsia="Arial" w:hAnsi="Arial"/>
                <w:sz w:val="17"/>
                <w:szCs w:val="17"/>
                <w:color w:val="auto"/>
              </w:rPr>
              <w:t>2.8</w:t>
            </w: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ind w:left="520"/>
              <w:spacing w:after="0"/>
              <w:rPr>
                <w:sz w:val="20"/>
                <w:szCs w:val="20"/>
                <w:color w:val="auto"/>
              </w:rPr>
            </w:pPr>
            <w:r>
              <w:rPr>
                <w:rFonts w:ascii="Arial" w:cs="Arial" w:eastAsia="Arial" w:hAnsi="Arial"/>
                <w:sz w:val="17"/>
                <w:szCs w:val="17"/>
                <w:color w:val="auto"/>
              </w:rPr>
              <w:t>2.6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16"/>
              <w:spacing w:after="0"/>
              <w:rPr>
                <w:sz w:val="20"/>
                <w:szCs w:val="20"/>
                <w:color w:val="auto"/>
              </w:rPr>
            </w:pPr>
            <w:r>
              <w:rPr>
                <w:rFonts w:ascii="Arial" w:cs="Arial" w:eastAsia="Arial" w:hAnsi="Arial"/>
                <w:sz w:val="17"/>
                <w:szCs w:val="17"/>
                <w:color w:val="auto"/>
              </w:rPr>
              <w:t>0.2</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7.7%</w:t>
            </w:r>
          </w:p>
        </w:tc>
        <w:tc>
          <w:tcPr>
            <w:tcW w:w="0" w:type="dxa"/>
            <w:vAlign w:val="bottom"/>
          </w:tcPr>
          <w:p>
            <w:pPr>
              <w:spacing w:after="0"/>
              <w:rPr>
                <w:sz w:val="1"/>
                <w:szCs w:val="1"/>
                <w:color w:val="auto"/>
              </w:rPr>
            </w:pPr>
          </w:p>
        </w:tc>
      </w:tr>
      <w:tr>
        <w:trPr>
          <w:trHeight w:val="26"/>
        </w:trPr>
        <w:tc>
          <w:tcPr>
            <w:tcW w:w="4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Depreciation and amortization expense</w:t>
            </w:r>
          </w:p>
        </w:tc>
        <w:tc>
          <w:tcPr>
            <w:tcW w:w="2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CCEEFF"/>
            </w:tcBorders>
            <w:shd w:val="clear" w:color="auto" w:fill="CCEEFF"/>
          </w:tcPr>
          <w:p>
            <w:pPr>
              <w:ind w:left="1080"/>
              <w:spacing w:after="0"/>
              <w:rPr>
                <w:sz w:val="20"/>
                <w:szCs w:val="20"/>
                <w:color w:val="auto"/>
              </w:rPr>
            </w:pPr>
            <w:r>
              <w:rPr>
                <w:rFonts w:ascii="Arial" w:cs="Arial" w:eastAsia="Arial" w:hAnsi="Arial"/>
                <w:sz w:val="17"/>
                <w:szCs w:val="17"/>
                <w:color w:val="auto"/>
              </w:rPr>
              <w:t>8.6</w:t>
            </w:r>
          </w:p>
        </w:tc>
        <w:tc>
          <w:tcPr>
            <w:tcW w:w="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6"/>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7"/>
                <w:szCs w:val="17"/>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6.7%</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As a percentage of revenues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2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ind w:left="1080"/>
              <w:spacing w:after="0"/>
              <w:rPr>
                <w:sz w:val="20"/>
                <w:szCs w:val="20"/>
                <w:color w:val="auto"/>
              </w:rPr>
            </w:pPr>
            <w:r>
              <w:rPr>
                <w:rFonts w:ascii="Arial" w:cs="Arial" w:eastAsia="Arial" w:hAnsi="Arial"/>
                <w:sz w:val="17"/>
                <w:szCs w:val="17"/>
                <w:color w:val="auto"/>
                <w:w w:val="92"/>
              </w:rPr>
              <w:t>5.0%</w:t>
            </w: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ind w:left="520"/>
              <w:spacing w:after="0"/>
              <w:rPr>
                <w:sz w:val="20"/>
                <w:szCs w:val="20"/>
                <w:color w:val="auto"/>
              </w:rPr>
            </w:pPr>
            <w:r>
              <w:rPr>
                <w:rFonts w:ascii="Arial" w:cs="Arial" w:eastAsia="Arial" w:hAnsi="Arial"/>
                <w:sz w:val="17"/>
                <w:szCs w:val="17"/>
                <w:color w:val="auto"/>
                <w:w w:val="92"/>
              </w:rPr>
              <w:t>4.9%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15" w:lineRule="exact"/>
        <w:rPr>
          <w:sz w:val="20"/>
          <w:szCs w:val="20"/>
          <w:color w:val="auto"/>
        </w:rPr>
      </w:pPr>
    </w:p>
    <w:p>
      <w:pPr>
        <w:jc w:val="both"/>
        <w:ind w:firstLine="531"/>
        <w:spacing w:after="0" w:line="295" w:lineRule="auto"/>
        <w:rPr>
          <w:sz w:val="20"/>
          <w:szCs w:val="20"/>
          <w:color w:val="auto"/>
        </w:rPr>
      </w:pPr>
      <w:r>
        <w:rPr>
          <w:rFonts w:ascii="Arial" w:cs="Arial" w:eastAsia="Arial" w:hAnsi="Arial"/>
          <w:sz w:val="15"/>
          <w:szCs w:val="15"/>
          <w:color w:val="auto"/>
        </w:rPr>
        <w:t>Depreciation and amortization expense increased by $0.6 million, or 6.7%, from $8.0 million for the three months ended September 30, 2015 to $8.6 million for the three months ended September 30, 2016. Intangible amortization expense increased by $0.2 million, primarily due to incremental amortization expense associated with our recent acquisitions. The increase in depreciation expense of $0.5 million was primarily due to depreciation related to our new capital investments in India, South Africa and the Philippines to support the business growth. The increase was partially offset by a decrease of $0.1 million due to depreciation of the Indian rupee and the Philippine peso against the U.S. dollar during the three months ended September 30, 2016 compared to the three months ended September 30, 2015.</w:t>
      </w:r>
    </w:p>
    <w:p>
      <w:pPr>
        <w:spacing w:after="0" w:line="153" w:lineRule="exact"/>
        <w:rPr>
          <w:sz w:val="20"/>
          <w:szCs w:val="20"/>
          <w:color w:val="auto"/>
        </w:rPr>
      </w:pPr>
    </w:p>
    <w:p>
      <w:pPr>
        <w:jc w:val="both"/>
        <w:ind w:firstLine="379"/>
        <w:spacing w:after="0" w:line="259" w:lineRule="auto"/>
        <w:rPr>
          <w:sz w:val="20"/>
          <w:szCs w:val="20"/>
          <w:color w:val="auto"/>
        </w:rPr>
      </w:pPr>
      <w:r>
        <w:rPr>
          <w:rFonts w:ascii="Arial" w:cs="Arial" w:eastAsia="Arial" w:hAnsi="Arial"/>
          <w:sz w:val="17"/>
          <w:szCs w:val="17"/>
          <w:b w:val="1"/>
          <w:bCs w:val="1"/>
          <w:i w:val="1"/>
          <w:iCs w:val="1"/>
          <w:color w:val="auto"/>
        </w:rPr>
        <w:t xml:space="preserve">Income from Operations. </w:t>
      </w:r>
      <w:r>
        <w:rPr>
          <w:rFonts w:ascii="Arial" w:cs="Arial" w:eastAsia="Arial" w:hAnsi="Arial"/>
          <w:sz w:val="17"/>
          <w:szCs w:val="17"/>
          <w:color w:val="auto"/>
        </w:rPr>
        <w:t>Income from operations decreased $3.4 million, or 16.3%, from $20.8 million for the three months ended September 30, 2015 to $17.3</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million for the three months ended September 30, 2016. As a percentage of revenues, income from operations decreased from 12.7% for the three months ended September 30, 2015 to 10.1% for the three months ended September 30, 2016.</w:t>
      </w:r>
    </w:p>
    <w:p>
      <w:pPr>
        <w:spacing w:after="0" w:line="75" w:lineRule="exact"/>
        <w:rPr>
          <w:sz w:val="20"/>
          <w:szCs w:val="20"/>
          <w:color w:val="auto"/>
        </w:rPr>
      </w:pPr>
    </w:p>
    <w:p>
      <w:pPr>
        <w:jc w:val="both"/>
        <w:ind w:firstLine="379"/>
        <w:spacing w:after="0" w:line="252" w:lineRule="auto"/>
        <w:rPr>
          <w:sz w:val="20"/>
          <w:szCs w:val="20"/>
          <w:color w:val="auto"/>
        </w:rPr>
      </w:pPr>
      <w:r>
        <w:rPr>
          <w:rFonts w:ascii="Arial" w:cs="Arial" w:eastAsia="Arial" w:hAnsi="Arial"/>
          <w:sz w:val="17"/>
          <w:szCs w:val="17"/>
          <w:b w:val="1"/>
          <w:bCs w:val="1"/>
          <w:i w:val="1"/>
          <w:iCs w:val="1"/>
          <w:color w:val="auto"/>
        </w:rPr>
        <w:t xml:space="preserve">Foreign Exchange Gain /( Loss). </w:t>
      </w:r>
      <w:r>
        <w:rPr>
          <w:rFonts w:ascii="Arial" w:cs="Arial" w:eastAsia="Arial" w:hAnsi="Arial"/>
          <w:sz w:val="17"/>
          <w:szCs w:val="17"/>
          <w:color w:val="auto"/>
        </w:rPr>
        <w:t>Net foreign exchange gains and losses are primarily attributable to movement of the U.S. dollar against the Indian rupee,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U.K. pound sterling and the Philippine peso during the three months ended September 30, 2016. The average exchange rate of the Indian rupee against the U.S. dollar increased from 65.39 during the three months ended September 30, 2015 to 66.73 during the three months ended September 30, 2016. The average exchange rate of the U.K. pound sterling against the U.S. dollar increased from 0.65 during the three months ended September 30, 2015 to 0.76 during the three months ended September 30, 2016. The average exchange rate of the Philippine peso against the U.S. dollar increased from 46.37 during the three months ended September 30, 2015 to 47.40 during the three months ended September 30, 2016.</w:t>
      </w:r>
    </w:p>
    <w:p>
      <w:pPr>
        <w:spacing w:after="0" w:line="83" w:lineRule="exact"/>
        <w:rPr>
          <w:sz w:val="20"/>
          <w:szCs w:val="20"/>
          <w:color w:val="auto"/>
        </w:rPr>
      </w:pPr>
    </w:p>
    <w:p>
      <w:pPr>
        <w:jc w:val="both"/>
        <w:ind w:firstLine="379"/>
        <w:spacing w:after="0" w:line="271" w:lineRule="auto"/>
        <w:rPr>
          <w:sz w:val="20"/>
          <w:szCs w:val="20"/>
          <w:color w:val="auto"/>
        </w:rPr>
      </w:pPr>
      <w:r>
        <w:rPr>
          <w:rFonts w:ascii="Arial" w:cs="Arial" w:eastAsia="Arial" w:hAnsi="Arial"/>
          <w:sz w:val="17"/>
          <w:szCs w:val="17"/>
          <w:color w:val="auto"/>
        </w:rPr>
        <w:t>We recorded a net foreign exchange gain of $1.7 million for the three months ended September 30, 2016 compared to $0.2 million for the three months ended September 30, 2015.</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1420"/>
          </w:cols>
          <w:pgMar w:left="240" w:top="311" w:right="2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95"/>
        </w:trPr>
        <w:tc>
          <w:tcPr>
            <w:tcW w:w="4540" w:type="dxa"/>
            <w:vAlign w:val="bottom"/>
            <w:gridSpan w:val="2"/>
          </w:tcPr>
          <w:p>
            <w:pPr>
              <w:spacing w:after="0"/>
              <w:rPr>
                <w:rFonts w:ascii="Arial" w:cs="Arial" w:eastAsia="Arial" w:hAnsi="Arial"/>
                <w:sz w:val="17"/>
                <w:szCs w:val="17"/>
                <w:b w:val="1"/>
                <w:bCs w:val="1"/>
                <w:color w:val="0000EE"/>
              </w:rPr>
            </w:pPr>
            <w:hyperlink w:anchor="page2">
              <w:r>
                <w:rPr>
                  <w:rFonts w:ascii="Arial" w:cs="Arial" w:eastAsia="Arial" w:hAnsi="Arial"/>
                  <w:sz w:val="17"/>
                  <w:szCs w:val="17"/>
                  <w:b w:val="1"/>
                  <w:bCs w:val="1"/>
                  <w:color w:val="0000EE"/>
                </w:rPr>
                <w:t>Table of Contents</w:t>
              </w:r>
            </w:hyperlink>
          </w:p>
        </w:tc>
        <w:tc>
          <w:tcPr>
            <w:tcW w:w="1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60" w:type="dxa"/>
            <w:vAlign w:val="bottom"/>
            <w:shd w:val="clear" w:color="auto" w:fill="0000EE"/>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4540" w:type="dxa"/>
            <w:vAlign w:val="bottom"/>
            <w:gridSpan w:val="2"/>
          </w:tcPr>
          <w:p>
            <w:pPr>
              <w:ind w:left="380"/>
              <w:spacing w:after="0"/>
              <w:rPr>
                <w:sz w:val="20"/>
                <w:szCs w:val="20"/>
                <w:color w:val="auto"/>
              </w:rPr>
            </w:pPr>
            <w:r>
              <w:rPr>
                <w:rFonts w:ascii="Arial" w:cs="Arial" w:eastAsia="Arial" w:hAnsi="Arial"/>
                <w:sz w:val="17"/>
                <w:szCs w:val="17"/>
                <w:b w:val="1"/>
                <w:bCs w:val="1"/>
                <w:i w:val="1"/>
                <w:iCs w:val="1"/>
                <w:color w:val="auto"/>
              </w:rPr>
              <w:t>Interest and Other Income, net</w:t>
            </w:r>
          </w:p>
        </w:tc>
        <w:tc>
          <w:tcPr>
            <w:tcW w:w="1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12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3320" w:type="dxa"/>
            <w:vAlign w:val="bottom"/>
            <w:gridSpan w:val="6"/>
          </w:tcPr>
          <w:p>
            <w:pPr>
              <w:ind w:left="340"/>
              <w:spacing w:after="0"/>
              <w:rPr>
                <w:sz w:val="20"/>
                <w:szCs w:val="20"/>
                <w:color w:val="auto"/>
              </w:rPr>
            </w:pPr>
            <w:r>
              <w:rPr>
                <w:rFonts w:ascii="Arial" w:cs="Arial" w:eastAsia="Arial" w:hAnsi="Arial"/>
                <w:sz w:val="17"/>
                <w:szCs w:val="17"/>
                <w:b w:val="1"/>
                <w:bCs w:val="1"/>
                <w:color w:val="auto"/>
              </w:rPr>
              <w:t>Three months ended September 30,</w:t>
            </w: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vMerge w:val="restart"/>
          </w:tcPr>
          <w:p>
            <w:pPr>
              <w:jc w:val="right"/>
              <w:ind w:right="256"/>
              <w:spacing w:after="0"/>
              <w:rPr>
                <w:sz w:val="20"/>
                <w:szCs w:val="20"/>
                <w:color w:val="auto"/>
              </w:rPr>
            </w:pPr>
            <w:r>
              <w:rPr>
                <w:rFonts w:ascii="Arial" w:cs="Arial" w:eastAsia="Arial" w:hAnsi="Arial"/>
                <w:sz w:val="17"/>
                <w:szCs w:val="17"/>
                <w:b w:val="1"/>
                <w:bCs w:val="1"/>
                <w:color w:val="auto"/>
              </w:rPr>
              <w:t>Percentage</w:t>
            </w:r>
          </w:p>
        </w:tc>
        <w:tc>
          <w:tcPr>
            <w:tcW w:w="0" w:type="dxa"/>
            <w:vAlign w:val="bottom"/>
          </w:tcPr>
          <w:p>
            <w:pPr>
              <w:spacing w:after="0"/>
              <w:rPr>
                <w:sz w:val="1"/>
                <w:szCs w:val="1"/>
                <w:color w:val="auto"/>
              </w:rPr>
            </w:pPr>
          </w:p>
        </w:tc>
      </w:tr>
      <w:tr>
        <w:trPr>
          <w:trHeight w:val="26"/>
        </w:trPr>
        <w:tc>
          <w:tcPr>
            <w:tcW w:w="126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126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1120" w:type="dxa"/>
            <w:vAlign w:val="bottom"/>
          </w:tcPr>
          <w:p>
            <w:pPr>
              <w:jc w:val="right"/>
              <w:ind w:right="56"/>
              <w:spacing w:after="0"/>
              <w:rPr>
                <w:sz w:val="20"/>
                <w:szCs w:val="20"/>
                <w:color w:val="auto"/>
              </w:rPr>
            </w:pPr>
            <w:r>
              <w:rPr>
                <w:rFonts w:ascii="Arial" w:cs="Arial" w:eastAsia="Arial" w:hAnsi="Arial"/>
                <w:sz w:val="17"/>
                <w:szCs w:val="17"/>
                <w:b w:val="1"/>
                <w:bCs w:val="1"/>
                <w:color w:val="auto"/>
              </w:rPr>
              <w:t>2016</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ind w:right="16"/>
              <w:spacing w:after="0"/>
              <w:rPr>
                <w:sz w:val="20"/>
                <w:szCs w:val="20"/>
                <w:color w:val="auto"/>
              </w:rPr>
            </w:pPr>
            <w:r>
              <w:rPr>
                <w:rFonts w:ascii="Arial" w:cs="Arial" w:eastAsia="Arial" w:hAnsi="Arial"/>
                <w:sz w:val="17"/>
                <w:szCs w:val="17"/>
                <w:b w:val="1"/>
                <w:bCs w:val="1"/>
                <w:color w:val="auto"/>
              </w:rPr>
              <w:t>2015</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ind w:left="140"/>
              <w:spacing w:after="0"/>
              <w:rPr>
                <w:sz w:val="20"/>
                <w:szCs w:val="20"/>
                <w:color w:val="auto"/>
              </w:rPr>
            </w:pPr>
            <w:r>
              <w:rPr>
                <w:rFonts w:ascii="Arial" w:cs="Arial" w:eastAsia="Arial" w:hAnsi="Arial"/>
                <w:sz w:val="17"/>
                <w:szCs w:val="17"/>
                <w:b w:val="1"/>
                <w:bCs w:val="1"/>
                <w:color w:val="auto"/>
              </w:rPr>
              <w:t>Change</w:t>
            </w:r>
          </w:p>
        </w:tc>
        <w:tc>
          <w:tcPr>
            <w:tcW w:w="1480" w:type="dxa"/>
            <w:vAlign w:val="bottom"/>
          </w:tcPr>
          <w:p>
            <w:pPr>
              <w:jc w:val="right"/>
              <w:ind w:right="396"/>
              <w:spacing w:after="0"/>
              <w:rPr>
                <w:sz w:val="20"/>
                <w:szCs w:val="20"/>
                <w:color w:val="auto"/>
              </w:rPr>
            </w:pPr>
            <w:r>
              <w:rPr>
                <w:rFonts w:ascii="Arial" w:cs="Arial" w:eastAsia="Arial" w:hAnsi="Arial"/>
                <w:sz w:val="17"/>
                <w:szCs w:val="17"/>
                <w:b w:val="1"/>
                <w:bCs w:val="1"/>
                <w:color w:val="auto"/>
              </w:rPr>
              <w:t>change</w:t>
            </w:r>
          </w:p>
        </w:tc>
        <w:tc>
          <w:tcPr>
            <w:tcW w:w="0" w:type="dxa"/>
            <w:vAlign w:val="bottom"/>
          </w:tcPr>
          <w:p>
            <w:pPr>
              <w:spacing w:after="0"/>
              <w:rPr>
                <w:sz w:val="1"/>
                <w:szCs w:val="1"/>
                <w:color w:val="auto"/>
              </w:rPr>
            </w:pPr>
          </w:p>
        </w:tc>
      </w:tr>
      <w:tr>
        <w:trPr>
          <w:trHeight w:val="26"/>
        </w:trPr>
        <w:tc>
          <w:tcPr>
            <w:tcW w:w="1260" w:type="dxa"/>
            <w:vAlign w:val="bottom"/>
          </w:tcPr>
          <w:p>
            <w:pPr>
              <w:spacing w:after="0"/>
              <w:rPr>
                <w:sz w:val="2"/>
                <w:szCs w:val="2"/>
                <w:color w:val="auto"/>
              </w:rPr>
            </w:pPr>
          </w:p>
        </w:tc>
        <w:tc>
          <w:tcPr>
            <w:tcW w:w="3280" w:type="dxa"/>
            <w:vAlign w:val="bottom"/>
          </w:tcPr>
          <w:p>
            <w:pPr>
              <w:spacing w:after="0"/>
              <w:rPr>
                <w:sz w:val="2"/>
                <w:szCs w:val="2"/>
                <w:color w:val="auto"/>
              </w:rPr>
            </w:pPr>
          </w:p>
        </w:tc>
        <w:tc>
          <w:tcPr>
            <w:tcW w:w="2740" w:type="dxa"/>
            <w:vAlign w:val="bottom"/>
            <w:tcBorders>
              <w:bottom w:val="single" w:sz="8" w:color="auto"/>
            </w:tcBorders>
            <w:gridSpan w:val="4"/>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126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2740" w:type="dxa"/>
            <w:vAlign w:val="bottom"/>
            <w:gridSpan w:val="4"/>
          </w:tcPr>
          <w:p>
            <w:pPr>
              <w:jc w:val="right"/>
              <w:ind w:right="336"/>
              <w:spacing w:after="0"/>
              <w:rPr>
                <w:sz w:val="20"/>
                <w:szCs w:val="20"/>
                <w:color w:val="auto"/>
              </w:rPr>
            </w:pPr>
            <w:r>
              <w:rPr>
                <w:rFonts w:ascii="Arial" w:cs="Arial" w:eastAsia="Arial" w:hAnsi="Arial"/>
                <w:sz w:val="17"/>
                <w:szCs w:val="17"/>
                <w:b w:val="1"/>
                <w:bCs w:val="1"/>
                <w:color w:val="auto"/>
              </w:rPr>
              <w:t>(dollars in millions)</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126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4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Interest and dividend income</w:t>
            </w:r>
          </w:p>
        </w:tc>
        <w:tc>
          <w:tcPr>
            <w:tcW w:w="1120" w:type="dxa"/>
            <w:vAlign w:val="bottom"/>
            <w:tcBorders>
              <w:bottom w:val="single" w:sz="8" w:color="CCEEFF"/>
            </w:tcBorders>
            <w:shd w:val="clear" w:color="auto" w:fill="CCEEFF"/>
          </w:tcPr>
          <w:p>
            <w:pPr>
              <w:jc w:val="right"/>
              <w:ind w:right="936"/>
              <w:spacing w:after="0"/>
              <w:rPr>
                <w:sz w:val="20"/>
                <w:szCs w:val="20"/>
                <w:color w:val="auto"/>
              </w:rPr>
            </w:pPr>
            <w:r>
              <w:rPr>
                <w:rFonts w:ascii="Arial" w:cs="Arial" w:eastAsia="Arial" w:hAnsi="Arial"/>
                <w:sz w:val="17"/>
                <w:szCs w:val="17"/>
                <w:color w:val="auto"/>
                <w:w w:val="84"/>
              </w:rPr>
              <w:t>$</w:t>
            </w:r>
          </w:p>
        </w:tc>
        <w:tc>
          <w:tcPr>
            <w:tcW w:w="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2.9</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836"/>
              <w:spacing w:after="0"/>
              <w:rPr>
                <w:sz w:val="20"/>
                <w:szCs w:val="20"/>
                <w:color w:val="auto"/>
              </w:rPr>
            </w:pPr>
            <w:r>
              <w:rPr>
                <w:rFonts w:ascii="Arial" w:cs="Arial" w:eastAsia="Arial" w:hAnsi="Arial"/>
                <w:sz w:val="17"/>
                <w:szCs w:val="17"/>
                <w:color w:val="auto"/>
                <w:w w:val="84"/>
              </w:rPr>
              <w:t>$</w:t>
            </w:r>
          </w:p>
        </w:tc>
        <w:tc>
          <w:tcPr>
            <w:tcW w:w="4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0.8</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38.1%</w:t>
            </w:r>
          </w:p>
        </w:tc>
        <w:tc>
          <w:tcPr>
            <w:tcW w:w="0" w:type="dxa"/>
            <w:vAlign w:val="bottom"/>
          </w:tcPr>
          <w:p>
            <w:pPr>
              <w:spacing w:after="0"/>
              <w:rPr>
                <w:sz w:val="1"/>
                <w:szCs w:val="1"/>
                <w:color w:val="auto"/>
              </w:rPr>
            </w:pPr>
          </w:p>
        </w:tc>
      </w:tr>
      <w:tr>
        <w:trPr>
          <w:trHeight w:val="227"/>
        </w:trPr>
        <w:tc>
          <w:tcPr>
            <w:tcW w:w="4540" w:type="dxa"/>
            <w:vAlign w:val="bottom"/>
            <w:gridSpan w:val="2"/>
          </w:tcPr>
          <w:p>
            <w:pPr>
              <w:ind w:left="20"/>
              <w:spacing w:after="0"/>
              <w:rPr>
                <w:sz w:val="20"/>
                <w:szCs w:val="20"/>
                <w:color w:val="auto"/>
              </w:rPr>
            </w:pPr>
            <w:r>
              <w:rPr>
                <w:rFonts w:ascii="Arial" w:cs="Arial" w:eastAsia="Arial" w:hAnsi="Arial"/>
                <w:sz w:val="17"/>
                <w:szCs w:val="17"/>
                <w:color w:val="auto"/>
              </w:rPr>
              <w:t>Interest expense</w:t>
            </w:r>
          </w:p>
        </w:tc>
        <w:tc>
          <w:tcPr>
            <w:tcW w:w="1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(0.3)</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(0.3)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80" w:type="dxa"/>
            <w:vAlign w:val="bottom"/>
          </w:tcPr>
          <w:p>
            <w:pPr>
              <w:jc w:val="right"/>
              <w:ind w:right="9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1260" w:type="dxa"/>
            <w:vAlign w:val="bottom"/>
            <w:tcBorders>
              <w:bottom w:val="single" w:sz="8" w:color="CCEEFF"/>
            </w:tcBorders>
          </w:tcPr>
          <w:p>
            <w:pPr>
              <w:spacing w:after="0"/>
              <w:rPr>
                <w:sz w:val="2"/>
                <w:szCs w:val="2"/>
                <w:color w:val="auto"/>
              </w:rPr>
            </w:pPr>
          </w:p>
        </w:tc>
        <w:tc>
          <w:tcPr>
            <w:tcW w:w="32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Other income, net</w:t>
            </w:r>
          </w:p>
        </w:tc>
        <w:tc>
          <w:tcPr>
            <w:tcW w:w="1120" w:type="dxa"/>
            <w:vAlign w:val="bottom"/>
            <w:tcBorders>
              <w:bottom w:val="single" w:sz="8" w:color="CCEEFF"/>
            </w:tcBorders>
            <w:shd w:val="clear" w:color="auto" w:fill="CCEEFF"/>
          </w:tcPr>
          <w:p>
            <w:pPr>
              <w:jc w:val="right"/>
              <w:ind w:right="936"/>
              <w:spacing w:after="0"/>
              <w:rPr>
                <w:sz w:val="20"/>
                <w:szCs w:val="20"/>
                <w:color w:val="auto"/>
              </w:rPr>
            </w:pPr>
            <w:r>
              <w:rPr>
                <w:rFonts w:ascii="Arial" w:cs="Arial" w:eastAsia="Arial" w:hAnsi="Arial"/>
                <w:sz w:val="17"/>
                <w:szCs w:val="17"/>
                <w:color w:val="auto"/>
                <w:w w:val="84"/>
              </w:rPr>
              <w:t>$</w:t>
            </w:r>
          </w:p>
        </w:tc>
        <w:tc>
          <w:tcPr>
            <w:tcW w:w="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36"/>
              <w:spacing w:after="0"/>
              <w:rPr>
                <w:sz w:val="20"/>
                <w:szCs w:val="20"/>
                <w:color w:val="auto"/>
              </w:rPr>
            </w:pPr>
            <w:r>
              <w:rPr>
                <w:rFonts w:ascii="Arial" w:cs="Arial" w:eastAsia="Arial" w:hAnsi="Arial"/>
                <w:sz w:val="17"/>
                <w:szCs w:val="17"/>
                <w:color w:val="auto"/>
                <w:w w:val="84"/>
              </w:rPr>
              <w:t>$</w:t>
            </w:r>
          </w:p>
        </w:tc>
        <w:tc>
          <w:tcPr>
            <w:tcW w:w="4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44.4%</w:t>
            </w:r>
          </w:p>
        </w:tc>
        <w:tc>
          <w:tcPr>
            <w:tcW w:w="0" w:type="dxa"/>
            <w:vAlign w:val="bottom"/>
          </w:tcPr>
          <w:p>
            <w:pPr>
              <w:spacing w:after="0"/>
              <w:rPr>
                <w:sz w:val="1"/>
                <w:szCs w:val="1"/>
                <w:color w:val="auto"/>
              </w:rPr>
            </w:pPr>
          </w:p>
        </w:tc>
      </w:tr>
      <w:tr>
        <w:trPr>
          <w:trHeight w:val="20"/>
        </w:trPr>
        <w:tc>
          <w:tcPr>
            <w:tcW w:w="1260" w:type="dxa"/>
            <w:vAlign w:val="bottom"/>
            <w:tcBorders>
              <w:top w:val="single" w:sz="8" w:color="CCEEFF"/>
            </w:tcBorders>
          </w:tcPr>
          <w:p>
            <w:pPr>
              <w:spacing w:after="0" w:line="20" w:lineRule="exact"/>
              <w:rPr>
                <w:sz w:val="1"/>
                <w:szCs w:val="1"/>
                <w:color w:val="auto"/>
              </w:rPr>
            </w:pPr>
          </w:p>
        </w:tc>
        <w:tc>
          <w:tcPr>
            <w:tcW w:w="32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jc w:val="both"/>
        <w:ind w:firstLine="404"/>
        <w:spacing w:after="0" w:line="271" w:lineRule="auto"/>
        <w:rPr>
          <w:sz w:val="20"/>
          <w:szCs w:val="20"/>
          <w:color w:val="auto"/>
        </w:rPr>
      </w:pPr>
      <w:r>
        <w:rPr>
          <w:rFonts w:ascii="Arial" w:cs="Arial" w:eastAsia="Arial" w:hAnsi="Arial"/>
          <w:sz w:val="17"/>
          <w:szCs w:val="17"/>
          <w:color w:val="auto"/>
        </w:rPr>
        <w:t>Increase in interest and dividend income was primarily due to higher cash balances in our foreign subsidiaries and higher yield on our investments during the three months ended September 30, 2016 compared to the three months ended September 30, 2015.</w:t>
      </w:r>
    </w:p>
    <w:p>
      <w:pPr>
        <w:spacing w:after="0" w:line="165" w:lineRule="exact"/>
        <w:rPr>
          <w:sz w:val="20"/>
          <w:szCs w:val="20"/>
          <w:color w:val="auto"/>
        </w:rPr>
      </w:pPr>
    </w:p>
    <w:p>
      <w:pPr>
        <w:jc w:val="both"/>
        <w:ind w:firstLine="379"/>
        <w:spacing w:after="0" w:line="310" w:lineRule="auto"/>
        <w:rPr>
          <w:sz w:val="20"/>
          <w:szCs w:val="20"/>
          <w:color w:val="auto"/>
        </w:rPr>
      </w:pPr>
      <w:r>
        <w:rPr>
          <w:rFonts w:ascii="Arial" w:cs="Arial" w:eastAsia="Arial" w:hAnsi="Arial"/>
          <w:sz w:val="15"/>
          <w:szCs w:val="15"/>
          <w:b w:val="1"/>
          <w:bCs w:val="1"/>
          <w:i w:val="1"/>
          <w:iCs w:val="1"/>
          <w:color w:val="auto"/>
        </w:rPr>
        <w:t xml:space="preserve">Income Tax Expense. </w:t>
      </w:r>
      <w:r>
        <w:rPr>
          <w:rFonts w:ascii="Arial" w:cs="Arial" w:eastAsia="Arial" w:hAnsi="Arial"/>
          <w:sz w:val="15"/>
          <w:szCs w:val="15"/>
          <w:color w:val="auto"/>
        </w:rPr>
        <w:t>The effective tax rate decreased from 33.3% during the three months ended September 30, 2015 to 26.0% during the three months ended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September 30, 2016. The decrease was the result of (i) higher income tax expense during the three months ended September 30, 2015 due to certain adjustments (resulting in an increase in income tax expense of approximately $0.6 million) and (ii) an increase in earnings in locations with lower tax rates as well as tax incentives.</w:t>
      </w:r>
    </w:p>
    <w:p>
      <w:pPr>
        <w:spacing w:after="0" w:line="141" w:lineRule="exact"/>
        <w:rPr>
          <w:sz w:val="20"/>
          <w:szCs w:val="20"/>
          <w:color w:val="auto"/>
        </w:rPr>
      </w:pPr>
    </w:p>
    <w:p>
      <w:pPr>
        <w:jc w:val="both"/>
        <w:ind w:firstLine="379"/>
        <w:spacing w:after="0" w:line="255" w:lineRule="auto"/>
        <w:rPr>
          <w:sz w:val="20"/>
          <w:szCs w:val="20"/>
          <w:color w:val="auto"/>
        </w:rPr>
      </w:pPr>
      <w:r>
        <w:rPr>
          <w:rFonts w:ascii="Arial" w:cs="Arial" w:eastAsia="Arial" w:hAnsi="Arial"/>
          <w:sz w:val="17"/>
          <w:szCs w:val="17"/>
          <w:b w:val="1"/>
          <w:bCs w:val="1"/>
          <w:i w:val="1"/>
          <w:iCs w:val="1"/>
          <w:color w:val="auto"/>
        </w:rPr>
        <w:t xml:space="preserve">Net Income. </w:t>
      </w:r>
      <w:r>
        <w:rPr>
          <w:rFonts w:ascii="Arial" w:cs="Arial" w:eastAsia="Arial" w:hAnsi="Arial"/>
          <w:sz w:val="17"/>
          <w:szCs w:val="17"/>
          <w:color w:val="auto"/>
        </w:rPr>
        <w:t>Net income increased from $15.2 million for the three months ended September 30, 2015 to $16.1 million for the three months ended September 30,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2016, primarily due to an increase in other income and foreign exchange gain of $2.4 million and a lower income tax expense of $1.9 million, partially offset by a lower income from operations of $3.4 million. As a percentage of revenues, net income increased marginally from 9.3% for the three months ended September 30, 2015 to 9.4% for the three months ended September 30, 2016.</w:t>
      </w:r>
    </w:p>
    <w:p>
      <w:pPr>
        <w:spacing w:after="0" w:line="180"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Nine Months Ended September 30, 2016 Compared to Nine Months Ended September 30, 2015</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Revenues.</w:t>
      </w:r>
    </w:p>
    <w:p>
      <w:pPr>
        <w:spacing w:after="0" w:line="256" w:lineRule="exact"/>
        <w:rPr>
          <w:sz w:val="20"/>
          <w:szCs w:val="20"/>
          <w:color w:val="auto"/>
        </w:rPr>
      </w:pPr>
    </w:p>
    <w:tbl>
      <w:tblPr>
        <w:tblLayout w:type="fixed"/>
        <w:tblInd w:w="300" w:type="dxa"/>
        <w:tblCellMar>
          <w:top w:w="0" w:type="dxa"/>
          <w:left w:w="0" w:type="dxa"/>
          <w:bottom w:w="0" w:type="dxa"/>
          <w:right w:w="0" w:type="dxa"/>
        </w:tblCellMar>
      </w:tblPr>
      <w:tr>
        <w:trPr>
          <w:trHeight w:val="218"/>
        </w:trPr>
        <w:tc>
          <w:tcPr>
            <w:tcW w:w="4780" w:type="dxa"/>
            <w:vAlign w:val="bottom"/>
          </w:tcPr>
          <w:p>
            <w:pPr>
              <w:spacing w:after="0"/>
              <w:rPr>
                <w:sz w:val="18"/>
                <w:szCs w:val="18"/>
                <w:color w:val="auto"/>
              </w:rPr>
            </w:pPr>
          </w:p>
        </w:tc>
        <w:tc>
          <w:tcPr>
            <w:tcW w:w="2980" w:type="dxa"/>
            <w:vAlign w:val="bottom"/>
            <w:gridSpan w:val="6"/>
          </w:tcPr>
          <w:p>
            <w:pPr>
              <w:ind w:left="220"/>
              <w:spacing w:after="0"/>
              <w:rPr>
                <w:sz w:val="20"/>
                <w:szCs w:val="20"/>
                <w:color w:val="auto"/>
              </w:rPr>
            </w:pPr>
            <w:r>
              <w:rPr>
                <w:rFonts w:ascii="Arial" w:cs="Arial" w:eastAsia="Arial" w:hAnsi="Arial"/>
                <w:sz w:val="17"/>
                <w:szCs w:val="17"/>
                <w:b w:val="1"/>
                <w:bCs w:val="1"/>
                <w:color w:val="auto"/>
                <w:w w:val="98"/>
              </w:rPr>
              <w:t>Nine months ended September 30,</w:t>
            </w: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vMerge w:val="restart"/>
          </w:tcPr>
          <w:p>
            <w:pPr>
              <w:jc w:val="right"/>
              <w:ind w:right="236"/>
              <w:spacing w:after="0"/>
              <w:rPr>
                <w:sz w:val="20"/>
                <w:szCs w:val="20"/>
                <w:color w:val="auto"/>
              </w:rPr>
            </w:pPr>
            <w:r>
              <w:rPr>
                <w:rFonts w:ascii="Arial" w:cs="Arial" w:eastAsia="Arial" w:hAnsi="Arial"/>
                <w:sz w:val="17"/>
                <w:szCs w:val="17"/>
                <w:b w:val="1"/>
                <w:bCs w:val="1"/>
                <w:color w:val="auto"/>
              </w:rPr>
              <w:t>Percentage</w:t>
            </w:r>
          </w:p>
        </w:tc>
        <w:tc>
          <w:tcPr>
            <w:tcW w:w="0" w:type="dxa"/>
            <w:vAlign w:val="bottom"/>
          </w:tcPr>
          <w:p>
            <w:pPr>
              <w:spacing w:after="0"/>
              <w:rPr>
                <w:sz w:val="1"/>
                <w:szCs w:val="1"/>
                <w:color w:val="auto"/>
              </w:rPr>
            </w:pPr>
          </w:p>
        </w:tc>
      </w:tr>
      <w:tr>
        <w:trPr>
          <w:trHeight w:val="26"/>
        </w:trPr>
        <w:tc>
          <w:tcPr>
            <w:tcW w:w="47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47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b w:val="1"/>
                <w:bCs w:val="1"/>
                <w:color w:val="auto"/>
              </w:rPr>
              <w:t>2016</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b w:val="1"/>
                <w:bCs w:val="1"/>
                <w:color w:val="auto"/>
              </w:rPr>
              <w:t>2015</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ind w:left="160"/>
              <w:spacing w:after="0"/>
              <w:rPr>
                <w:sz w:val="20"/>
                <w:szCs w:val="20"/>
                <w:color w:val="auto"/>
              </w:rPr>
            </w:pPr>
            <w:r>
              <w:rPr>
                <w:rFonts w:ascii="Arial" w:cs="Arial" w:eastAsia="Arial" w:hAnsi="Arial"/>
                <w:sz w:val="17"/>
                <w:szCs w:val="17"/>
                <w:b w:val="1"/>
                <w:bCs w:val="1"/>
                <w:color w:val="auto"/>
              </w:rPr>
              <w:t>Change</w:t>
            </w:r>
          </w:p>
        </w:tc>
        <w:tc>
          <w:tcPr>
            <w:tcW w:w="1440" w:type="dxa"/>
            <w:vAlign w:val="bottom"/>
          </w:tcPr>
          <w:p>
            <w:pPr>
              <w:jc w:val="right"/>
              <w:ind w:right="376"/>
              <w:spacing w:after="0"/>
              <w:rPr>
                <w:sz w:val="20"/>
                <w:szCs w:val="20"/>
                <w:color w:val="auto"/>
              </w:rPr>
            </w:pPr>
            <w:r>
              <w:rPr>
                <w:rFonts w:ascii="Arial" w:cs="Arial" w:eastAsia="Arial" w:hAnsi="Arial"/>
                <w:sz w:val="17"/>
                <w:szCs w:val="17"/>
                <w:b w:val="1"/>
                <w:bCs w:val="1"/>
                <w:color w:val="auto"/>
              </w:rPr>
              <w:t>change</w:t>
            </w:r>
          </w:p>
        </w:tc>
        <w:tc>
          <w:tcPr>
            <w:tcW w:w="0" w:type="dxa"/>
            <w:vAlign w:val="bottom"/>
          </w:tcPr>
          <w:p>
            <w:pPr>
              <w:spacing w:after="0"/>
              <w:rPr>
                <w:sz w:val="1"/>
                <w:szCs w:val="1"/>
                <w:color w:val="auto"/>
              </w:rPr>
            </w:pPr>
          </w:p>
        </w:tc>
      </w:tr>
      <w:tr>
        <w:trPr>
          <w:trHeight w:val="26"/>
        </w:trPr>
        <w:tc>
          <w:tcPr>
            <w:tcW w:w="4780" w:type="dxa"/>
            <w:vAlign w:val="bottom"/>
          </w:tcPr>
          <w:p>
            <w:pPr>
              <w:spacing w:after="0"/>
              <w:rPr>
                <w:sz w:val="2"/>
                <w:szCs w:val="2"/>
                <w:color w:val="auto"/>
              </w:rPr>
            </w:pPr>
          </w:p>
        </w:tc>
        <w:tc>
          <w:tcPr>
            <w:tcW w:w="2380" w:type="dxa"/>
            <w:vAlign w:val="bottom"/>
            <w:tcBorders>
              <w:bottom w:val="single" w:sz="8" w:color="auto"/>
            </w:tcBorders>
            <w:gridSpan w:val="4"/>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4780" w:type="dxa"/>
            <w:vAlign w:val="bottom"/>
          </w:tcPr>
          <w:p>
            <w:pPr>
              <w:spacing w:after="0"/>
              <w:rPr>
                <w:sz w:val="19"/>
                <w:szCs w:val="19"/>
                <w:color w:val="auto"/>
              </w:rPr>
            </w:pPr>
          </w:p>
        </w:tc>
        <w:tc>
          <w:tcPr>
            <w:tcW w:w="2380" w:type="dxa"/>
            <w:vAlign w:val="bottom"/>
            <w:gridSpan w:val="4"/>
          </w:tcPr>
          <w:p>
            <w:pPr>
              <w:jc w:val="right"/>
              <w:ind w:right="136"/>
              <w:spacing w:after="0"/>
              <w:rPr>
                <w:sz w:val="20"/>
                <w:szCs w:val="20"/>
                <w:color w:val="auto"/>
              </w:rPr>
            </w:pPr>
            <w:r>
              <w:rPr>
                <w:rFonts w:ascii="Arial" w:cs="Arial" w:eastAsia="Arial" w:hAnsi="Arial"/>
                <w:sz w:val="17"/>
                <w:szCs w:val="17"/>
                <w:b w:val="1"/>
                <w:bCs w:val="1"/>
                <w:color w:val="auto"/>
              </w:rPr>
              <w:t>(dollars in millions)</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47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Operations Management</w:t>
            </w: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7"/>
                <w:szCs w:val="17"/>
                <w:color w:val="auto"/>
              </w:rPr>
              <w:t>$</w:t>
            </w:r>
          </w:p>
        </w:tc>
        <w:tc>
          <w:tcPr>
            <w:tcW w:w="5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w w:val="93"/>
              </w:rPr>
              <w:t>388.5</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7"/>
                <w:szCs w:val="17"/>
                <w:color w:val="auto"/>
                <w:w w:val="84"/>
              </w:rPr>
              <w:t>$</w:t>
            </w:r>
          </w:p>
        </w:tc>
        <w:tc>
          <w:tcPr>
            <w:tcW w:w="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w w:val="89"/>
              </w:rPr>
              <w:t>376.9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11.6</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227"/>
        </w:trPr>
        <w:tc>
          <w:tcPr>
            <w:tcW w:w="4780" w:type="dxa"/>
            <w:vAlign w:val="bottom"/>
          </w:tcPr>
          <w:p>
            <w:pPr>
              <w:ind w:left="20"/>
              <w:spacing w:after="0"/>
              <w:rPr>
                <w:sz w:val="20"/>
                <w:szCs w:val="20"/>
                <w:color w:val="auto"/>
              </w:rPr>
            </w:pPr>
            <w:r>
              <w:rPr>
                <w:rFonts w:ascii="Arial" w:cs="Arial" w:eastAsia="Arial" w:hAnsi="Arial"/>
                <w:sz w:val="17"/>
                <w:szCs w:val="17"/>
                <w:color w:val="auto"/>
              </w:rPr>
              <w:t>Analytics</w:t>
            </w:r>
          </w:p>
        </w:tc>
        <w:tc>
          <w:tcPr>
            <w:tcW w:w="880" w:type="dxa"/>
            <w:vAlign w:val="bottom"/>
          </w:tcPr>
          <w:p>
            <w:pPr>
              <w:spacing w:after="0"/>
              <w:rPr>
                <w:sz w:val="19"/>
                <w:szCs w:val="19"/>
                <w:color w:val="auto"/>
              </w:rPr>
            </w:pPr>
          </w:p>
        </w:tc>
        <w:tc>
          <w:tcPr>
            <w:tcW w:w="520" w:type="dxa"/>
            <w:vAlign w:val="bottom"/>
          </w:tcPr>
          <w:p>
            <w:pPr>
              <w:jc w:val="right"/>
              <w:ind w:right="16"/>
              <w:spacing w:after="0"/>
              <w:rPr>
                <w:sz w:val="20"/>
                <w:szCs w:val="20"/>
                <w:color w:val="auto"/>
              </w:rPr>
            </w:pPr>
            <w:r>
              <w:rPr>
                <w:rFonts w:ascii="Arial" w:cs="Arial" w:eastAsia="Arial" w:hAnsi="Arial"/>
                <w:sz w:val="17"/>
                <w:szCs w:val="17"/>
                <w:color w:val="auto"/>
                <w:w w:val="93"/>
              </w:rPr>
              <w:t>120.2</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jc w:val="right"/>
              <w:ind w:right="16"/>
              <w:spacing w:after="0"/>
              <w:rPr>
                <w:sz w:val="20"/>
                <w:szCs w:val="20"/>
                <w:color w:val="auto"/>
              </w:rPr>
            </w:pPr>
            <w:r>
              <w:rPr>
                <w:rFonts w:ascii="Arial" w:cs="Arial" w:eastAsia="Arial" w:hAnsi="Arial"/>
                <w:sz w:val="17"/>
                <w:szCs w:val="17"/>
                <w:color w:val="auto"/>
              </w:rPr>
              <w:t>85.7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ind w:right="16"/>
              <w:spacing w:after="0"/>
              <w:rPr>
                <w:sz w:val="20"/>
                <w:szCs w:val="20"/>
                <w:color w:val="auto"/>
              </w:rPr>
            </w:pPr>
            <w:r>
              <w:rPr>
                <w:rFonts w:ascii="Arial" w:cs="Arial" w:eastAsia="Arial" w:hAnsi="Arial"/>
                <w:sz w:val="17"/>
                <w:szCs w:val="17"/>
                <w:color w:val="auto"/>
              </w:rPr>
              <w:t>34.5</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40.3%</w:t>
            </w:r>
          </w:p>
        </w:tc>
        <w:tc>
          <w:tcPr>
            <w:tcW w:w="0" w:type="dxa"/>
            <w:vAlign w:val="bottom"/>
          </w:tcPr>
          <w:p>
            <w:pPr>
              <w:spacing w:after="0"/>
              <w:rPr>
                <w:sz w:val="1"/>
                <w:szCs w:val="1"/>
                <w:color w:val="auto"/>
              </w:rPr>
            </w:pPr>
          </w:p>
        </w:tc>
      </w:tr>
      <w:tr>
        <w:trPr>
          <w:trHeight w:val="26"/>
        </w:trPr>
        <w:tc>
          <w:tcPr>
            <w:tcW w:w="47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revenues, net</w:t>
            </w: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7"/>
                <w:szCs w:val="17"/>
                <w:color w:val="auto"/>
              </w:rPr>
              <w:t>$</w:t>
            </w:r>
          </w:p>
        </w:tc>
        <w:tc>
          <w:tcPr>
            <w:tcW w:w="5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w w:val="93"/>
              </w:rPr>
              <w:t>508.7</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7"/>
                <w:szCs w:val="17"/>
                <w:color w:val="auto"/>
                <w:w w:val="84"/>
              </w:rPr>
              <w:t>$</w:t>
            </w:r>
          </w:p>
        </w:tc>
        <w:tc>
          <w:tcPr>
            <w:tcW w:w="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w w:val="89"/>
              </w:rPr>
              <w:t>462.6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46.1</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520"/>
        <w:spacing w:after="0"/>
        <w:rPr>
          <w:sz w:val="20"/>
          <w:szCs w:val="20"/>
          <w:color w:val="auto"/>
        </w:rPr>
      </w:pPr>
      <w:r>
        <w:rPr>
          <w:rFonts w:ascii="Arial" w:cs="Arial" w:eastAsia="Arial" w:hAnsi="Arial"/>
          <w:sz w:val="15"/>
          <w:szCs w:val="15"/>
          <w:color w:val="auto"/>
        </w:rPr>
        <w:t>Revenues for the nine months ended September 30, 2016 were $508.7 million, up $46.1 million, or 10.0%, compared to the nine months ended September 30,</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color w:val="auto"/>
        </w:rPr>
        <w:t>2015.</w:t>
      </w:r>
    </w:p>
    <w:p>
      <w:pPr>
        <w:spacing w:after="0" w:line="96"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7"/>
          <w:szCs w:val="17"/>
          <w:color w:val="auto"/>
        </w:rPr>
        <w:t>Revenue growth in Operations Management of $11.6 million was driven by net volume increases from our new and existing clients of $17.5 million and incremental revenue of $0.7 million from our Liss acquisition. This increase in revenues was offset by a $6.6 million impact due to the depreciation of the Indian rupee, the U.K. pound sterling and the Philippine peso against the U.S. dollar during the nine months ended September 30, 2016 compared to the three months ended September 30, 2015.</w:t>
      </w:r>
    </w:p>
    <w:p>
      <w:pPr>
        <w:spacing w:after="0" w:line="79"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7"/>
          <w:szCs w:val="17"/>
          <w:color w:val="auto"/>
        </w:rPr>
        <w:t>Revenue growth in Analytics of $34.5 million was driven by net volume increases in our recurring and project based engagements from our existing and new clients of $23.8 million and incremental revenue of $12.3 million from our RPM and IQR acquisitions. The increase was offset by a decrease of $1.6 million due to the depreciation of the U.K. pound sterling against the U.S. dollar during the nine months ended September 30, 2016 compared to the nine months ended September 30,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1420"/>
          </w:cols>
          <w:pgMar w:left="240" w:top="311" w:right="2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95"/>
        </w:trPr>
        <w:tc>
          <w:tcPr>
            <w:tcW w:w="4940" w:type="dxa"/>
            <w:vAlign w:val="bottom"/>
            <w:gridSpan w:val="3"/>
          </w:tcPr>
          <w:p>
            <w:pPr>
              <w:spacing w:after="0"/>
              <w:rPr>
                <w:rFonts w:ascii="Arial" w:cs="Arial" w:eastAsia="Arial" w:hAnsi="Arial"/>
                <w:sz w:val="17"/>
                <w:szCs w:val="17"/>
                <w:b w:val="1"/>
                <w:bCs w:val="1"/>
                <w:color w:val="0000EE"/>
              </w:rPr>
            </w:pPr>
            <w:hyperlink w:anchor="page2">
              <w:r>
                <w:rPr>
                  <w:rFonts w:ascii="Arial" w:cs="Arial" w:eastAsia="Arial" w:hAnsi="Arial"/>
                  <w:sz w:val="17"/>
                  <w:szCs w:val="17"/>
                  <w:b w:val="1"/>
                  <w:bCs w:val="1"/>
                  <w:color w:val="0000EE"/>
                </w:rPr>
                <w:t>Table of Contents</w:t>
              </w:r>
            </w:hyperlink>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9"/>
        </w:trPr>
        <w:tc>
          <w:tcPr>
            <w:tcW w:w="300" w:type="dxa"/>
            <w:vAlign w:val="bottom"/>
          </w:tcPr>
          <w:p>
            <w:pPr>
              <w:spacing w:after="0"/>
              <w:rPr>
                <w:sz w:val="24"/>
                <w:szCs w:val="24"/>
                <w:color w:val="auto"/>
              </w:rPr>
            </w:pPr>
          </w:p>
        </w:tc>
        <w:tc>
          <w:tcPr>
            <w:tcW w:w="4640" w:type="dxa"/>
            <w:vAlign w:val="bottom"/>
            <w:gridSpan w:val="2"/>
          </w:tcPr>
          <w:p>
            <w:pPr>
              <w:ind w:left="100"/>
              <w:spacing w:after="0"/>
              <w:rPr>
                <w:sz w:val="20"/>
                <w:szCs w:val="20"/>
                <w:color w:val="auto"/>
              </w:rPr>
            </w:pPr>
            <w:r>
              <w:rPr>
                <w:rFonts w:ascii="Arial" w:cs="Arial" w:eastAsia="Arial" w:hAnsi="Arial"/>
                <w:sz w:val="17"/>
                <w:szCs w:val="17"/>
                <w:b w:val="1"/>
                <w:bCs w:val="1"/>
                <w:i w:val="1"/>
                <w:iCs w:val="1"/>
                <w:color w:val="auto"/>
              </w:rPr>
              <w:t>Cost of Revenues.</w:t>
            </w: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40" w:type="dxa"/>
            <w:vAlign w:val="bottom"/>
            <w:gridSpan w:val="5"/>
          </w:tcPr>
          <w:p>
            <w:pPr>
              <w:jc w:val="center"/>
              <w:ind w:right="280"/>
              <w:spacing w:after="0"/>
              <w:rPr>
                <w:sz w:val="20"/>
                <w:szCs w:val="20"/>
                <w:color w:val="auto"/>
              </w:rPr>
            </w:pPr>
            <w:r>
              <w:rPr>
                <w:rFonts w:ascii="Arial" w:cs="Arial" w:eastAsia="Arial" w:hAnsi="Arial"/>
                <w:sz w:val="17"/>
                <w:szCs w:val="17"/>
                <w:b w:val="1"/>
                <w:bCs w:val="1"/>
                <w:color w:val="auto"/>
                <w:w w:val="88"/>
              </w:rPr>
              <w:t>Nine months ended September 30,</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vMerge w:val="restart"/>
          </w:tcPr>
          <w:p>
            <w:pPr>
              <w:jc w:val="right"/>
              <w:ind w:right="236"/>
              <w:spacing w:after="0"/>
              <w:rPr>
                <w:sz w:val="20"/>
                <w:szCs w:val="20"/>
                <w:color w:val="auto"/>
              </w:rPr>
            </w:pPr>
            <w:r>
              <w:rPr>
                <w:rFonts w:ascii="Arial" w:cs="Arial" w:eastAsia="Arial" w:hAnsi="Arial"/>
                <w:sz w:val="17"/>
                <w:szCs w:val="17"/>
                <w:b w:val="1"/>
                <w:bCs w:val="1"/>
                <w:color w:val="auto"/>
              </w:rPr>
              <w:t>Percentage</w:t>
            </w:r>
          </w:p>
        </w:tc>
        <w:tc>
          <w:tcPr>
            <w:tcW w:w="0" w:type="dxa"/>
            <w:vAlign w:val="bottom"/>
          </w:tcPr>
          <w:p>
            <w:pPr>
              <w:spacing w:after="0"/>
              <w:rPr>
                <w:sz w:val="1"/>
                <w:szCs w:val="1"/>
                <w:color w:val="auto"/>
              </w:rPr>
            </w:pPr>
          </w:p>
        </w:tc>
      </w:tr>
      <w:tr>
        <w:trPr>
          <w:trHeight w:val="26"/>
        </w:trPr>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ind w:right="456"/>
              <w:spacing w:after="0"/>
              <w:rPr>
                <w:sz w:val="20"/>
                <w:szCs w:val="20"/>
                <w:color w:val="auto"/>
              </w:rPr>
            </w:pPr>
            <w:r>
              <w:rPr>
                <w:rFonts w:ascii="Arial" w:cs="Arial" w:eastAsia="Arial" w:hAnsi="Arial"/>
                <w:sz w:val="17"/>
                <w:szCs w:val="17"/>
                <w:b w:val="1"/>
                <w:bCs w:val="1"/>
                <w:color w:val="auto"/>
              </w:rPr>
              <w:t>2016</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476"/>
              <w:spacing w:after="0"/>
              <w:rPr>
                <w:sz w:val="20"/>
                <w:szCs w:val="20"/>
                <w:color w:val="auto"/>
              </w:rPr>
            </w:pPr>
            <w:r>
              <w:rPr>
                <w:rFonts w:ascii="Arial" w:cs="Arial" w:eastAsia="Arial" w:hAnsi="Arial"/>
                <w:sz w:val="17"/>
                <w:szCs w:val="17"/>
                <w:b w:val="1"/>
                <w:bCs w:val="1"/>
                <w:color w:val="auto"/>
              </w:rPr>
              <w:t>2015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ind w:left="140"/>
              <w:spacing w:after="0"/>
              <w:rPr>
                <w:sz w:val="20"/>
                <w:szCs w:val="20"/>
                <w:color w:val="auto"/>
              </w:rPr>
            </w:pPr>
            <w:r>
              <w:rPr>
                <w:rFonts w:ascii="Arial" w:cs="Arial" w:eastAsia="Arial" w:hAnsi="Arial"/>
                <w:sz w:val="17"/>
                <w:szCs w:val="17"/>
                <w:b w:val="1"/>
                <w:bCs w:val="1"/>
                <w:color w:val="auto"/>
              </w:rPr>
              <w:t>Change</w:t>
            </w:r>
          </w:p>
        </w:tc>
        <w:tc>
          <w:tcPr>
            <w:tcW w:w="1440" w:type="dxa"/>
            <w:vAlign w:val="bottom"/>
          </w:tcPr>
          <w:p>
            <w:pPr>
              <w:jc w:val="right"/>
              <w:ind w:right="376"/>
              <w:spacing w:after="0"/>
              <w:rPr>
                <w:sz w:val="20"/>
                <w:szCs w:val="20"/>
                <w:color w:val="auto"/>
              </w:rPr>
            </w:pPr>
            <w:r>
              <w:rPr>
                <w:rFonts w:ascii="Arial" w:cs="Arial" w:eastAsia="Arial" w:hAnsi="Arial"/>
                <w:sz w:val="17"/>
                <w:szCs w:val="17"/>
                <w:b w:val="1"/>
                <w:bCs w:val="1"/>
                <w:color w:val="auto"/>
              </w:rPr>
              <w:t>change</w:t>
            </w:r>
          </w:p>
        </w:tc>
        <w:tc>
          <w:tcPr>
            <w:tcW w:w="0" w:type="dxa"/>
            <w:vAlign w:val="bottom"/>
          </w:tcPr>
          <w:p>
            <w:pPr>
              <w:spacing w:after="0"/>
              <w:rPr>
                <w:sz w:val="1"/>
                <w:szCs w:val="1"/>
                <w:color w:val="auto"/>
              </w:rPr>
            </w:pPr>
          </w:p>
        </w:tc>
      </w:tr>
      <w:tr>
        <w:trPr>
          <w:trHeight w:val="26"/>
        </w:trPr>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940" w:type="dxa"/>
            <w:vAlign w:val="bottom"/>
            <w:gridSpan w:val="5"/>
          </w:tcPr>
          <w:p>
            <w:pPr>
              <w:jc w:val="center"/>
              <w:ind w:right="300"/>
              <w:spacing w:after="0"/>
              <w:rPr>
                <w:sz w:val="20"/>
                <w:szCs w:val="20"/>
                <w:color w:val="auto"/>
              </w:rPr>
            </w:pPr>
            <w:r>
              <w:rPr>
                <w:rFonts w:ascii="Arial" w:cs="Arial" w:eastAsia="Arial" w:hAnsi="Arial"/>
                <w:sz w:val="17"/>
                <w:szCs w:val="17"/>
                <w:b w:val="1"/>
                <w:bCs w:val="1"/>
                <w:color w:val="auto"/>
                <w:w w:val="89"/>
              </w:rPr>
              <w:t>(dollars in millions)</w:t>
            </w: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300" w:type="dxa"/>
            <w:vAlign w:val="bottom"/>
          </w:tcPr>
          <w:p>
            <w:pPr>
              <w:spacing w:after="0"/>
              <w:rPr>
                <w:sz w:val="20"/>
                <w:szCs w:val="20"/>
                <w:color w:val="auto"/>
              </w:rPr>
            </w:pPr>
          </w:p>
        </w:tc>
        <w:tc>
          <w:tcPr>
            <w:tcW w:w="4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Revenues, net</w:t>
            </w: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7"/>
                <w:szCs w:val="17"/>
                <w:color w:val="auto"/>
              </w:rPr>
              <w:t>508.7</w:t>
            </w:r>
          </w:p>
        </w:tc>
        <w:tc>
          <w:tcPr>
            <w:tcW w:w="1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7"/>
                <w:szCs w:val="17"/>
                <w:color w:val="auto"/>
              </w:rPr>
              <w:t>462.6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46.1</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27"/>
        </w:trPr>
        <w:tc>
          <w:tcPr>
            <w:tcW w:w="300" w:type="dxa"/>
            <w:vAlign w:val="bottom"/>
          </w:tcPr>
          <w:p>
            <w:pPr>
              <w:spacing w:after="0"/>
              <w:rPr>
                <w:sz w:val="19"/>
                <w:szCs w:val="19"/>
                <w:color w:val="auto"/>
              </w:rPr>
            </w:pPr>
          </w:p>
        </w:tc>
        <w:tc>
          <w:tcPr>
            <w:tcW w:w="4640" w:type="dxa"/>
            <w:vAlign w:val="bottom"/>
            <w:gridSpan w:val="2"/>
          </w:tcPr>
          <w:p>
            <w:pPr>
              <w:ind w:left="20"/>
              <w:spacing w:after="0"/>
              <w:rPr>
                <w:sz w:val="20"/>
                <w:szCs w:val="20"/>
                <w:color w:val="auto"/>
              </w:rPr>
            </w:pPr>
            <w:r>
              <w:rPr>
                <w:rFonts w:ascii="Arial" w:cs="Arial" w:eastAsia="Arial" w:hAnsi="Arial"/>
                <w:sz w:val="17"/>
                <w:szCs w:val="17"/>
                <w:color w:val="auto"/>
              </w:rPr>
              <w:t>Cost of revenues</w:t>
            </w:r>
          </w:p>
        </w:tc>
        <w:tc>
          <w:tcPr>
            <w:tcW w:w="220" w:type="dxa"/>
            <w:vAlign w:val="bottom"/>
          </w:tcPr>
          <w:p>
            <w:pPr>
              <w:spacing w:after="0"/>
              <w:rPr>
                <w:sz w:val="19"/>
                <w:szCs w:val="19"/>
                <w:color w:val="auto"/>
              </w:rPr>
            </w:pPr>
          </w:p>
        </w:tc>
        <w:tc>
          <w:tcPr>
            <w:tcW w:w="1220" w:type="dxa"/>
            <w:vAlign w:val="bottom"/>
          </w:tcPr>
          <w:p>
            <w:pPr>
              <w:jc w:val="right"/>
              <w:ind w:right="96"/>
              <w:spacing w:after="0"/>
              <w:rPr>
                <w:sz w:val="20"/>
                <w:szCs w:val="20"/>
                <w:color w:val="auto"/>
              </w:rPr>
            </w:pPr>
            <w:r>
              <w:rPr>
                <w:rFonts w:ascii="Arial" w:cs="Arial" w:eastAsia="Arial" w:hAnsi="Arial"/>
                <w:sz w:val="17"/>
                <w:szCs w:val="17"/>
                <w:color w:val="auto"/>
              </w:rPr>
              <w:t>332.2</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96"/>
              <w:spacing w:after="0"/>
              <w:rPr>
                <w:sz w:val="20"/>
                <w:szCs w:val="20"/>
                <w:color w:val="auto"/>
              </w:rPr>
            </w:pPr>
            <w:r>
              <w:rPr>
                <w:rFonts w:ascii="Arial" w:cs="Arial" w:eastAsia="Arial" w:hAnsi="Arial"/>
                <w:sz w:val="17"/>
                <w:szCs w:val="17"/>
                <w:color w:val="auto"/>
              </w:rPr>
              <w:t>296.8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ind w:right="16"/>
              <w:spacing w:after="0"/>
              <w:rPr>
                <w:sz w:val="20"/>
                <w:szCs w:val="20"/>
                <w:color w:val="auto"/>
              </w:rPr>
            </w:pPr>
            <w:r>
              <w:rPr>
                <w:rFonts w:ascii="Arial" w:cs="Arial" w:eastAsia="Arial" w:hAnsi="Arial"/>
                <w:sz w:val="17"/>
                <w:szCs w:val="17"/>
                <w:color w:val="auto"/>
              </w:rPr>
              <w:t>35.4</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11.9%</w:t>
            </w:r>
          </w:p>
        </w:tc>
        <w:tc>
          <w:tcPr>
            <w:tcW w:w="0" w:type="dxa"/>
            <w:vAlign w:val="bottom"/>
          </w:tcPr>
          <w:p>
            <w:pPr>
              <w:spacing w:after="0"/>
              <w:rPr>
                <w:sz w:val="1"/>
                <w:szCs w:val="1"/>
                <w:color w:val="auto"/>
              </w:rPr>
            </w:pPr>
          </w:p>
        </w:tc>
      </w:tr>
      <w:tr>
        <w:trPr>
          <w:trHeight w:val="26"/>
        </w:trPr>
        <w:tc>
          <w:tcPr>
            <w:tcW w:w="300" w:type="dxa"/>
            <w:vAlign w:val="bottom"/>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36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00" w:type="dxa"/>
            <w:vAlign w:val="bottom"/>
          </w:tcPr>
          <w:p>
            <w:pPr>
              <w:spacing w:after="0"/>
              <w:rPr>
                <w:sz w:val="21"/>
                <w:szCs w:val="21"/>
                <w:color w:val="auto"/>
              </w:rPr>
            </w:pPr>
          </w:p>
        </w:tc>
        <w:tc>
          <w:tcPr>
            <w:tcW w:w="4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7"/>
                <w:szCs w:val="17"/>
                <w:color w:val="auto"/>
              </w:rPr>
              <w:t>176.5</w:t>
            </w:r>
          </w:p>
        </w:tc>
        <w:tc>
          <w:tcPr>
            <w:tcW w:w="1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7"/>
                <w:szCs w:val="17"/>
                <w:color w:val="auto"/>
              </w:rPr>
              <w:t>165.8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6.5%</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46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7"/>
                <w:szCs w:val="17"/>
                <w:color w:val="auto"/>
              </w:rPr>
              <w:t>As a percentage of revenues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300" w:type="dxa"/>
            <w:vAlign w:val="bottom"/>
          </w:tcPr>
          <w:p>
            <w:pPr>
              <w:spacing w:after="0"/>
              <w:rPr>
                <w:sz w:val="17"/>
                <w:szCs w:val="17"/>
                <w:color w:val="auto"/>
              </w:rPr>
            </w:pPr>
          </w:p>
        </w:tc>
        <w:tc>
          <w:tcPr>
            <w:tcW w:w="464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34.7%</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35.8%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15" w:lineRule="exact"/>
        <w:rPr>
          <w:sz w:val="20"/>
          <w:szCs w:val="20"/>
          <w:color w:val="auto"/>
        </w:rPr>
      </w:pPr>
    </w:p>
    <w:p>
      <w:pPr>
        <w:jc w:val="both"/>
        <w:ind w:firstLine="518"/>
        <w:spacing w:after="0" w:line="252" w:lineRule="auto"/>
        <w:rPr>
          <w:sz w:val="20"/>
          <w:szCs w:val="20"/>
          <w:color w:val="auto"/>
        </w:rPr>
      </w:pPr>
      <w:r>
        <w:rPr>
          <w:rFonts w:ascii="Arial" w:cs="Arial" w:eastAsia="Arial" w:hAnsi="Arial"/>
          <w:sz w:val="17"/>
          <w:szCs w:val="17"/>
          <w:color w:val="auto"/>
        </w:rPr>
        <w:t>The increase in cost of revenues was primarily due to an increase in employee-related costs of $30.6 million (including $1.9 million of incremental employee-related costs related to our acquisitions). The remaining increase of $28.7 million in employee-related cost was primarily due to annual wage increases and an increase in our average headcount of personnel directly involved in providing services to our clients. We also experienced an increase in facilities, technology and other operating expenses of $11.6 million (including incremental cost of revenues of $6.6 million related to our acquisitions) and in reimbursable expenses of $2.8 million, resulting in a corresponding increase in revenues. These increases were partially offset by a decrease of $9.6 million due to the impact of depreciation of the Indian rupee, the U.K pound sterling and the Philippine peso against the U.S. dollar during the nine months ended September 30, 2016 compared to the nine months ended September 30, 2015.</w:t>
      </w:r>
    </w:p>
    <w:p>
      <w:pPr>
        <w:spacing w:after="0" w:line="177" w:lineRule="exact"/>
        <w:rPr>
          <w:sz w:val="20"/>
          <w:szCs w:val="20"/>
          <w:color w:val="auto"/>
        </w:rPr>
      </w:pPr>
    </w:p>
    <w:p>
      <w:pPr>
        <w:jc w:val="both"/>
        <w:ind w:firstLine="379"/>
        <w:spacing w:after="0" w:line="313" w:lineRule="auto"/>
        <w:rPr>
          <w:sz w:val="20"/>
          <w:szCs w:val="20"/>
          <w:color w:val="auto"/>
        </w:rPr>
      </w:pPr>
      <w:r>
        <w:rPr>
          <w:rFonts w:ascii="Arial" w:cs="Arial" w:eastAsia="Arial" w:hAnsi="Arial"/>
          <w:sz w:val="15"/>
          <w:szCs w:val="15"/>
          <w:b w:val="1"/>
          <w:bCs w:val="1"/>
          <w:i w:val="1"/>
          <w:iCs w:val="1"/>
          <w:color w:val="auto"/>
        </w:rPr>
        <w:t>Gross Profit</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Gross profit increased by $10.7 million, or 6.5%, from $165.8 million for the nine months ended September 30, 2015 to $176.5 million for the nine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months ended September 30, 2016. The increase was primarily due to higher revenues in our Analytics services and depreciation of the Indian rupee, the Philippine peso and the U.K. pound sterling against the U.S. dollar, partially offset by lower revenues in our consulting and platform businesses in our Operations Management segment.</w:t>
      </w:r>
    </w:p>
    <w:p>
      <w:pPr>
        <w:spacing w:after="0" w:line="138" w:lineRule="exact"/>
        <w:rPr>
          <w:sz w:val="20"/>
          <w:szCs w:val="20"/>
          <w:color w:val="auto"/>
        </w:rPr>
      </w:pPr>
    </w:p>
    <w:tbl>
      <w:tblPr>
        <w:tblLayout w:type="fixed"/>
        <w:tblInd w:w="300" w:type="dxa"/>
        <w:tblCellMar>
          <w:top w:w="0" w:type="dxa"/>
          <w:left w:w="0" w:type="dxa"/>
          <w:bottom w:w="0" w:type="dxa"/>
          <w:right w:w="0" w:type="dxa"/>
        </w:tblCellMar>
      </w:tblPr>
      <w:tr>
        <w:trPr>
          <w:trHeight w:val="214"/>
        </w:trPr>
        <w:tc>
          <w:tcPr>
            <w:tcW w:w="4640" w:type="dxa"/>
            <w:vAlign w:val="bottom"/>
          </w:tcPr>
          <w:p>
            <w:pPr>
              <w:ind w:left="80"/>
              <w:spacing w:after="0"/>
              <w:rPr>
                <w:sz w:val="20"/>
                <w:szCs w:val="20"/>
                <w:color w:val="auto"/>
              </w:rPr>
            </w:pPr>
            <w:r>
              <w:rPr>
                <w:rFonts w:ascii="Arial" w:cs="Arial" w:eastAsia="Arial" w:hAnsi="Arial"/>
                <w:sz w:val="17"/>
                <w:szCs w:val="17"/>
                <w:b w:val="1"/>
                <w:bCs w:val="1"/>
                <w:i w:val="1"/>
                <w:iCs w:val="1"/>
                <w:color w:val="auto"/>
                <w:w w:val="99"/>
              </w:rPr>
              <w:t>Selling, General and Administrative (“SG&amp;A”) Expenses.</w:t>
            </w: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4"/>
        </w:trPr>
        <w:tc>
          <w:tcPr>
            <w:tcW w:w="4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40" w:type="dxa"/>
            <w:vAlign w:val="bottom"/>
            <w:gridSpan w:val="5"/>
          </w:tcPr>
          <w:p>
            <w:pPr>
              <w:ind w:left="100"/>
              <w:spacing w:after="0"/>
              <w:rPr>
                <w:sz w:val="20"/>
                <w:szCs w:val="20"/>
                <w:color w:val="auto"/>
              </w:rPr>
            </w:pPr>
            <w:r>
              <w:rPr>
                <w:rFonts w:ascii="Arial" w:cs="Arial" w:eastAsia="Arial" w:hAnsi="Arial"/>
                <w:sz w:val="17"/>
                <w:szCs w:val="17"/>
                <w:b w:val="1"/>
                <w:bCs w:val="1"/>
                <w:color w:val="auto"/>
              </w:rPr>
              <w:t>Nine months ended September 30,</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vMerge w:val="restart"/>
          </w:tcPr>
          <w:p>
            <w:pPr>
              <w:jc w:val="right"/>
              <w:ind w:right="236"/>
              <w:spacing w:after="0"/>
              <w:rPr>
                <w:sz w:val="20"/>
                <w:szCs w:val="20"/>
                <w:color w:val="auto"/>
              </w:rPr>
            </w:pPr>
            <w:r>
              <w:rPr>
                <w:rFonts w:ascii="Arial" w:cs="Arial" w:eastAsia="Arial" w:hAnsi="Arial"/>
                <w:sz w:val="17"/>
                <w:szCs w:val="17"/>
                <w:b w:val="1"/>
                <w:bCs w:val="1"/>
                <w:color w:val="auto"/>
              </w:rPr>
              <w:t>Percentage</w:t>
            </w:r>
          </w:p>
        </w:tc>
        <w:tc>
          <w:tcPr>
            <w:tcW w:w="0" w:type="dxa"/>
            <w:vAlign w:val="bottom"/>
          </w:tcPr>
          <w:p>
            <w:pPr>
              <w:spacing w:after="0"/>
              <w:rPr>
                <w:sz w:val="1"/>
                <w:szCs w:val="1"/>
                <w:color w:val="auto"/>
              </w:rPr>
            </w:pPr>
          </w:p>
        </w:tc>
      </w:tr>
      <w:tr>
        <w:trPr>
          <w:trHeight w:val="26"/>
        </w:trPr>
        <w:tc>
          <w:tcPr>
            <w:tcW w:w="46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4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ind w:right="456"/>
              <w:spacing w:after="0"/>
              <w:rPr>
                <w:sz w:val="20"/>
                <w:szCs w:val="20"/>
                <w:color w:val="auto"/>
              </w:rPr>
            </w:pPr>
            <w:r>
              <w:rPr>
                <w:rFonts w:ascii="Arial" w:cs="Arial" w:eastAsia="Arial" w:hAnsi="Arial"/>
                <w:sz w:val="17"/>
                <w:szCs w:val="17"/>
                <w:b w:val="1"/>
                <w:bCs w:val="1"/>
                <w:color w:val="auto"/>
              </w:rPr>
              <w:t>2016</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b w:val="1"/>
                <w:bCs w:val="1"/>
                <w:color w:val="auto"/>
              </w:rPr>
              <w:t>2015</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ind w:left="140"/>
              <w:spacing w:after="0"/>
              <w:rPr>
                <w:sz w:val="20"/>
                <w:szCs w:val="20"/>
                <w:color w:val="auto"/>
              </w:rPr>
            </w:pPr>
            <w:r>
              <w:rPr>
                <w:rFonts w:ascii="Arial" w:cs="Arial" w:eastAsia="Arial" w:hAnsi="Arial"/>
                <w:sz w:val="17"/>
                <w:szCs w:val="17"/>
                <w:b w:val="1"/>
                <w:bCs w:val="1"/>
                <w:color w:val="auto"/>
              </w:rPr>
              <w:t>Change</w:t>
            </w:r>
          </w:p>
        </w:tc>
        <w:tc>
          <w:tcPr>
            <w:tcW w:w="1440" w:type="dxa"/>
            <w:vAlign w:val="bottom"/>
          </w:tcPr>
          <w:p>
            <w:pPr>
              <w:jc w:val="right"/>
              <w:ind w:right="376"/>
              <w:spacing w:after="0"/>
              <w:rPr>
                <w:sz w:val="20"/>
                <w:szCs w:val="20"/>
                <w:color w:val="auto"/>
              </w:rPr>
            </w:pPr>
            <w:r>
              <w:rPr>
                <w:rFonts w:ascii="Arial" w:cs="Arial" w:eastAsia="Arial" w:hAnsi="Arial"/>
                <w:sz w:val="17"/>
                <w:szCs w:val="17"/>
                <w:b w:val="1"/>
                <w:bCs w:val="1"/>
                <w:color w:val="auto"/>
              </w:rPr>
              <w:t>change</w:t>
            </w:r>
          </w:p>
        </w:tc>
        <w:tc>
          <w:tcPr>
            <w:tcW w:w="0" w:type="dxa"/>
            <w:vAlign w:val="bottom"/>
          </w:tcPr>
          <w:p>
            <w:pPr>
              <w:spacing w:after="0"/>
              <w:rPr>
                <w:sz w:val="1"/>
                <w:szCs w:val="1"/>
                <w:color w:val="auto"/>
              </w:rPr>
            </w:pPr>
          </w:p>
        </w:tc>
      </w:tr>
      <w:tr>
        <w:trPr>
          <w:trHeight w:val="26"/>
        </w:trPr>
        <w:tc>
          <w:tcPr>
            <w:tcW w:w="46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gridSpan w:val="3"/>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4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20" w:type="dxa"/>
            <w:vAlign w:val="bottom"/>
            <w:gridSpan w:val="3"/>
          </w:tcPr>
          <w:p>
            <w:pPr>
              <w:jc w:val="right"/>
              <w:ind w:right="216"/>
              <w:spacing w:after="0"/>
              <w:rPr>
                <w:sz w:val="20"/>
                <w:szCs w:val="20"/>
                <w:color w:val="auto"/>
              </w:rPr>
            </w:pPr>
            <w:r>
              <w:rPr>
                <w:rFonts w:ascii="Arial" w:cs="Arial" w:eastAsia="Arial" w:hAnsi="Arial"/>
                <w:sz w:val="17"/>
                <w:szCs w:val="17"/>
                <w:b w:val="1"/>
                <w:bCs w:val="1"/>
                <w:color w:val="auto"/>
              </w:rPr>
              <w:t>(dollars in millions)</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4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General and administrative expenses</w:t>
            </w: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7"/>
                <w:szCs w:val="17"/>
                <w:color w:val="auto"/>
              </w:rPr>
              <w:t>63.6</w:t>
            </w: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7"/>
                <w:szCs w:val="17"/>
                <w:color w:val="auto"/>
              </w:rPr>
              <w:t>$</w:t>
            </w:r>
          </w:p>
        </w:tc>
        <w:tc>
          <w:tcPr>
            <w:tcW w:w="5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7"/>
                <w:szCs w:val="17"/>
                <w:color w:val="auto"/>
              </w:rPr>
              <w:t>57.4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6.2</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10.8%</w:t>
            </w:r>
          </w:p>
        </w:tc>
        <w:tc>
          <w:tcPr>
            <w:tcW w:w="0" w:type="dxa"/>
            <w:vAlign w:val="bottom"/>
          </w:tcPr>
          <w:p>
            <w:pPr>
              <w:spacing w:after="0"/>
              <w:rPr>
                <w:sz w:val="1"/>
                <w:szCs w:val="1"/>
                <w:color w:val="auto"/>
              </w:rPr>
            </w:pPr>
          </w:p>
        </w:tc>
      </w:tr>
      <w:tr>
        <w:trPr>
          <w:trHeight w:val="227"/>
        </w:trPr>
        <w:tc>
          <w:tcPr>
            <w:tcW w:w="4640" w:type="dxa"/>
            <w:vAlign w:val="bottom"/>
          </w:tcPr>
          <w:p>
            <w:pPr>
              <w:ind w:left="20"/>
              <w:spacing w:after="0"/>
              <w:rPr>
                <w:sz w:val="20"/>
                <w:szCs w:val="20"/>
                <w:color w:val="auto"/>
              </w:rPr>
            </w:pPr>
            <w:r>
              <w:rPr>
                <w:rFonts w:ascii="Arial" w:cs="Arial" w:eastAsia="Arial" w:hAnsi="Arial"/>
                <w:sz w:val="17"/>
                <w:szCs w:val="17"/>
                <w:color w:val="auto"/>
              </w:rPr>
              <w:t>Selling and marketing expenses</w:t>
            </w:r>
          </w:p>
        </w:tc>
        <w:tc>
          <w:tcPr>
            <w:tcW w:w="220" w:type="dxa"/>
            <w:vAlign w:val="bottom"/>
          </w:tcPr>
          <w:p>
            <w:pPr>
              <w:spacing w:after="0"/>
              <w:rPr>
                <w:sz w:val="19"/>
                <w:szCs w:val="19"/>
                <w:color w:val="auto"/>
              </w:rPr>
            </w:pPr>
          </w:p>
        </w:tc>
        <w:tc>
          <w:tcPr>
            <w:tcW w:w="1220" w:type="dxa"/>
            <w:vAlign w:val="bottom"/>
          </w:tcPr>
          <w:p>
            <w:pPr>
              <w:jc w:val="right"/>
              <w:ind w:right="96"/>
              <w:spacing w:after="0"/>
              <w:rPr>
                <w:sz w:val="20"/>
                <w:szCs w:val="20"/>
                <w:color w:val="auto"/>
              </w:rPr>
            </w:pPr>
            <w:r>
              <w:rPr>
                <w:rFonts w:ascii="Arial" w:cs="Arial" w:eastAsia="Arial" w:hAnsi="Arial"/>
                <w:sz w:val="17"/>
                <w:szCs w:val="17"/>
                <w:color w:val="auto"/>
              </w:rPr>
              <w:t>37.9</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ind w:left="60"/>
              <w:spacing w:after="0"/>
              <w:rPr>
                <w:sz w:val="20"/>
                <w:szCs w:val="20"/>
                <w:color w:val="auto"/>
              </w:rPr>
            </w:pPr>
            <w:r>
              <w:rPr>
                <w:rFonts w:ascii="Arial" w:cs="Arial" w:eastAsia="Arial" w:hAnsi="Arial"/>
                <w:sz w:val="17"/>
                <w:szCs w:val="17"/>
                <w:color w:val="auto"/>
              </w:rPr>
              <w:t>35.7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ind w:right="16"/>
              <w:spacing w:after="0"/>
              <w:rPr>
                <w:sz w:val="20"/>
                <w:szCs w:val="20"/>
                <w:color w:val="auto"/>
              </w:rPr>
            </w:pPr>
            <w:r>
              <w:rPr>
                <w:rFonts w:ascii="Arial" w:cs="Arial" w:eastAsia="Arial" w:hAnsi="Arial"/>
                <w:sz w:val="17"/>
                <w:szCs w:val="17"/>
                <w:color w:val="auto"/>
              </w:rPr>
              <w:t>2.2</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6.2%</w:t>
            </w:r>
          </w:p>
        </w:tc>
        <w:tc>
          <w:tcPr>
            <w:tcW w:w="0" w:type="dxa"/>
            <w:vAlign w:val="bottom"/>
          </w:tcPr>
          <w:p>
            <w:pPr>
              <w:spacing w:after="0"/>
              <w:rPr>
                <w:sz w:val="1"/>
                <w:szCs w:val="1"/>
                <w:color w:val="auto"/>
              </w:rPr>
            </w:pPr>
          </w:p>
        </w:tc>
      </w:tr>
      <w:tr>
        <w:trPr>
          <w:trHeight w:val="26"/>
        </w:trPr>
        <w:tc>
          <w:tcPr>
            <w:tcW w:w="46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Selling, general and administrative expenses</w:t>
            </w: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7"/>
                <w:szCs w:val="17"/>
                <w:color w:val="auto"/>
              </w:rPr>
              <w:t>101.5</w:t>
            </w: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7"/>
                <w:szCs w:val="17"/>
                <w:color w:val="auto"/>
              </w:rPr>
              <w:t>$</w:t>
            </w:r>
          </w:p>
        </w:tc>
        <w:tc>
          <w:tcPr>
            <w:tcW w:w="5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7"/>
                <w:szCs w:val="17"/>
                <w:color w:val="auto"/>
              </w:rPr>
              <w:t>93.1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8.9%</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As a percentage of revenues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6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20.0%</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Pr>
          <w:p>
            <w:pPr>
              <w:ind w:left="60"/>
              <w:spacing w:after="0"/>
              <w:rPr>
                <w:sz w:val="20"/>
                <w:szCs w:val="20"/>
                <w:color w:val="auto"/>
              </w:rPr>
            </w:pPr>
            <w:r>
              <w:rPr>
                <w:rFonts w:ascii="Arial" w:cs="Arial" w:eastAsia="Arial" w:hAnsi="Arial"/>
                <w:sz w:val="17"/>
                <w:szCs w:val="17"/>
                <w:color w:val="auto"/>
                <w:w w:val="91"/>
              </w:rPr>
              <w:t>20.1%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jc w:val="both"/>
        <w:ind w:firstLine="379"/>
        <w:spacing w:after="0" w:line="252" w:lineRule="auto"/>
        <w:rPr>
          <w:sz w:val="20"/>
          <w:szCs w:val="20"/>
          <w:color w:val="auto"/>
        </w:rPr>
      </w:pPr>
      <w:r>
        <w:rPr>
          <w:rFonts w:ascii="Arial" w:cs="Arial" w:eastAsia="Arial" w:hAnsi="Arial"/>
          <w:sz w:val="17"/>
          <w:szCs w:val="17"/>
          <w:color w:val="auto"/>
        </w:rPr>
        <w:t>The increase in SG&amp;A expenses was primarily due to an increase in employee-related costs of $9.2 million (including $2.6 million of incremental employee-related costs related to our acquisitions). The remaining increase of $6.6 million in employee-related cost was primarily due to annual wage increments and an increase in our average headcount to support increased business volume. We also experienced an increase in our other SG&amp;A expenses of $0.9 million (including $0.2 million related to our acquisitions) primarily due to an increase in our facilities costs in connection with our new operations centers in India and the Philippines and legal &amp; professional fees related to our acquisitions. This increase was partially offset by a decrease of $1.7 million due to the impact of depreciation of the Indian rupee, the U.K. pound sterling and the Philippine peso against the U.S. dollar during the nine months ended September 30, 2016 compared to the nine months ended September 30,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11420"/>
          </w:cols>
          <w:pgMar w:left="240" w:top="311" w:right="2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195"/>
        </w:trPr>
        <w:tc>
          <w:tcPr>
            <w:tcW w:w="4940" w:type="dxa"/>
            <w:vAlign w:val="bottom"/>
            <w:gridSpan w:val="3"/>
          </w:tcPr>
          <w:p>
            <w:pPr>
              <w:spacing w:after="0"/>
              <w:rPr>
                <w:rFonts w:ascii="Arial" w:cs="Arial" w:eastAsia="Arial" w:hAnsi="Arial"/>
                <w:sz w:val="17"/>
                <w:szCs w:val="17"/>
                <w:b w:val="1"/>
                <w:bCs w:val="1"/>
                <w:color w:val="0000EE"/>
              </w:rPr>
            </w:pPr>
            <w:hyperlink w:anchor="page2">
              <w:r>
                <w:rPr>
                  <w:rFonts w:ascii="Arial" w:cs="Arial" w:eastAsia="Arial" w:hAnsi="Arial"/>
                  <w:sz w:val="17"/>
                  <w:szCs w:val="17"/>
                  <w:b w:val="1"/>
                  <w:bCs w:val="1"/>
                  <w:color w:val="0000EE"/>
                </w:rPr>
                <w:t>Table of Contents</w:t>
              </w:r>
            </w:hyperlink>
          </w:p>
        </w:tc>
        <w:tc>
          <w:tcPr>
            <w:tcW w:w="9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0"/>
        </w:trPr>
        <w:tc>
          <w:tcPr>
            <w:tcW w:w="300" w:type="dxa"/>
            <w:vAlign w:val="bottom"/>
          </w:tcPr>
          <w:p>
            <w:pPr>
              <w:spacing w:after="0"/>
              <w:rPr>
                <w:sz w:val="24"/>
                <w:szCs w:val="24"/>
                <w:color w:val="auto"/>
              </w:rPr>
            </w:pPr>
          </w:p>
        </w:tc>
        <w:tc>
          <w:tcPr>
            <w:tcW w:w="4640" w:type="dxa"/>
            <w:vAlign w:val="bottom"/>
            <w:gridSpan w:val="2"/>
          </w:tcPr>
          <w:p>
            <w:pPr>
              <w:ind w:left="100"/>
              <w:spacing w:after="0"/>
              <w:rPr>
                <w:sz w:val="20"/>
                <w:szCs w:val="20"/>
                <w:color w:val="auto"/>
              </w:rPr>
            </w:pPr>
            <w:r>
              <w:rPr>
                <w:rFonts w:ascii="Arial" w:cs="Arial" w:eastAsia="Arial" w:hAnsi="Arial"/>
                <w:sz w:val="17"/>
                <w:szCs w:val="17"/>
                <w:b w:val="1"/>
                <w:bCs w:val="1"/>
                <w:i w:val="1"/>
                <w:iCs w:val="1"/>
                <w:color w:val="auto"/>
              </w:rPr>
              <w:t>Depreciation and Amortization.</w:t>
            </w: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160" w:type="dxa"/>
            <w:vAlign w:val="bottom"/>
            <w:gridSpan w:val="6"/>
          </w:tcPr>
          <w:p>
            <w:pPr>
              <w:ind w:left="320"/>
              <w:spacing w:after="0"/>
              <w:rPr>
                <w:sz w:val="20"/>
                <w:szCs w:val="20"/>
                <w:color w:val="auto"/>
              </w:rPr>
            </w:pPr>
            <w:r>
              <w:rPr>
                <w:rFonts w:ascii="Arial" w:cs="Arial" w:eastAsia="Arial" w:hAnsi="Arial"/>
                <w:sz w:val="17"/>
                <w:szCs w:val="17"/>
                <w:b w:val="1"/>
                <w:bCs w:val="1"/>
                <w:color w:val="auto"/>
              </w:rPr>
              <w:t>Nine months ended September 30,</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vMerge w:val="restart"/>
          </w:tcPr>
          <w:p>
            <w:pPr>
              <w:jc w:val="right"/>
              <w:ind w:right="236"/>
              <w:spacing w:after="0"/>
              <w:rPr>
                <w:sz w:val="20"/>
                <w:szCs w:val="20"/>
                <w:color w:val="auto"/>
              </w:rPr>
            </w:pPr>
            <w:r>
              <w:rPr>
                <w:rFonts w:ascii="Arial" w:cs="Arial" w:eastAsia="Arial" w:hAnsi="Arial"/>
                <w:sz w:val="17"/>
                <w:szCs w:val="17"/>
                <w:b w:val="1"/>
                <w:bCs w:val="1"/>
                <w:color w:val="auto"/>
              </w:rPr>
              <w:t>Percentage</w:t>
            </w:r>
          </w:p>
        </w:tc>
        <w:tc>
          <w:tcPr>
            <w:tcW w:w="0" w:type="dxa"/>
            <w:vAlign w:val="bottom"/>
          </w:tcPr>
          <w:p>
            <w:pPr>
              <w:spacing w:after="0"/>
              <w:rPr>
                <w:sz w:val="1"/>
                <w:szCs w:val="1"/>
                <w:color w:val="auto"/>
              </w:rPr>
            </w:pPr>
          </w:p>
        </w:tc>
      </w:tr>
      <w:tr>
        <w:trPr>
          <w:trHeight w:val="26"/>
        </w:trPr>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b w:val="1"/>
                <w:bCs w:val="1"/>
                <w:color w:val="auto"/>
              </w:rPr>
              <w:t>2016</w:t>
            </w: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b w:val="1"/>
                <w:bCs w:val="1"/>
                <w:color w:val="auto"/>
              </w:rPr>
              <w:t>2015</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ind w:left="140"/>
              <w:spacing w:after="0"/>
              <w:rPr>
                <w:sz w:val="20"/>
                <w:szCs w:val="20"/>
                <w:color w:val="auto"/>
              </w:rPr>
            </w:pPr>
            <w:r>
              <w:rPr>
                <w:rFonts w:ascii="Arial" w:cs="Arial" w:eastAsia="Arial" w:hAnsi="Arial"/>
                <w:sz w:val="17"/>
                <w:szCs w:val="17"/>
                <w:b w:val="1"/>
                <w:bCs w:val="1"/>
                <w:color w:val="auto"/>
              </w:rPr>
              <w:t>Change</w:t>
            </w:r>
          </w:p>
        </w:tc>
        <w:tc>
          <w:tcPr>
            <w:tcW w:w="1440" w:type="dxa"/>
            <w:vAlign w:val="bottom"/>
          </w:tcPr>
          <w:p>
            <w:pPr>
              <w:jc w:val="right"/>
              <w:ind w:right="376"/>
              <w:spacing w:after="0"/>
              <w:rPr>
                <w:sz w:val="20"/>
                <w:szCs w:val="20"/>
                <w:color w:val="auto"/>
              </w:rPr>
            </w:pPr>
            <w:r>
              <w:rPr>
                <w:rFonts w:ascii="Arial" w:cs="Arial" w:eastAsia="Arial" w:hAnsi="Arial"/>
                <w:sz w:val="17"/>
                <w:szCs w:val="17"/>
                <w:b w:val="1"/>
                <w:bCs w:val="1"/>
                <w:color w:val="auto"/>
              </w:rPr>
              <w:t>change</w:t>
            </w:r>
          </w:p>
        </w:tc>
        <w:tc>
          <w:tcPr>
            <w:tcW w:w="0" w:type="dxa"/>
            <w:vAlign w:val="bottom"/>
          </w:tcPr>
          <w:p>
            <w:pPr>
              <w:spacing w:after="0"/>
              <w:rPr>
                <w:sz w:val="1"/>
                <w:szCs w:val="1"/>
                <w:color w:val="auto"/>
              </w:rPr>
            </w:pPr>
          </w:p>
        </w:tc>
      </w:tr>
      <w:tr>
        <w:trPr>
          <w:trHeight w:val="26"/>
        </w:trPr>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540" w:type="dxa"/>
            <w:vAlign w:val="bottom"/>
            <w:tcBorders>
              <w:bottom w:val="single" w:sz="8" w:color="auto"/>
            </w:tcBorders>
            <w:gridSpan w:val="4"/>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2540" w:type="dxa"/>
            <w:vAlign w:val="bottom"/>
            <w:gridSpan w:val="4"/>
          </w:tcPr>
          <w:p>
            <w:pPr>
              <w:jc w:val="right"/>
              <w:ind w:right="216"/>
              <w:spacing w:after="0"/>
              <w:rPr>
                <w:sz w:val="20"/>
                <w:szCs w:val="20"/>
                <w:color w:val="auto"/>
              </w:rPr>
            </w:pPr>
            <w:r>
              <w:rPr>
                <w:rFonts w:ascii="Arial" w:cs="Arial" w:eastAsia="Arial" w:hAnsi="Arial"/>
                <w:sz w:val="17"/>
                <w:szCs w:val="17"/>
                <w:b w:val="1"/>
                <w:bCs w:val="1"/>
                <w:color w:val="auto"/>
              </w:rPr>
              <w:t>(dollars in millions)</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300" w:type="dxa"/>
            <w:vAlign w:val="bottom"/>
          </w:tcPr>
          <w:p>
            <w:pPr>
              <w:spacing w:after="0"/>
              <w:rPr>
                <w:sz w:val="20"/>
                <w:szCs w:val="20"/>
                <w:color w:val="auto"/>
              </w:rPr>
            </w:pPr>
          </w:p>
        </w:tc>
        <w:tc>
          <w:tcPr>
            <w:tcW w:w="4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Depreciation expense</w:t>
            </w: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7"/>
                <w:szCs w:val="17"/>
                <w:color w:val="auto"/>
              </w:rPr>
              <w:t>$</w:t>
            </w:r>
          </w:p>
        </w:tc>
        <w:tc>
          <w:tcPr>
            <w:tcW w:w="5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7"/>
                <w:szCs w:val="17"/>
                <w:color w:val="auto"/>
                <w:w w:val="90"/>
              </w:rPr>
              <w:t>16.7</w:t>
            </w: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7"/>
                <w:szCs w:val="17"/>
                <w:color w:val="auto"/>
              </w:rPr>
              <w:t>$</w:t>
            </w:r>
          </w:p>
        </w:tc>
        <w:tc>
          <w:tcPr>
            <w:tcW w:w="52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7"/>
                <w:szCs w:val="17"/>
                <w:color w:val="auto"/>
                <w:w w:val="96"/>
              </w:rPr>
              <w:t>15.7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6.4%</w:t>
            </w:r>
          </w:p>
        </w:tc>
        <w:tc>
          <w:tcPr>
            <w:tcW w:w="0" w:type="dxa"/>
            <w:vAlign w:val="bottom"/>
          </w:tcPr>
          <w:p>
            <w:pPr>
              <w:spacing w:after="0"/>
              <w:rPr>
                <w:sz w:val="1"/>
                <w:szCs w:val="1"/>
                <w:color w:val="auto"/>
              </w:rPr>
            </w:pPr>
          </w:p>
        </w:tc>
      </w:tr>
      <w:tr>
        <w:trPr>
          <w:trHeight w:val="227"/>
        </w:trPr>
        <w:tc>
          <w:tcPr>
            <w:tcW w:w="300" w:type="dxa"/>
            <w:vAlign w:val="bottom"/>
          </w:tcPr>
          <w:p>
            <w:pPr>
              <w:spacing w:after="0"/>
              <w:rPr>
                <w:sz w:val="19"/>
                <w:szCs w:val="19"/>
                <w:color w:val="auto"/>
              </w:rPr>
            </w:pPr>
          </w:p>
        </w:tc>
        <w:tc>
          <w:tcPr>
            <w:tcW w:w="4640" w:type="dxa"/>
            <w:vAlign w:val="bottom"/>
            <w:gridSpan w:val="2"/>
          </w:tcPr>
          <w:p>
            <w:pPr>
              <w:ind w:left="20"/>
              <w:spacing w:after="0"/>
              <w:rPr>
                <w:sz w:val="20"/>
                <w:szCs w:val="20"/>
                <w:color w:val="auto"/>
              </w:rPr>
            </w:pPr>
            <w:r>
              <w:rPr>
                <w:rFonts w:ascii="Arial" w:cs="Arial" w:eastAsia="Arial" w:hAnsi="Arial"/>
                <w:sz w:val="17"/>
                <w:szCs w:val="17"/>
                <w:color w:val="auto"/>
              </w:rPr>
              <w:t>Intangible amortization expense</w:t>
            </w:r>
          </w:p>
        </w:tc>
        <w:tc>
          <w:tcPr>
            <w:tcW w:w="940" w:type="dxa"/>
            <w:vAlign w:val="bottom"/>
          </w:tcPr>
          <w:p>
            <w:pPr>
              <w:spacing w:after="0"/>
              <w:rPr>
                <w:sz w:val="19"/>
                <w:szCs w:val="19"/>
                <w:color w:val="auto"/>
              </w:rPr>
            </w:pPr>
          </w:p>
        </w:tc>
        <w:tc>
          <w:tcPr>
            <w:tcW w:w="500" w:type="dxa"/>
            <w:vAlign w:val="bottom"/>
          </w:tcPr>
          <w:p>
            <w:pPr>
              <w:jc w:val="right"/>
              <w:ind w:right="96"/>
              <w:spacing w:after="0"/>
              <w:rPr>
                <w:sz w:val="20"/>
                <w:szCs w:val="20"/>
                <w:color w:val="auto"/>
              </w:rPr>
            </w:pPr>
            <w:r>
              <w:rPr>
                <w:rFonts w:ascii="Arial" w:cs="Arial" w:eastAsia="Arial" w:hAnsi="Arial"/>
                <w:sz w:val="17"/>
                <w:szCs w:val="17"/>
                <w:color w:val="auto"/>
              </w:rPr>
              <w:t>8.3</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ind w:right="96"/>
              <w:spacing w:after="0"/>
              <w:rPr>
                <w:sz w:val="20"/>
                <w:szCs w:val="20"/>
                <w:color w:val="auto"/>
              </w:rPr>
            </w:pPr>
            <w:r>
              <w:rPr>
                <w:rFonts w:ascii="Arial" w:cs="Arial" w:eastAsia="Arial" w:hAnsi="Arial"/>
                <w:sz w:val="17"/>
                <w:szCs w:val="17"/>
                <w:color w:val="auto"/>
              </w:rPr>
              <w:t>7.5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ind w:right="16"/>
              <w:spacing w:after="0"/>
              <w:rPr>
                <w:sz w:val="20"/>
                <w:szCs w:val="20"/>
                <w:color w:val="auto"/>
              </w:rPr>
            </w:pPr>
            <w:r>
              <w:rPr>
                <w:rFonts w:ascii="Arial" w:cs="Arial" w:eastAsia="Arial" w:hAnsi="Arial"/>
                <w:sz w:val="17"/>
                <w:szCs w:val="17"/>
                <w:color w:val="auto"/>
              </w:rPr>
              <w:t>0.8</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10.7%</w:t>
            </w:r>
          </w:p>
        </w:tc>
        <w:tc>
          <w:tcPr>
            <w:tcW w:w="0" w:type="dxa"/>
            <w:vAlign w:val="bottom"/>
          </w:tcPr>
          <w:p>
            <w:pPr>
              <w:spacing w:after="0"/>
              <w:rPr>
                <w:sz w:val="1"/>
                <w:szCs w:val="1"/>
                <w:color w:val="auto"/>
              </w:rPr>
            </w:pPr>
          </w:p>
        </w:tc>
      </w:tr>
      <w:tr>
        <w:trPr>
          <w:trHeight w:val="26"/>
        </w:trPr>
        <w:tc>
          <w:tcPr>
            <w:tcW w:w="300" w:type="dxa"/>
            <w:vAlign w:val="bottom"/>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36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00" w:type="dxa"/>
            <w:vAlign w:val="bottom"/>
          </w:tcPr>
          <w:p>
            <w:pPr>
              <w:spacing w:after="0"/>
              <w:rPr>
                <w:sz w:val="21"/>
                <w:szCs w:val="21"/>
                <w:color w:val="auto"/>
              </w:rPr>
            </w:pPr>
          </w:p>
        </w:tc>
        <w:tc>
          <w:tcPr>
            <w:tcW w:w="4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Depreciation and amortization expense</w:t>
            </w: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7"/>
                <w:szCs w:val="17"/>
                <w:color w:val="auto"/>
              </w:rPr>
              <w:t>$</w:t>
            </w:r>
          </w:p>
        </w:tc>
        <w:tc>
          <w:tcPr>
            <w:tcW w:w="5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7"/>
                <w:szCs w:val="17"/>
                <w:color w:val="auto"/>
                <w:w w:val="90"/>
              </w:rPr>
              <w:t>25.0</w:t>
            </w: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7"/>
                <w:szCs w:val="17"/>
                <w:color w:val="auto"/>
              </w:rPr>
              <w:t>$</w:t>
            </w:r>
          </w:p>
        </w:tc>
        <w:tc>
          <w:tcPr>
            <w:tcW w:w="52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7"/>
                <w:szCs w:val="17"/>
                <w:color w:val="auto"/>
                <w:w w:val="96"/>
              </w:rPr>
              <w:t>23.2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7.9%</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46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7"/>
                <w:szCs w:val="17"/>
                <w:color w:val="auto"/>
              </w:rPr>
              <w:t>As a percentage of revenues</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300" w:type="dxa"/>
            <w:vAlign w:val="bottom"/>
          </w:tcPr>
          <w:p>
            <w:pPr>
              <w:spacing w:after="0"/>
              <w:rPr>
                <w:sz w:val="17"/>
                <w:szCs w:val="17"/>
                <w:color w:val="auto"/>
              </w:rPr>
            </w:pPr>
          </w:p>
        </w:tc>
        <w:tc>
          <w:tcPr>
            <w:tcW w:w="4640" w:type="dxa"/>
            <w:vAlign w:val="bottom"/>
            <w:gridSpan w:val="2"/>
            <w:vMerge w:val="continue"/>
          </w:tcPr>
          <w:p>
            <w:pPr>
              <w:spacing w:after="0"/>
              <w:rPr>
                <w:sz w:val="17"/>
                <w:szCs w:val="17"/>
                <w:color w:val="auto"/>
              </w:rPr>
            </w:pPr>
          </w:p>
        </w:tc>
        <w:tc>
          <w:tcPr>
            <w:tcW w:w="9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4.9%</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5.0%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15" w:lineRule="exact"/>
        <w:rPr>
          <w:sz w:val="20"/>
          <w:szCs w:val="20"/>
          <w:color w:val="auto"/>
        </w:rPr>
      </w:pPr>
    </w:p>
    <w:p>
      <w:pPr>
        <w:jc w:val="both"/>
        <w:ind w:firstLine="518"/>
        <w:spacing w:after="0" w:line="295" w:lineRule="auto"/>
        <w:rPr>
          <w:sz w:val="20"/>
          <w:szCs w:val="20"/>
          <w:color w:val="auto"/>
        </w:rPr>
      </w:pPr>
      <w:r>
        <w:rPr>
          <w:rFonts w:ascii="Arial" w:cs="Arial" w:eastAsia="Arial" w:hAnsi="Arial"/>
          <w:sz w:val="15"/>
          <w:szCs w:val="15"/>
          <w:color w:val="auto"/>
        </w:rPr>
        <w:t>Depreciation and amortization expense increased by $1.8 million, or 7.9%, from $23.2 million for the nine months ended September 30, 2015 to $25.0 million for the nine months ended September 30, 2016. The increase in amortization of intangibles of $0.8 million was primarily due to amortization of intangibles associated with our recent acquisitions. Further, the increase in our depreciation expense of $1.8 million is due to depreciation related to our new capital investments in India, South Africa and the Philippines to support the growth of our business. These increases were partially offset by a decrease of $0.8 million due to depreciation of the Indian rupee and the Philippine peso against the U.S. dollar during the nine months ended September 30, 2016 compared to the nine months ended September 30, 2015.</w:t>
      </w:r>
    </w:p>
    <w:p>
      <w:pPr>
        <w:spacing w:after="0" w:line="153" w:lineRule="exact"/>
        <w:rPr>
          <w:sz w:val="20"/>
          <w:szCs w:val="20"/>
          <w:color w:val="auto"/>
        </w:rPr>
      </w:pPr>
    </w:p>
    <w:p>
      <w:pPr>
        <w:jc w:val="both"/>
        <w:ind w:firstLine="379"/>
        <w:spacing w:after="0" w:line="310" w:lineRule="auto"/>
        <w:rPr>
          <w:sz w:val="20"/>
          <w:szCs w:val="20"/>
          <w:color w:val="auto"/>
        </w:rPr>
      </w:pPr>
      <w:r>
        <w:rPr>
          <w:rFonts w:ascii="Arial" w:cs="Arial" w:eastAsia="Arial" w:hAnsi="Arial"/>
          <w:sz w:val="15"/>
          <w:szCs w:val="15"/>
          <w:b w:val="1"/>
          <w:bCs w:val="1"/>
          <w:i w:val="1"/>
          <w:iCs w:val="1"/>
          <w:color w:val="auto"/>
        </w:rPr>
        <w:t xml:space="preserve">Income from Operations. </w:t>
      </w:r>
      <w:r>
        <w:rPr>
          <w:rFonts w:ascii="Arial" w:cs="Arial" w:eastAsia="Arial" w:hAnsi="Arial"/>
          <w:sz w:val="15"/>
          <w:szCs w:val="15"/>
          <w:color w:val="auto"/>
        </w:rPr>
        <w:t>Income from operations increased $0.5 million, or 1.2%, from $49.5 million for the nine months ended September 30, 2015 to $50.0</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million for the nine months ended September 30, 2016. As a percentage of revenues, income from operations decreased from 10.7% for the nine months ended September 30, 2015 to 9.8% for the nine months ended September 30, 2016 primarily due to higher cost of revenues in comparison to the growth in our revenues.</w:t>
      </w:r>
    </w:p>
    <w:p>
      <w:pPr>
        <w:spacing w:after="0" w:line="39" w:lineRule="exact"/>
        <w:rPr>
          <w:sz w:val="20"/>
          <w:szCs w:val="20"/>
          <w:color w:val="auto"/>
        </w:rPr>
      </w:pPr>
    </w:p>
    <w:p>
      <w:pPr>
        <w:jc w:val="both"/>
        <w:ind w:firstLine="379"/>
        <w:spacing w:after="0" w:line="252" w:lineRule="auto"/>
        <w:rPr>
          <w:sz w:val="20"/>
          <w:szCs w:val="20"/>
          <w:color w:val="auto"/>
        </w:rPr>
      </w:pPr>
      <w:r>
        <w:rPr>
          <w:rFonts w:ascii="Arial" w:cs="Arial" w:eastAsia="Arial" w:hAnsi="Arial"/>
          <w:sz w:val="17"/>
          <w:szCs w:val="17"/>
          <w:b w:val="1"/>
          <w:bCs w:val="1"/>
          <w:i w:val="1"/>
          <w:iCs w:val="1"/>
          <w:color w:val="auto"/>
        </w:rPr>
        <w:t xml:space="preserve">Foreign Exchange Gain /( Loss). </w:t>
      </w:r>
      <w:r>
        <w:rPr>
          <w:rFonts w:ascii="Arial" w:cs="Arial" w:eastAsia="Arial" w:hAnsi="Arial"/>
          <w:sz w:val="17"/>
          <w:szCs w:val="17"/>
          <w:color w:val="auto"/>
        </w:rPr>
        <w:t>Net foreign exchange gains and losses are primarily attributable to movement of the U.S. dollar against the Indian rupee,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U.K. pound sterling and the Philippine peso during the nine months ended September 30, 2016. The average exchange rate of the Indian rupee against the U.S. dollar increased from 63.68 during the nine months ended September 30, 2015 to 67.10 during the nine months ended September 30, 2016. The average exchange rate of the U.K. pound sterling against the U.S. dollar increased from 0.65 during the nine months ended September 30, 2015 to 0.72 during the nine months ended September 30, 2016. The average exchange rate of the Philippine peso against the U.S. dollar increased from 45.13 during the nine months ended September 30, 2015 to 47.13 during the nine months ended September 30, 2016.</w:t>
      </w:r>
    </w:p>
    <w:p>
      <w:pPr>
        <w:spacing w:after="0" w:line="83" w:lineRule="exact"/>
        <w:rPr>
          <w:sz w:val="20"/>
          <w:szCs w:val="20"/>
          <w:color w:val="auto"/>
        </w:rPr>
      </w:pPr>
    </w:p>
    <w:p>
      <w:pPr>
        <w:jc w:val="both"/>
        <w:ind w:firstLine="379"/>
        <w:spacing w:after="0" w:line="271" w:lineRule="auto"/>
        <w:rPr>
          <w:sz w:val="20"/>
          <w:szCs w:val="20"/>
          <w:color w:val="auto"/>
        </w:rPr>
      </w:pPr>
      <w:r>
        <w:rPr>
          <w:rFonts w:ascii="Arial" w:cs="Arial" w:eastAsia="Arial" w:hAnsi="Arial"/>
          <w:sz w:val="17"/>
          <w:szCs w:val="17"/>
          <w:color w:val="auto"/>
        </w:rPr>
        <w:t>We recorded a net foreign exchange gain of $3.6 million for the nine months ended September 30, 2016 compared to $2.3 million for the nine months ended September 30, 2015.</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900" w:type="dxa"/>
            <w:vAlign w:val="bottom"/>
          </w:tcPr>
          <w:p>
            <w:pPr>
              <w:ind w:left="380"/>
              <w:spacing w:after="0"/>
              <w:rPr>
                <w:sz w:val="20"/>
                <w:szCs w:val="20"/>
                <w:color w:val="auto"/>
              </w:rPr>
            </w:pPr>
            <w:r>
              <w:rPr>
                <w:rFonts w:ascii="Arial" w:cs="Arial" w:eastAsia="Arial" w:hAnsi="Arial"/>
                <w:sz w:val="17"/>
                <w:szCs w:val="17"/>
                <w:b w:val="1"/>
                <w:bCs w:val="1"/>
                <w:i w:val="1"/>
                <w:iCs w:val="1"/>
                <w:color w:val="auto"/>
              </w:rPr>
              <w:t>Interest and Other Income, net</w:t>
            </w: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4"/>
        </w:trPr>
        <w:tc>
          <w:tcPr>
            <w:tcW w:w="4900" w:type="dxa"/>
            <w:vAlign w:val="bottom"/>
          </w:tcPr>
          <w:p>
            <w:pPr>
              <w:spacing w:after="0"/>
              <w:rPr>
                <w:sz w:val="24"/>
                <w:szCs w:val="24"/>
                <w:color w:val="auto"/>
              </w:rPr>
            </w:pPr>
          </w:p>
        </w:tc>
        <w:tc>
          <w:tcPr>
            <w:tcW w:w="3000" w:type="dxa"/>
            <w:vAlign w:val="bottom"/>
            <w:gridSpan w:val="6"/>
          </w:tcPr>
          <w:p>
            <w:pPr>
              <w:ind w:left="240"/>
              <w:spacing w:after="0"/>
              <w:rPr>
                <w:sz w:val="20"/>
                <w:szCs w:val="20"/>
                <w:color w:val="auto"/>
              </w:rPr>
            </w:pPr>
            <w:r>
              <w:rPr>
                <w:rFonts w:ascii="Arial" w:cs="Arial" w:eastAsia="Arial" w:hAnsi="Arial"/>
                <w:sz w:val="17"/>
                <w:szCs w:val="17"/>
                <w:b w:val="1"/>
                <w:bCs w:val="1"/>
                <w:color w:val="auto"/>
                <w:w w:val="98"/>
              </w:rPr>
              <w:t>Nine months ended September 30,</w:t>
            </w: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vMerge w:val="restart"/>
          </w:tcPr>
          <w:p>
            <w:pPr>
              <w:jc w:val="right"/>
              <w:ind w:right="256"/>
              <w:spacing w:after="0"/>
              <w:rPr>
                <w:sz w:val="20"/>
                <w:szCs w:val="20"/>
                <w:color w:val="auto"/>
              </w:rPr>
            </w:pPr>
            <w:r>
              <w:rPr>
                <w:rFonts w:ascii="Arial" w:cs="Arial" w:eastAsia="Arial" w:hAnsi="Arial"/>
                <w:sz w:val="17"/>
                <w:szCs w:val="17"/>
                <w:b w:val="1"/>
                <w:bCs w:val="1"/>
                <w:color w:val="auto"/>
              </w:rPr>
              <w:t>Percentage</w:t>
            </w:r>
          </w:p>
        </w:tc>
        <w:tc>
          <w:tcPr>
            <w:tcW w:w="0" w:type="dxa"/>
            <w:vAlign w:val="bottom"/>
          </w:tcPr>
          <w:p>
            <w:pPr>
              <w:spacing w:after="0"/>
              <w:rPr>
                <w:sz w:val="1"/>
                <w:szCs w:val="1"/>
                <w:color w:val="auto"/>
              </w:rPr>
            </w:pPr>
          </w:p>
        </w:tc>
      </w:tr>
      <w:tr>
        <w:trPr>
          <w:trHeight w:val="26"/>
        </w:trPr>
        <w:tc>
          <w:tcPr>
            <w:tcW w:w="49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49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b w:val="1"/>
                <w:bCs w:val="1"/>
                <w:color w:val="auto"/>
              </w:rPr>
              <w:t>2016</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b w:val="1"/>
                <w:bCs w:val="1"/>
                <w:color w:val="auto"/>
              </w:rPr>
              <w:t>2015</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ind w:left="160"/>
              <w:spacing w:after="0"/>
              <w:rPr>
                <w:sz w:val="20"/>
                <w:szCs w:val="20"/>
                <w:color w:val="auto"/>
              </w:rPr>
            </w:pPr>
            <w:r>
              <w:rPr>
                <w:rFonts w:ascii="Arial" w:cs="Arial" w:eastAsia="Arial" w:hAnsi="Arial"/>
                <w:sz w:val="17"/>
                <w:szCs w:val="17"/>
                <w:b w:val="1"/>
                <w:bCs w:val="1"/>
                <w:color w:val="auto"/>
              </w:rPr>
              <w:t>Change</w:t>
            </w:r>
          </w:p>
        </w:tc>
        <w:tc>
          <w:tcPr>
            <w:tcW w:w="1480" w:type="dxa"/>
            <w:vAlign w:val="bottom"/>
          </w:tcPr>
          <w:p>
            <w:pPr>
              <w:jc w:val="right"/>
              <w:ind w:right="396"/>
              <w:spacing w:after="0"/>
              <w:rPr>
                <w:sz w:val="20"/>
                <w:szCs w:val="20"/>
                <w:color w:val="auto"/>
              </w:rPr>
            </w:pPr>
            <w:r>
              <w:rPr>
                <w:rFonts w:ascii="Arial" w:cs="Arial" w:eastAsia="Arial" w:hAnsi="Arial"/>
                <w:sz w:val="17"/>
                <w:szCs w:val="17"/>
                <w:b w:val="1"/>
                <w:bCs w:val="1"/>
                <w:color w:val="auto"/>
              </w:rPr>
              <w:t>change</w:t>
            </w:r>
          </w:p>
        </w:tc>
        <w:tc>
          <w:tcPr>
            <w:tcW w:w="0" w:type="dxa"/>
            <w:vAlign w:val="bottom"/>
          </w:tcPr>
          <w:p>
            <w:pPr>
              <w:spacing w:after="0"/>
              <w:rPr>
                <w:sz w:val="1"/>
                <w:szCs w:val="1"/>
                <w:color w:val="auto"/>
              </w:rPr>
            </w:pPr>
          </w:p>
        </w:tc>
      </w:tr>
      <w:tr>
        <w:trPr>
          <w:trHeight w:val="26"/>
        </w:trPr>
        <w:tc>
          <w:tcPr>
            <w:tcW w:w="4900" w:type="dxa"/>
            <w:vAlign w:val="bottom"/>
          </w:tcPr>
          <w:p>
            <w:pPr>
              <w:spacing w:after="0"/>
              <w:rPr>
                <w:sz w:val="2"/>
                <w:szCs w:val="2"/>
                <w:color w:val="auto"/>
              </w:rPr>
            </w:pPr>
          </w:p>
        </w:tc>
        <w:tc>
          <w:tcPr>
            <w:tcW w:w="2440" w:type="dxa"/>
            <w:vAlign w:val="bottom"/>
            <w:tcBorders>
              <w:bottom w:val="single" w:sz="8" w:color="auto"/>
            </w:tcBorders>
            <w:gridSpan w:val="4"/>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4900" w:type="dxa"/>
            <w:vAlign w:val="bottom"/>
          </w:tcPr>
          <w:p>
            <w:pPr>
              <w:spacing w:after="0"/>
              <w:rPr>
                <w:sz w:val="19"/>
                <w:szCs w:val="19"/>
                <w:color w:val="auto"/>
              </w:rPr>
            </w:pPr>
          </w:p>
        </w:tc>
        <w:tc>
          <w:tcPr>
            <w:tcW w:w="2440" w:type="dxa"/>
            <w:vAlign w:val="bottom"/>
            <w:gridSpan w:val="4"/>
          </w:tcPr>
          <w:p>
            <w:pPr>
              <w:jc w:val="right"/>
              <w:ind w:right="196"/>
              <w:spacing w:after="0"/>
              <w:rPr>
                <w:sz w:val="20"/>
                <w:szCs w:val="20"/>
                <w:color w:val="auto"/>
              </w:rPr>
            </w:pPr>
            <w:r>
              <w:rPr>
                <w:rFonts w:ascii="Arial" w:cs="Arial" w:eastAsia="Arial" w:hAnsi="Arial"/>
                <w:sz w:val="17"/>
                <w:szCs w:val="17"/>
                <w:b w:val="1"/>
                <w:bCs w:val="1"/>
                <w:color w:val="auto"/>
              </w:rPr>
              <w:t>(dollars in millions)</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49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Interest and dividend income</w:t>
            </w:r>
          </w:p>
        </w:tc>
        <w:tc>
          <w:tcPr>
            <w:tcW w:w="94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7"/>
                <w:szCs w:val="17"/>
                <w:color w:val="auto"/>
                <w:w w:val="84"/>
              </w:rPr>
              <w:t>$</w:t>
            </w:r>
          </w:p>
        </w:tc>
        <w:tc>
          <w:tcPr>
            <w:tcW w:w="4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7.4</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7"/>
                <w:szCs w:val="17"/>
                <w:color w:val="auto"/>
                <w:w w:val="84"/>
              </w:rPr>
              <w:t>$</w:t>
            </w:r>
          </w:p>
        </w:tc>
        <w:tc>
          <w:tcPr>
            <w:tcW w:w="4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5.0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2.4</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48.0%</w:t>
            </w:r>
          </w:p>
        </w:tc>
        <w:tc>
          <w:tcPr>
            <w:tcW w:w="0" w:type="dxa"/>
            <w:vAlign w:val="bottom"/>
          </w:tcPr>
          <w:p>
            <w:pPr>
              <w:spacing w:after="0"/>
              <w:rPr>
                <w:sz w:val="1"/>
                <w:szCs w:val="1"/>
                <w:color w:val="auto"/>
              </w:rPr>
            </w:pPr>
          </w:p>
        </w:tc>
      </w:tr>
      <w:tr>
        <w:trPr>
          <w:trHeight w:val="227"/>
        </w:trPr>
        <w:tc>
          <w:tcPr>
            <w:tcW w:w="4900" w:type="dxa"/>
            <w:vAlign w:val="bottom"/>
          </w:tcPr>
          <w:p>
            <w:pPr>
              <w:ind w:left="20"/>
              <w:spacing w:after="0"/>
              <w:rPr>
                <w:sz w:val="20"/>
                <w:szCs w:val="20"/>
                <w:color w:val="auto"/>
              </w:rPr>
            </w:pPr>
            <w:r>
              <w:rPr>
                <w:rFonts w:ascii="Arial" w:cs="Arial" w:eastAsia="Arial" w:hAnsi="Arial"/>
                <w:sz w:val="17"/>
                <w:szCs w:val="17"/>
                <w:color w:val="auto"/>
              </w:rPr>
              <w:t>Interest expense</w:t>
            </w:r>
          </w:p>
        </w:tc>
        <w:tc>
          <w:tcPr>
            <w:tcW w:w="9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80" w:type="dxa"/>
            <w:vAlign w:val="bottom"/>
          </w:tcPr>
          <w:p>
            <w:pPr>
              <w:jc w:val="right"/>
              <w:ind w:right="9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49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Change in fair value of earn-out consideration</w:t>
            </w:r>
          </w:p>
        </w:tc>
        <w:tc>
          <w:tcPr>
            <w:tcW w:w="9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4.1</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4.1</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r>
        <w:trPr>
          <w:trHeight w:val="227"/>
        </w:trPr>
        <w:tc>
          <w:tcPr>
            <w:tcW w:w="4900" w:type="dxa"/>
            <w:vAlign w:val="bottom"/>
          </w:tcPr>
          <w:p>
            <w:pPr>
              <w:ind w:left="20"/>
              <w:spacing w:after="0"/>
              <w:rPr>
                <w:sz w:val="20"/>
                <w:szCs w:val="20"/>
                <w:color w:val="auto"/>
              </w:rPr>
            </w:pPr>
            <w:r>
              <w:rPr>
                <w:rFonts w:ascii="Arial" w:cs="Arial" w:eastAsia="Arial" w:hAnsi="Arial"/>
                <w:sz w:val="17"/>
                <w:szCs w:val="17"/>
                <w:color w:val="auto"/>
              </w:rPr>
              <w:t>Other, net</w:t>
            </w:r>
          </w:p>
        </w:tc>
        <w:tc>
          <w:tcPr>
            <w:tcW w:w="940" w:type="dxa"/>
            <w:vAlign w:val="bottom"/>
          </w:tcPr>
          <w:p>
            <w:pPr>
              <w:spacing w:after="0"/>
              <w:rPr>
                <w:sz w:val="19"/>
                <w:szCs w:val="19"/>
                <w:color w:val="auto"/>
              </w:rPr>
            </w:pPr>
          </w:p>
        </w:tc>
        <w:tc>
          <w:tcPr>
            <w:tcW w:w="460" w:type="dxa"/>
            <w:vAlign w:val="bottom"/>
          </w:tcPr>
          <w:p>
            <w:pPr>
              <w:jc w:val="right"/>
              <w:ind w:right="16"/>
              <w:spacing w:after="0"/>
              <w:rPr>
                <w:sz w:val="20"/>
                <w:szCs w:val="20"/>
                <w:color w:val="auto"/>
              </w:rPr>
            </w:pPr>
            <w:r>
              <w:rPr>
                <w:rFonts w:ascii="Arial" w:cs="Arial" w:eastAsia="Arial" w:hAnsi="Arial"/>
                <w:sz w:val="17"/>
                <w:szCs w:val="17"/>
                <w:color w:val="auto"/>
              </w:rPr>
              <w:t>0.7</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60" w:type="dxa"/>
            <w:vAlign w:val="bottom"/>
          </w:tcPr>
          <w:p>
            <w:pPr>
              <w:jc w:val="right"/>
              <w:ind w:right="16"/>
              <w:spacing w:after="0"/>
              <w:rPr>
                <w:sz w:val="20"/>
                <w:szCs w:val="20"/>
                <w:color w:val="auto"/>
              </w:rPr>
            </w:pPr>
            <w:r>
              <w:rPr>
                <w:rFonts w:ascii="Arial" w:cs="Arial" w:eastAsia="Arial" w:hAnsi="Arial"/>
                <w:sz w:val="17"/>
                <w:szCs w:val="17"/>
                <w:color w:val="auto"/>
              </w:rPr>
              <w:t>0.3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ind w:right="16"/>
              <w:spacing w:after="0"/>
              <w:rPr>
                <w:sz w:val="20"/>
                <w:szCs w:val="20"/>
                <w:color w:val="auto"/>
              </w:rPr>
            </w:pPr>
            <w:r>
              <w:rPr>
                <w:rFonts w:ascii="Arial" w:cs="Arial" w:eastAsia="Arial" w:hAnsi="Arial"/>
                <w:sz w:val="17"/>
                <w:szCs w:val="17"/>
                <w:color w:val="auto"/>
              </w:rPr>
              <w:t>0.4</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133.3%</w:t>
            </w:r>
          </w:p>
        </w:tc>
        <w:tc>
          <w:tcPr>
            <w:tcW w:w="0" w:type="dxa"/>
            <w:vAlign w:val="bottom"/>
          </w:tcPr>
          <w:p>
            <w:pPr>
              <w:spacing w:after="0"/>
              <w:rPr>
                <w:sz w:val="1"/>
                <w:szCs w:val="1"/>
                <w:color w:val="auto"/>
              </w:rPr>
            </w:pPr>
          </w:p>
        </w:tc>
      </w:tr>
      <w:tr>
        <w:trPr>
          <w:trHeight w:val="26"/>
        </w:trPr>
        <w:tc>
          <w:tcPr>
            <w:tcW w:w="49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income, net</w:t>
            </w:r>
          </w:p>
        </w:tc>
        <w:tc>
          <w:tcPr>
            <w:tcW w:w="94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7"/>
                <w:szCs w:val="17"/>
                <w:color w:val="auto"/>
                <w:w w:val="84"/>
              </w:rPr>
              <w:t>$</w:t>
            </w:r>
          </w:p>
        </w:tc>
        <w:tc>
          <w:tcPr>
            <w:tcW w:w="4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7"/>
                <w:szCs w:val="17"/>
                <w:color w:val="auto"/>
                <w:w w:val="84"/>
              </w:rPr>
              <w:t>$</w:t>
            </w:r>
          </w:p>
        </w:tc>
        <w:tc>
          <w:tcPr>
            <w:tcW w:w="4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159.9%</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jc w:val="both"/>
        <w:ind w:firstLine="404"/>
        <w:spacing w:after="0" w:line="310" w:lineRule="auto"/>
        <w:rPr>
          <w:sz w:val="20"/>
          <w:szCs w:val="20"/>
          <w:color w:val="auto"/>
        </w:rPr>
      </w:pPr>
      <w:r>
        <w:rPr>
          <w:rFonts w:ascii="Arial" w:cs="Arial" w:eastAsia="Arial" w:hAnsi="Arial"/>
          <w:sz w:val="15"/>
          <w:szCs w:val="15"/>
          <w:color w:val="auto"/>
        </w:rPr>
        <w:t>Increase in interest and dividend income was primarily due to higher cash balances in our foreign subsidiaries and higher yield on our investments during the nine months ended September 30, 2016 compared to the nine months ended September 30, 2015. Other income further increased by $0.7 million due to interest on deposits received from income tax authorities in India on completion of a tax assessment and by $4.1 million due to reversal of earn-out liability related to our RPM acquisition.</w:t>
      </w:r>
    </w:p>
    <w:p>
      <w:pPr>
        <w:spacing w:after="0" w:line="141" w:lineRule="exact"/>
        <w:rPr>
          <w:sz w:val="20"/>
          <w:szCs w:val="20"/>
          <w:color w:val="auto"/>
        </w:rPr>
      </w:pPr>
    </w:p>
    <w:p>
      <w:pPr>
        <w:jc w:val="both"/>
        <w:ind w:firstLine="379"/>
        <w:spacing w:after="0" w:line="255" w:lineRule="auto"/>
        <w:rPr>
          <w:sz w:val="20"/>
          <w:szCs w:val="20"/>
          <w:color w:val="auto"/>
        </w:rPr>
      </w:pPr>
      <w:r>
        <w:rPr>
          <w:rFonts w:ascii="Arial" w:cs="Arial" w:eastAsia="Arial" w:hAnsi="Arial"/>
          <w:sz w:val="17"/>
          <w:szCs w:val="17"/>
          <w:b w:val="1"/>
          <w:bCs w:val="1"/>
          <w:i w:val="1"/>
          <w:iCs w:val="1"/>
          <w:color w:val="auto"/>
        </w:rPr>
        <w:t xml:space="preserve">Income Tax Expense. </w:t>
      </w:r>
      <w:r>
        <w:rPr>
          <w:rFonts w:ascii="Arial" w:cs="Arial" w:eastAsia="Arial" w:hAnsi="Arial"/>
          <w:sz w:val="17"/>
          <w:szCs w:val="17"/>
          <w:color w:val="auto"/>
        </w:rPr>
        <w:t>The effective tax rate decreased from 34.4% during the nine months ended September 30, 2015 to 28.6% during the nine months ended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September 30, 2016. The decrease was the result of a (i) higher income tax expense during the nine months ended September 30, 2015 due to certain adjustments (resulting in an increase in income tax expense of $2.4 million) and (ii) increase in earnings in locations with lower tax rates as well as tax incentives. The decrease in effective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1420"/>
          </w:cols>
          <w:pgMar w:left="240" w:top="311" w:right="239" w:bottom="1440" w:gutter="0" w:footer="0" w:header="0"/>
        </w:sectPr>
      </w:pPr>
    </w:p>
    <w:bookmarkStart w:id="35" w:name="page36"/>
    <w:bookmarkEnd w:id="35"/>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tax rate was partially offset by the reversal of earn-out liability of $4.1 million in other income during nine months ended September 30, 2016, related to our RPM acquisition.</w:t>
      </w:r>
    </w:p>
    <w:p>
      <w:pPr>
        <w:spacing w:after="0" w:line="165" w:lineRule="exact"/>
        <w:rPr>
          <w:sz w:val="20"/>
          <w:szCs w:val="20"/>
          <w:color w:val="auto"/>
        </w:rPr>
      </w:pPr>
    </w:p>
    <w:p>
      <w:pPr>
        <w:jc w:val="both"/>
        <w:ind w:firstLine="379"/>
        <w:spacing w:after="0" w:line="255" w:lineRule="auto"/>
        <w:rPr>
          <w:sz w:val="20"/>
          <w:szCs w:val="20"/>
          <w:color w:val="auto"/>
        </w:rPr>
      </w:pPr>
      <w:r>
        <w:rPr>
          <w:rFonts w:ascii="Arial" w:cs="Arial" w:eastAsia="Arial" w:hAnsi="Arial"/>
          <w:sz w:val="17"/>
          <w:szCs w:val="17"/>
          <w:b w:val="1"/>
          <w:bCs w:val="1"/>
          <w:i w:val="1"/>
          <w:iCs w:val="1"/>
          <w:color w:val="auto"/>
        </w:rPr>
        <w:t xml:space="preserve">Net Income. </w:t>
      </w:r>
      <w:r>
        <w:rPr>
          <w:rFonts w:ascii="Arial" w:cs="Arial" w:eastAsia="Arial" w:hAnsi="Arial"/>
          <w:sz w:val="17"/>
          <w:szCs w:val="17"/>
          <w:color w:val="auto"/>
        </w:rPr>
        <w:t>Net income increased from $36.8 million for the nine months ended September 30, 2015 to $46.2 million for the nine months ended September 30,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2016, primarily due to higher income from operations of $0.6 million and an increase in other income and foreign exchange gain of $8.1 million. Net income further increased due to lower income tax expense of $0.8 million. As a percentage of revenues, net income increased from 8.0% for the nine months ended September 30, 2015 to 9.1% for the nine months ended September 30, 2016.</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380" w:type="dxa"/>
            <w:vAlign w:val="bottom"/>
            <w:gridSpan w:val="2"/>
          </w:tcPr>
          <w:p>
            <w:pPr>
              <w:spacing w:after="0"/>
              <w:rPr>
                <w:sz w:val="20"/>
                <w:szCs w:val="20"/>
                <w:color w:val="auto"/>
              </w:rPr>
            </w:pPr>
            <w:r>
              <w:rPr>
                <w:rFonts w:ascii="Arial" w:cs="Arial" w:eastAsia="Arial" w:hAnsi="Arial"/>
                <w:sz w:val="17"/>
                <w:szCs w:val="17"/>
                <w:b w:val="1"/>
                <w:bCs w:val="1"/>
                <w:color w:val="auto"/>
              </w:rPr>
              <w:t>Liquidity and Capital Resources</w:t>
            </w: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354"/>
        </w:trPr>
        <w:tc>
          <w:tcPr>
            <w:tcW w:w="46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80" w:type="dxa"/>
            <w:vAlign w:val="bottom"/>
            <w:gridSpan w:val="3"/>
          </w:tcPr>
          <w:p>
            <w:pPr>
              <w:jc w:val="right"/>
              <w:ind w:right="96"/>
              <w:spacing w:after="0"/>
              <w:rPr>
                <w:sz w:val="20"/>
                <w:szCs w:val="20"/>
                <w:color w:val="auto"/>
              </w:rPr>
            </w:pPr>
            <w:r>
              <w:rPr>
                <w:rFonts w:ascii="Arial" w:cs="Arial" w:eastAsia="Arial" w:hAnsi="Arial"/>
                <w:sz w:val="17"/>
                <w:szCs w:val="17"/>
                <w:b w:val="1"/>
                <w:bCs w:val="1"/>
                <w:color w:val="auto"/>
                <w:w w:val="88"/>
              </w:rPr>
              <w:t>Nine months ended September 30,</w:t>
            </w:r>
          </w:p>
        </w:tc>
      </w:tr>
      <w:tr>
        <w:trPr>
          <w:trHeight w:val="26"/>
        </w:trPr>
        <w:tc>
          <w:tcPr>
            <w:tcW w:w="460" w:type="dxa"/>
            <w:vAlign w:val="bottom"/>
          </w:tcPr>
          <w:p>
            <w:pPr>
              <w:spacing w:after="0"/>
              <w:rPr>
                <w:sz w:val="2"/>
                <w:szCs w:val="2"/>
                <w:color w:val="auto"/>
              </w:rPr>
            </w:pPr>
          </w:p>
        </w:tc>
        <w:tc>
          <w:tcPr>
            <w:tcW w:w="69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0"/>
        </w:trPr>
        <w:tc>
          <w:tcPr>
            <w:tcW w:w="460" w:type="dxa"/>
            <w:vAlign w:val="bottom"/>
          </w:tcPr>
          <w:p>
            <w:pPr>
              <w:spacing w:after="0"/>
              <w:rPr>
                <w:sz w:val="19"/>
                <w:szCs w:val="19"/>
                <w:color w:val="auto"/>
              </w:rPr>
            </w:pPr>
          </w:p>
        </w:tc>
        <w:tc>
          <w:tcPr>
            <w:tcW w:w="6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ind w:right="476"/>
              <w:spacing w:after="0"/>
              <w:rPr>
                <w:sz w:val="20"/>
                <w:szCs w:val="20"/>
                <w:color w:val="auto"/>
              </w:rPr>
            </w:pPr>
            <w:r>
              <w:rPr>
                <w:rFonts w:ascii="Arial" w:cs="Arial" w:eastAsia="Arial" w:hAnsi="Arial"/>
                <w:sz w:val="17"/>
                <w:szCs w:val="17"/>
                <w:b w:val="1"/>
                <w:bCs w:val="1"/>
                <w:color w:val="auto"/>
              </w:rPr>
              <w:t>2016</w:t>
            </w:r>
          </w:p>
        </w:tc>
        <w:tc>
          <w:tcPr>
            <w:tcW w:w="360" w:type="dxa"/>
            <w:vAlign w:val="bottom"/>
          </w:tcPr>
          <w:p>
            <w:pPr>
              <w:spacing w:after="0"/>
              <w:rPr>
                <w:sz w:val="19"/>
                <w:szCs w:val="19"/>
                <w:color w:val="auto"/>
              </w:rPr>
            </w:pPr>
          </w:p>
        </w:tc>
        <w:tc>
          <w:tcPr>
            <w:tcW w:w="1060" w:type="dxa"/>
            <w:vAlign w:val="bottom"/>
          </w:tcPr>
          <w:p>
            <w:pPr>
              <w:jc w:val="right"/>
              <w:ind w:right="436"/>
              <w:spacing w:after="0"/>
              <w:rPr>
                <w:sz w:val="20"/>
                <w:szCs w:val="20"/>
                <w:color w:val="auto"/>
              </w:rPr>
            </w:pPr>
            <w:r>
              <w:rPr>
                <w:rFonts w:ascii="Arial" w:cs="Arial" w:eastAsia="Arial" w:hAnsi="Arial"/>
                <w:sz w:val="17"/>
                <w:szCs w:val="17"/>
                <w:b w:val="1"/>
                <w:bCs w:val="1"/>
                <w:color w:val="auto"/>
              </w:rPr>
              <w:t>2015</w:t>
            </w:r>
          </w:p>
        </w:tc>
      </w:tr>
      <w:tr>
        <w:trPr>
          <w:trHeight w:val="26"/>
        </w:trPr>
        <w:tc>
          <w:tcPr>
            <w:tcW w:w="460" w:type="dxa"/>
            <w:vAlign w:val="bottom"/>
          </w:tcPr>
          <w:p>
            <w:pPr>
              <w:spacing w:after="0"/>
              <w:rPr>
                <w:sz w:val="2"/>
                <w:szCs w:val="2"/>
                <w:color w:val="auto"/>
              </w:rPr>
            </w:pPr>
          </w:p>
        </w:tc>
        <w:tc>
          <w:tcPr>
            <w:tcW w:w="69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gridSpan w:val="3"/>
          </w:tcPr>
          <w:p>
            <w:pPr>
              <w:spacing w:after="0"/>
              <w:rPr>
                <w:sz w:val="2"/>
                <w:szCs w:val="2"/>
                <w:color w:val="auto"/>
              </w:rPr>
            </w:pPr>
          </w:p>
        </w:tc>
      </w:tr>
      <w:tr>
        <w:trPr>
          <w:trHeight w:val="220"/>
        </w:trPr>
        <w:tc>
          <w:tcPr>
            <w:tcW w:w="460" w:type="dxa"/>
            <w:vAlign w:val="bottom"/>
          </w:tcPr>
          <w:p>
            <w:pPr>
              <w:spacing w:after="0"/>
              <w:rPr>
                <w:sz w:val="19"/>
                <w:szCs w:val="19"/>
                <w:color w:val="auto"/>
              </w:rPr>
            </w:pPr>
          </w:p>
        </w:tc>
        <w:tc>
          <w:tcPr>
            <w:tcW w:w="6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80" w:type="dxa"/>
            <w:vAlign w:val="bottom"/>
            <w:gridSpan w:val="3"/>
          </w:tcPr>
          <w:p>
            <w:pPr>
              <w:jc w:val="right"/>
              <w:ind w:right="616"/>
              <w:spacing w:after="0"/>
              <w:rPr>
                <w:sz w:val="20"/>
                <w:szCs w:val="20"/>
                <w:color w:val="auto"/>
              </w:rPr>
            </w:pPr>
            <w:r>
              <w:rPr>
                <w:rFonts w:ascii="Arial" w:cs="Arial" w:eastAsia="Arial" w:hAnsi="Arial"/>
                <w:sz w:val="17"/>
                <w:szCs w:val="17"/>
                <w:b w:val="1"/>
                <w:bCs w:val="1"/>
                <w:color w:val="auto"/>
              </w:rPr>
              <w:t>(dollars in millions)</w:t>
            </w:r>
          </w:p>
        </w:tc>
      </w:tr>
      <w:tr>
        <w:trPr>
          <w:trHeight w:val="26"/>
        </w:trPr>
        <w:tc>
          <w:tcPr>
            <w:tcW w:w="460" w:type="dxa"/>
            <w:vAlign w:val="bottom"/>
          </w:tcPr>
          <w:p>
            <w:pPr>
              <w:spacing w:after="0"/>
              <w:rPr>
                <w:sz w:val="2"/>
                <w:szCs w:val="2"/>
                <w:color w:val="auto"/>
              </w:rPr>
            </w:pPr>
          </w:p>
        </w:tc>
        <w:tc>
          <w:tcPr>
            <w:tcW w:w="6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3"/>
        </w:trPr>
        <w:tc>
          <w:tcPr>
            <w:tcW w:w="460" w:type="dxa"/>
            <w:vAlign w:val="bottom"/>
          </w:tcPr>
          <w:p>
            <w:pPr>
              <w:spacing w:after="0"/>
              <w:rPr>
                <w:sz w:val="20"/>
                <w:szCs w:val="20"/>
                <w:color w:val="auto"/>
              </w:rPr>
            </w:pPr>
          </w:p>
        </w:tc>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Opening 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205.3</w:t>
            </w:r>
          </w:p>
        </w:tc>
        <w:tc>
          <w:tcPr>
            <w:tcW w:w="36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176.5</w:t>
            </w:r>
          </w:p>
        </w:tc>
      </w:tr>
      <w:tr>
        <w:trPr>
          <w:trHeight w:val="227"/>
        </w:trPr>
        <w:tc>
          <w:tcPr>
            <w:tcW w:w="460" w:type="dxa"/>
            <w:vAlign w:val="bottom"/>
          </w:tcPr>
          <w:p>
            <w:pPr>
              <w:spacing w:after="0"/>
              <w:rPr>
                <w:sz w:val="19"/>
                <w:szCs w:val="19"/>
                <w:color w:val="auto"/>
              </w:rPr>
            </w:pPr>
          </w:p>
        </w:tc>
        <w:tc>
          <w:tcPr>
            <w:tcW w:w="6920" w:type="dxa"/>
            <w:vAlign w:val="bottom"/>
          </w:tcPr>
          <w:p>
            <w:pPr>
              <w:ind w:left="20"/>
              <w:spacing w:after="0"/>
              <w:rPr>
                <w:sz w:val="20"/>
                <w:szCs w:val="20"/>
                <w:color w:val="auto"/>
              </w:rPr>
            </w:pPr>
            <w:r>
              <w:rPr>
                <w:rFonts w:ascii="Arial" w:cs="Arial" w:eastAsia="Arial" w:hAnsi="Arial"/>
                <w:sz w:val="17"/>
                <w:szCs w:val="17"/>
                <w:color w:val="auto"/>
              </w:rPr>
              <w:t>Net cash provided by operating activities</w:t>
            </w:r>
          </w:p>
        </w:tc>
        <w:tc>
          <w:tcPr>
            <w:tcW w:w="160" w:type="dxa"/>
            <w:vAlign w:val="bottom"/>
          </w:tcPr>
          <w:p>
            <w:pPr>
              <w:spacing w:after="0"/>
              <w:rPr>
                <w:sz w:val="19"/>
                <w:szCs w:val="19"/>
                <w:color w:val="auto"/>
              </w:rPr>
            </w:pPr>
          </w:p>
        </w:tc>
        <w:tc>
          <w:tcPr>
            <w:tcW w:w="1260" w:type="dxa"/>
            <w:vAlign w:val="bottom"/>
          </w:tcPr>
          <w:p>
            <w:pPr>
              <w:jc w:val="right"/>
              <w:ind w:right="56"/>
              <w:spacing w:after="0"/>
              <w:rPr>
                <w:sz w:val="20"/>
                <w:szCs w:val="20"/>
                <w:color w:val="auto"/>
              </w:rPr>
            </w:pPr>
            <w:r>
              <w:rPr>
                <w:rFonts w:ascii="Arial" w:cs="Arial" w:eastAsia="Arial" w:hAnsi="Arial"/>
                <w:sz w:val="17"/>
                <w:szCs w:val="17"/>
                <w:color w:val="auto"/>
              </w:rPr>
              <w:t>56.0</w:t>
            </w:r>
          </w:p>
        </w:tc>
        <w:tc>
          <w:tcPr>
            <w:tcW w:w="360" w:type="dxa"/>
            <w:vAlign w:val="bottom"/>
          </w:tcPr>
          <w:p>
            <w:pPr>
              <w:spacing w:after="0"/>
              <w:rPr>
                <w:sz w:val="19"/>
                <w:szCs w:val="19"/>
                <w:color w:val="auto"/>
              </w:rPr>
            </w:pPr>
          </w:p>
        </w:tc>
        <w:tc>
          <w:tcPr>
            <w:tcW w:w="1060" w:type="dxa"/>
            <w:vAlign w:val="bottom"/>
          </w:tcPr>
          <w:p>
            <w:pPr>
              <w:jc w:val="right"/>
              <w:ind w:right="16"/>
              <w:spacing w:after="0"/>
              <w:rPr>
                <w:sz w:val="20"/>
                <w:szCs w:val="20"/>
                <w:color w:val="auto"/>
              </w:rPr>
            </w:pPr>
            <w:r>
              <w:rPr>
                <w:rFonts w:ascii="Arial" w:cs="Arial" w:eastAsia="Arial" w:hAnsi="Arial"/>
                <w:sz w:val="17"/>
                <w:szCs w:val="17"/>
                <w:color w:val="auto"/>
              </w:rPr>
              <w:t>54.6</w:t>
            </w:r>
          </w:p>
        </w:tc>
      </w:tr>
      <w:tr>
        <w:trPr>
          <w:trHeight w:val="26"/>
        </w:trPr>
        <w:tc>
          <w:tcPr>
            <w:tcW w:w="460" w:type="dxa"/>
            <w:vAlign w:val="bottom"/>
          </w:tcPr>
          <w:p>
            <w:pPr>
              <w:spacing w:after="0"/>
              <w:rPr>
                <w:sz w:val="2"/>
                <w:szCs w:val="2"/>
                <w:color w:val="auto"/>
              </w:rPr>
            </w:pPr>
          </w:p>
        </w:tc>
        <w:tc>
          <w:tcPr>
            <w:tcW w:w="6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3"/>
        </w:trPr>
        <w:tc>
          <w:tcPr>
            <w:tcW w:w="460" w:type="dxa"/>
            <w:vAlign w:val="bottom"/>
          </w:tcPr>
          <w:p>
            <w:pPr>
              <w:spacing w:after="0"/>
              <w:rPr>
                <w:sz w:val="20"/>
                <w:szCs w:val="20"/>
                <w:color w:val="auto"/>
              </w:rPr>
            </w:pPr>
          </w:p>
        </w:tc>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cash used for investing activities</w:t>
            </w:r>
          </w:p>
        </w:tc>
        <w:tc>
          <w:tcPr>
            <w:tcW w:w="1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(126.2)</w:t>
            </w:r>
          </w:p>
        </w:tc>
        <w:tc>
          <w:tcPr>
            <w:tcW w:w="3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(145.9)</w:t>
            </w:r>
          </w:p>
        </w:tc>
      </w:tr>
      <w:tr>
        <w:trPr>
          <w:trHeight w:val="227"/>
        </w:trPr>
        <w:tc>
          <w:tcPr>
            <w:tcW w:w="460" w:type="dxa"/>
            <w:vAlign w:val="bottom"/>
          </w:tcPr>
          <w:p>
            <w:pPr>
              <w:spacing w:after="0"/>
              <w:rPr>
                <w:sz w:val="19"/>
                <w:szCs w:val="19"/>
                <w:color w:val="auto"/>
              </w:rPr>
            </w:pPr>
          </w:p>
        </w:tc>
        <w:tc>
          <w:tcPr>
            <w:tcW w:w="6920" w:type="dxa"/>
            <w:vAlign w:val="bottom"/>
          </w:tcPr>
          <w:p>
            <w:pPr>
              <w:ind w:left="20"/>
              <w:spacing w:after="0"/>
              <w:rPr>
                <w:sz w:val="20"/>
                <w:szCs w:val="20"/>
                <w:color w:val="auto"/>
              </w:rPr>
            </w:pPr>
            <w:r>
              <w:rPr>
                <w:rFonts w:ascii="Arial" w:cs="Arial" w:eastAsia="Arial" w:hAnsi="Arial"/>
                <w:sz w:val="17"/>
                <w:szCs w:val="17"/>
                <w:color w:val="auto"/>
              </w:rPr>
              <w:t>Net cash (used for) / provided by financing activities</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(34.2)</w:t>
            </w:r>
          </w:p>
        </w:tc>
        <w:tc>
          <w:tcPr>
            <w:tcW w:w="360" w:type="dxa"/>
            <w:vAlign w:val="bottom"/>
          </w:tcPr>
          <w:p>
            <w:pPr>
              <w:spacing w:after="0"/>
              <w:rPr>
                <w:sz w:val="19"/>
                <w:szCs w:val="19"/>
                <w:color w:val="auto"/>
              </w:rPr>
            </w:pPr>
          </w:p>
        </w:tc>
        <w:tc>
          <w:tcPr>
            <w:tcW w:w="1060" w:type="dxa"/>
            <w:vAlign w:val="bottom"/>
          </w:tcPr>
          <w:p>
            <w:pPr>
              <w:jc w:val="right"/>
              <w:ind w:right="16"/>
              <w:spacing w:after="0"/>
              <w:rPr>
                <w:sz w:val="20"/>
                <w:szCs w:val="20"/>
                <w:color w:val="auto"/>
              </w:rPr>
            </w:pPr>
            <w:r>
              <w:rPr>
                <w:rFonts w:ascii="Arial" w:cs="Arial" w:eastAsia="Arial" w:hAnsi="Arial"/>
                <w:sz w:val="17"/>
                <w:szCs w:val="17"/>
                <w:color w:val="auto"/>
              </w:rPr>
              <w:t>9.5</w:t>
            </w:r>
          </w:p>
        </w:tc>
      </w:tr>
      <w:tr>
        <w:trPr>
          <w:trHeight w:val="26"/>
        </w:trPr>
        <w:tc>
          <w:tcPr>
            <w:tcW w:w="460" w:type="dxa"/>
            <w:vAlign w:val="bottom"/>
          </w:tcPr>
          <w:p>
            <w:pPr>
              <w:spacing w:after="0"/>
              <w:rPr>
                <w:sz w:val="2"/>
                <w:szCs w:val="2"/>
                <w:color w:val="auto"/>
              </w:rPr>
            </w:pPr>
          </w:p>
        </w:tc>
        <w:tc>
          <w:tcPr>
            <w:tcW w:w="6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3"/>
        </w:trPr>
        <w:tc>
          <w:tcPr>
            <w:tcW w:w="460" w:type="dxa"/>
            <w:vAlign w:val="bottom"/>
          </w:tcPr>
          <w:p>
            <w:pPr>
              <w:spacing w:after="0"/>
              <w:rPr>
                <w:sz w:val="21"/>
                <w:szCs w:val="21"/>
                <w:color w:val="auto"/>
              </w:rPr>
            </w:pPr>
          </w:p>
        </w:tc>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Effect of exchange rate changes</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(4.0)</w:t>
            </w:r>
          </w:p>
        </w:tc>
      </w:tr>
      <w:tr>
        <w:trPr>
          <w:trHeight w:val="220"/>
        </w:trPr>
        <w:tc>
          <w:tcPr>
            <w:tcW w:w="460" w:type="dxa"/>
            <w:vAlign w:val="bottom"/>
          </w:tcPr>
          <w:p>
            <w:pPr>
              <w:spacing w:after="0"/>
              <w:rPr>
                <w:sz w:val="19"/>
                <w:szCs w:val="19"/>
                <w:color w:val="auto"/>
              </w:rPr>
            </w:pPr>
          </w:p>
        </w:tc>
        <w:tc>
          <w:tcPr>
            <w:tcW w:w="6920" w:type="dxa"/>
            <w:vAlign w:val="bottom"/>
          </w:tcPr>
          <w:p>
            <w:pPr>
              <w:ind w:left="20"/>
              <w:spacing w:after="0"/>
              <w:rPr>
                <w:sz w:val="20"/>
                <w:szCs w:val="20"/>
                <w:color w:val="auto"/>
              </w:rPr>
            </w:pPr>
            <w:r>
              <w:rPr>
                <w:rFonts w:ascii="Arial" w:cs="Arial" w:eastAsia="Arial" w:hAnsi="Arial"/>
                <w:sz w:val="17"/>
                <w:szCs w:val="17"/>
                <w:color w:val="auto"/>
              </w:rPr>
              <w:t>Closing cash and cash equivalents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top w:val="single" w:sz="8" w:color="auto"/>
            </w:tcBorders>
          </w:tcPr>
          <w:p>
            <w:pPr>
              <w:jc w:val="right"/>
              <w:ind w:right="56"/>
              <w:spacing w:after="0"/>
              <w:rPr>
                <w:sz w:val="20"/>
                <w:szCs w:val="20"/>
                <w:color w:val="auto"/>
              </w:rPr>
            </w:pPr>
            <w:r>
              <w:rPr>
                <w:rFonts w:ascii="Arial" w:cs="Arial" w:eastAsia="Arial" w:hAnsi="Arial"/>
                <w:sz w:val="17"/>
                <w:szCs w:val="17"/>
                <w:color w:val="auto"/>
              </w:rPr>
              <w:t>98.4</w:t>
            </w:r>
          </w:p>
        </w:tc>
        <w:tc>
          <w:tcPr>
            <w:tcW w:w="360" w:type="dxa"/>
            <w:vAlign w:val="bottom"/>
            <w:tcBorders>
              <w:top w:val="single" w:sz="8" w:color="auto"/>
            </w:tcBorders>
          </w:tcPr>
          <w:p>
            <w:pPr>
              <w:jc w:val="right"/>
              <w:ind w:right="116"/>
              <w:spacing w:after="0"/>
              <w:rPr>
                <w:sz w:val="20"/>
                <w:szCs w:val="20"/>
                <w:color w:val="auto"/>
              </w:rPr>
            </w:pPr>
            <w:r>
              <w:rPr>
                <w:rFonts w:ascii="Arial" w:cs="Arial" w:eastAsia="Arial" w:hAnsi="Arial"/>
                <w:sz w:val="17"/>
                <w:szCs w:val="17"/>
                <w:color w:val="auto"/>
              </w:rPr>
              <w:t>$</w:t>
            </w:r>
          </w:p>
        </w:tc>
        <w:tc>
          <w:tcPr>
            <w:tcW w:w="106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90.7</w:t>
            </w:r>
          </w:p>
        </w:tc>
      </w:tr>
      <w:tr>
        <w:trPr>
          <w:trHeight w:val="26"/>
        </w:trPr>
        <w:tc>
          <w:tcPr>
            <w:tcW w:w="460" w:type="dxa"/>
            <w:vAlign w:val="bottom"/>
          </w:tcPr>
          <w:p>
            <w:pPr>
              <w:spacing w:after="0"/>
              <w:rPr>
                <w:sz w:val="2"/>
                <w:szCs w:val="2"/>
                <w:color w:val="auto"/>
              </w:rPr>
            </w:pPr>
          </w:p>
        </w:tc>
        <w:tc>
          <w:tcPr>
            <w:tcW w:w="69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46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jc w:val="both"/>
        <w:ind w:firstLine="366"/>
        <w:spacing w:after="0" w:line="254" w:lineRule="auto"/>
        <w:rPr>
          <w:sz w:val="20"/>
          <w:szCs w:val="20"/>
          <w:color w:val="auto"/>
        </w:rPr>
      </w:pPr>
      <w:r>
        <w:rPr>
          <w:rFonts w:ascii="Arial" w:cs="Arial" w:eastAsia="Arial" w:hAnsi="Arial"/>
          <w:sz w:val="17"/>
          <w:szCs w:val="17"/>
          <w:color w:val="auto"/>
        </w:rPr>
        <w:t>As of September 30, 2016 and December 31, 2015, we had $214.0 million and $219.0 million, respectively in cash, cash equivalents and short-term investments (including $156.4 million and $136.0 million, respectively, held by our foreign subsidiaries). We do not intend to repatriate funds held by our foreign subsidiaries since our future growth partially depends upon continued infrastructure and technology investments, geographical expansions and acquisitions outside of the U.S. Therefore, we anticipate that we will indefinitely reinvest the earnings generated outside of the U.S. If we were to repatriate our overseas funds, we would accrue and pay applicable taxes.</w:t>
      </w:r>
    </w:p>
    <w:p>
      <w:pPr>
        <w:spacing w:after="0" w:line="179" w:lineRule="exact"/>
        <w:rPr>
          <w:sz w:val="20"/>
          <w:szCs w:val="20"/>
          <w:color w:val="auto"/>
        </w:rPr>
      </w:pPr>
    </w:p>
    <w:p>
      <w:pPr>
        <w:jc w:val="both"/>
        <w:ind w:firstLine="366"/>
        <w:spacing w:after="0" w:line="276" w:lineRule="auto"/>
        <w:rPr>
          <w:sz w:val="20"/>
          <w:szCs w:val="20"/>
          <w:color w:val="auto"/>
        </w:rPr>
      </w:pPr>
      <w:r>
        <w:rPr>
          <w:rFonts w:ascii="Arial" w:cs="Arial" w:eastAsia="Arial" w:hAnsi="Arial"/>
          <w:sz w:val="16"/>
          <w:szCs w:val="16"/>
          <w:i w:val="1"/>
          <w:iCs w:val="1"/>
          <w:color w:val="auto"/>
        </w:rPr>
        <w:t xml:space="preserve">Operating Activities: </w:t>
      </w:r>
      <w:r>
        <w:rPr>
          <w:rFonts w:ascii="Arial" w:cs="Arial" w:eastAsia="Arial" w:hAnsi="Arial"/>
          <w:sz w:val="16"/>
          <w:szCs w:val="16"/>
          <w:color w:val="auto"/>
        </w:rPr>
        <w:t>Cash flows from operating activities increased by $1.6 million from $54.6 million for the nine months ended September 30, 2015 to $56.0</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for the nine months ended September 30, 2016. Generally, factors that affect our earnings—including pricing, volume of services, costs and productivity—affect our cash flows provided from operations in a similar manner. However, while management of working capital, including timing of collections and payments affects operating results only indirectly, the impact on the working capital and cash flows provided by operating activities can be significant.</w:t>
      </w:r>
    </w:p>
    <w:p>
      <w:pPr>
        <w:spacing w:after="0" w:line="165" w:lineRule="exact"/>
        <w:rPr>
          <w:sz w:val="20"/>
          <w:szCs w:val="20"/>
          <w:color w:val="auto"/>
        </w:rPr>
      </w:pPr>
    </w:p>
    <w:p>
      <w:pPr>
        <w:jc w:val="both"/>
        <w:ind w:firstLine="366"/>
        <w:spacing w:after="0" w:line="295" w:lineRule="auto"/>
        <w:rPr>
          <w:sz w:val="20"/>
          <w:szCs w:val="20"/>
          <w:color w:val="auto"/>
        </w:rPr>
      </w:pPr>
      <w:r>
        <w:rPr>
          <w:rFonts w:ascii="Arial" w:cs="Arial" w:eastAsia="Arial" w:hAnsi="Arial"/>
          <w:sz w:val="15"/>
          <w:szCs w:val="15"/>
          <w:color w:val="auto"/>
        </w:rPr>
        <w:t>The increase in cash flows from operations for the nine months ended September 30, 2016 compared to the nine months ended September 30, 2015 was due to an increase in net income adjusted for non-cash expenses of $10.6 million, primarily due to an increase in net income by $9.4 million. This increase in cash flows from operations was partially offset by an increase in working capital of $25.1 million during the nine months ended September 30, 2016 compared to an increase of $16.0 million during the nine months ended September 30, 2015. The increase in working capital was primarily due to an increase in accounts receivables, advance income tax (net of income tax provision) and a decrease in accrued employee costs, partially offset by an increase in accrued expenses and other current liabilities.</w:t>
      </w:r>
    </w:p>
    <w:p>
      <w:pPr>
        <w:spacing w:after="0" w:line="153" w:lineRule="exact"/>
        <w:rPr>
          <w:sz w:val="20"/>
          <w:szCs w:val="20"/>
          <w:color w:val="auto"/>
        </w:rPr>
      </w:pPr>
    </w:p>
    <w:p>
      <w:pPr>
        <w:jc w:val="both"/>
        <w:ind w:firstLine="366"/>
        <w:spacing w:after="0" w:line="254" w:lineRule="auto"/>
        <w:rPr>
          <w:sz w:val="20"/>
          <w:szCs w:val="20"/>
          <w:color w:val="auto"/>
        </w:rPr>
      </w:pPr>
      <w:r>
        <w:rPr>
          <w:rFonts w:ascii="Arial" w:cs="Arial" w:eastAsia="Arial" w:hAnsi="Arial"/>
          <w:sz w:val="17"/>
          <w:szCs w:val="17"/>
          <w:i w:val="1"/>
          <w:iCs w:val="1"/>
          <w:color w:val="auto"/>
        </w:rPr>
        <w:t xml:space="preserve">Investing Activities: </w:t>
      </w:r>
      <w:r>
        <w:rPr>
          <w:rFonts w:ascii="Arial" w:cs="Arial" w:eastAsia="Arial" w:hAnsi="Arial"/>
          <w:sz w:val="17"/>
          <w:szCs w:val="17"/>
          <w:color w:val="auto"/>
        </w:rPr>
        <w:t>Cash flows used for investing activities decreased by $19.7 million from $145.9 million for the nine months ended September 30, 2015 to</w:t>
      </w:r>
      <w:r>
        <w:rPr>
          <w:rFonts w:ascii="Arial" w:cs="Arial" w:eastAsia="Arial" w:hAnsi="Arial"/>
          <w:sz w:val="17"/>
          <w:szCs w:val="17"/>
          <w:i w:val="1"/>
          <w:iCs w:val="1"/>
          <w:color w:val="auto"/>
        </w:rPr>
        <w:t xml:space="preserve"> </w:t>
      </w:r>
      <w:r>
        <w:rPr>
          <w:rFonts w:ascii="Arial" w:cs="Arial" w:eastAsia="Arial" w:hAnsi="Arial"/>
          <w:sz w:val="17"/>
          <w:szCs w:val="17"/>
          <w:color w:val="auto"/>
        </w:rPr>
        <w:t>$126.2 million for the nine months ended September 30, 2016. The decrease was primarily due to cash paid for the RPM acquisition (net of cash acquired) of $44.3 million during the nine months ended September 30, 2015 compared to cash paid for Liss and IQR acquisitions (net of cash acquired) of $9.4 million during the nine months ended September 31, 2016. The decrease was partially offset by an increase in short-term investments of $16.0 million (net of redemption) during the nine months ended September 30, 2016 compared to the nine months ended September 30, 2015.</w:t>
      </w:r>
    </w:p>
    <w:p>
      <w:pPr>
        <w:spacing w:after="0" w:line="179" w:lineRule="exact"/>
        <w:rPr>
          <w:sz w:val="20"/>
          <w:szCs w:val="20"/>
          <w:color w:val="auto"/>
        </w:rPr>
      </w:pPr>
    </w:p>
    <w:p>
      <w:pPr>
        <w:jc w:val="both"/>
        <w:ind w:firstLine="366"/>
        <w:spacing w:after="0" w:line="254" w:lineRule="auto"/>
        <w:rPr>
          <w:sz w:val="20"/>
          <w:szCs w:val="20"/>
          <w:color w:val="auto"/>
        </w:rPr>
      </w:pPr>
      <w:r>
        <w:rPr>
          <w:rFonts w:ascii="Arial" w:cs="Arial" w:eastAsia="Arial" w:hAnsi="Arial"/>
          <w:sz w:val="17"/>
          <w:szCs w:val="17"/>
          <w:i w:val="1"/>
          <w:iCs w:val="1"/>
          <w:color w:val="auto"/>
        </w:rPr>
        <w:t xml:space="preserve">Financing Activities: </w:t>
      </w:r>
      <w:r>
        <w:rPr>
          <w:rFonts w:ascii="Arial" w:cs="Arial" w:eastAsia="Arial" w:hAnsi="Arial"/>
          <w:sz w:val="17"/>
          <w:szCs w:val="17"/>
          <w:color w:val="auto"/>
        </w:rPr>
        <w:t>Cash flows used for financing activities was $34.2 million during the nine months ended September 30, 2016 compared to cash flow provided</w:t>
      </w:r>
      <w:r>
        <w:rPr>
          <w:rFonts w:ascii="Arial" w:cs="Arial" w:eastAsia="Arial" w:hAnsi="Arial"/>
          <w:sz w:val="17"/>
          <w:szCs w:val="17"/>
          <w:i w:val="1"/>
          <w:iCs w:val="1"/>
          <w:color w:val="auto"/>
        </w:rPr>
        <w:t xml:space="preserve"> </w:t>
      </w:r>
      <w:r>
        <w:rPr>
          <w:rFonts w:ascii="Arial" w:cs="Arial" w:eastAsia="Arial" w:hAnsi="Arial"/>
          <w:sz w:val="17"/>
          <w:szCs w:val="17"/>
          <w:color w:val="auto"/>
        </w:rPr>
        <w:t>by financing activities of $9.5 million during the nine months ended September 30, 2015. The decrease in cash flow from financing activities is primarily due to net borrowings of $20 million under the Credit Agreement (as described below in “Financing Arrangements”) during the nine months ended September 30, 2015 compared to repayment of $25.0 million during the nine months ended September 30, 2016. Cash flows from financing activities further decreased due to higher purchases of treasury stock of $2.2 million during the nine months ended</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ectPr>
          <w:pgSz w:w="11900" w:h="16838" w:orient="portrait"/>
          <w:cols w:equalWidth="0" w:num="1">
            <w:col w:w="11420"/>
          </w:cols>
          <w:pgMar w:left="240" w:top="325" w:right="239" w:bottom="1440" w:gutter="0" w:footer="0" w:header="0"/>
        </w:sectPr>
      </w:pPr>
    </w:p>
    <w:bookmarkStart w:id="36" w:name="page37"/>
    <w:bookmarkEnd w:id="36"/>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September 30, 2016 compared to the nine months ended September 30, 2015. This decrease was partially offset by higher proceeds of $3.1 million from the exercise of stock options during the nine months ended September 30, 2016 compared to the nine months ended September 30, 2015.</w:t>
      </w:r>
    </w:p>
    <w:p>
      <w:pPr>
        <w:spacing w:after="0" w:line="165" w:lineRule="exact"/>
        <w:rPr>
          <w:sz w:val="20"/>
          <w:szCs w:val="20"/>
          <w:color w:val="auto"/>
        </w:rPr>
      </w:pPr>
    </w:p>
    <w:p>
      <w:pPr>
        <w:jc w:val="both"/>
        <w:ind w:firstLine="366"/>
        <w:spacing w:after="0" w:line="295" w:lineRule="auto"/>
        <w:rPr>
          <w:sz w:val="20"/>
          <w:szCs w:val="20"/>
          <w:color w:val="auto"/>
        </w:rPr>
      </w:pPr>
      <w:r>
        <w:rPr>
          <w:rFonts w:ascii="Arial" w:cs="Arial" w:eastAsia="Arial" w:hAnsi="Arial"/>
          <w:sz w:val="15"/>
          <w:szCs w:val="15"/>
          <w:color w:val="auto"/>
        </w:rPr>
        <w:t>We expect to use cash from operating activities to maintain and expand our business. As we have focused on expanding our cash flow from operating activities we continue to make capital investments, primarily related to new facilities and capital expenditures associated with leasehold improvements to build our facilities and the purchase of telecommunications equipment and computer hardware and software in connection with managing client operations. We incurred $20.3 million of capital expenditures in the nine months ended September 30, 2016. We expect to incur capital expenditures of between $5 million to $8 million in the remainder of 2016, primarily to meet our growth requirements, including additions to our facilities as well as investments in technology applications and infrastructure.</w:t>
      </w:r>
    </w:p>
    <w:p>
      <w:pPr>
        <w:spacing w:after="0" w:line="153" w:lineRule="exact"/>
        <w:rPr>
          <w:sz w:val="20"/>
          <w:szCs w:val="20"/>
          <w:color w:val="auto"/>
        </w:rPr>
      </w:pPr>
    </w:p>
    <w:p>
      <w:pPr>
        <w:jc w:val="both"/>
        <w:ind w:firstLine="366"/>
        <w:spacing w:after="0" w:line="255" w:lineRule="auto"/>
        <w:rPr>
          <w:sz w:val="20"/>
          <w:szCs w:val="20"/>
          <w:color w:val="auto"/>
        </w:rPr>
      </w:pPr>
      <w:r>
        <w:rPr>
          <w:rFonts w:ascii="Arial" w:cs="Arial" w:eastAsia="Arial" w:hAnsi="Arial"/>
          <w:sz w:val="17"/>
          <w:szCs w:val="17"/>
          <w:color w:val="auto"/>
        </w:rPr>
        <w:t>In connection with any tax assessment orders that have been issued or may be issued against us or our subsidiaries, we may be required to deposit additional amounts with respect to such assessment orders (refer to Note 16 to our unaudited consolidated financial statements for further details). We anticipate that we will continue to rely upon cash from operating activities to finance our smaller acquisitions, capital expenditures and working capital needs. If we have significant growth through acquisitions, we may need to obtain additional financing.</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Financing Arrangements (Debt Facility)</w:t>
      </w:r>
    </w:p>
    <w:p>
      <w:pPr>
        <w:spacing w:after="0" w:line="209" w:lineRule="exact"/>
        <w:rPr>
          <w:sz w:val="20"/>
          <w:szCs w:val="20"/>
          <w:color w:val="auto"/>
        </w:rPr>
      </w:pPr>
    </w:p>
    <w:p>
      <w:pPr>
        <w:jc w:val="both"/>
        <w:ind w:firstLine="366"/>
        <w:spacing w:after="0" w:line="310" w:lineRule="auto"/>
        <w:rPr>
          <w:sz w:val="20"/>
          <w:szCs w:val="20"/>
          <w:color w:val="auto"/>
        </w:rPr>
      </w:pPr>
      <w:r>
        <w:rPr>
          <w:rFonts w:ascii="Arial" w:cs="Arial" w:eastAsia="Arial" w:hAnsi="Arial"/>
          <w:sz w:val="15"/>
          <w:szCs w:val="15"/>
          <w:color w:val="auto"/>
        </w:rPr>
        <w:t>On October 24, 2014 we entered into a Credit Agreement that, as amended, provides for a $100 million revolving credit facility, including a letter of credit sub-facility (as amended, the “Credit Facility”). As of September 30, 2016, we had outstanding indebtedness of $45.0 million. Borrowings under the Credit Agreement mature on October 24, 2019 and may be used for working capital and general corporate purposes of the Company and its subsidiaries and for acquisitions.</w:t>
      </w:r>
    </w:p>
    <w:p>
      <w:pPr>
        <w:spacing w:after="0" w:line="141" w:lineRule="exact"/>
        <w:rPr>
          <w:sz w:val="20"/>
          <w:szCs w:val="20"/>
          <w:color w:val="auto"/>
        </w:rPr>
      </w:pPr>
    </w:p>
    <w:p>
      <w:pPr>
        <w:jc w:val="both"/>
        <w:ind w:firstLine="366"/>
        <w:spacing w:after="0" w:line="292" w:lineRule="auto"/>
        <w:rPr>
          <w:sz w:val="20"/>
          <w:szCs w:val="20"/>
          <w:color w:val="auto"/>
        </w:rPr>
      </w:pPr>
      <w:r>
        <w:rPr>
          <w:rFonts w:ascii="Arial" w:cs="Arial" w:eastAsia="Arial" w:hAnsi="Arial"/>
          <w:sz w:val="15"/>
          <w:szCs w:val="15"/>
          <w:color w:val="auto"/>
        </w:rPr>
        <w:t>Depending on the type of borrowing, loans under the Credit Facility bear interest at a rate equal to the specified prime rate (alternate base rate) or adjusted LIBO rate, plus, in each case, an applicable margin. The applicable margin is tied to the Company’s leverage ratio and ranges from 0.25% to 0.75% per annum with respect to loans pegged to the specified prime rate, and 1.25% to 1.75% per annum on loans pegged to the adjusted LIBO rate. The revolving credit commitments under the Credit Facility are subject to a commitment fee. The commitment fee is also tied to the Company’s leverage ratio, and ranges from 0.20% to 0.30% per annum on the average daily amount by which the aggregate revolving commitments exceed the sum of outstanding revolving loans and letter of credit obligations. The Credit Facility carried an effective interest rate of 1.95% and 1.56% per annum, respectively during the nine months ended September 30, 2016 and September 30, 2015.</w:t>
      </w: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112" w:lineRule="exact"/>
        <w:rPr>
          <w:sz w:val="20"/>
          <w:szCs w:val="20"/>
          <w:color w:val="auto"/>
        </w:rPr>
      </w:pPr>
    </w:p>
    <w:p>
      <w:pPr>
        <w:ind w:left="400"/>
        <w:spacing w:after="0"/>
        <w:rPr>
          <w:sz w:val="20"/>
          <w:szCs w:val="20"/>
          <w:color w:val="auto"/>
        </w:rPr>
      </w:pPr>
      <w:r>
        <w:rPr>
          <w:rFonts w:ascii="Arial" w:cs="Arial" w:eastAsia="Arial" w:hAnsi="Arial"/>
          <w:sz w:val="17"/>
          <w:szCs w:val="17"/>
          <w:color w:val="auto"/>
        </w:rPr>
        <w:t>As of September 30, 2016 and December 31, 2015, we had no off-balance sheet arrangements or obligations.</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ectPr>
          <w:pgSz w:w="11900" w:h="16838" w:orient="portrait"/>
          <w:cols w:equalWidth="0" w:num="1">
            <w:col w:w="11420"/>
          </w:cols>
          <w:pgMar w:left="240" w:top="325" w:right="239" w:bottom="1440" w:gutter="0" w:footer="0" w:header="0"/>
        </w:sectPr>
      </w:pPr>
    </w:p>
    <w:bookmarkStart w:id="37" w:name="page38"/>
    <w:bookmarkEnd w:id="37"/>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339"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table sets forth our contractual obligations as of September 30, 2016:</w:t>
      </w:r>
    </w:p>
    <w:p>
      <w:pPr>
        <w:spacing w:after="0" w:line="256" w:lineRule="exact"/>
        <w:rPr>
          <w:sz w:val="20"/>
          <w:szCs w:val="20"/>
          <w:color w:val="auto"/>
        </w:rPr>
      </w:pPr>
    </w:p>
    <w:tbl>
      <w:tblPr>
        <w:tblLayout w:type="fixed"/>
        <w:tblInd w:w="300" w:type="dxa"/>
        <w:tblCellMar>
          <w:top w:w="0" w:type="dxa"/>
          <w:left w:w="0" w:type="dxa"/>
          <w:bottom w:w="0" w:type="dxa"/>
          <w:right w:w="0" w:type="dxa"/>
        </w:tblCellMar>
      </w:tblPr>
      <w:tr>
        <w:trPr>
          <w:trHeight w:val="218"/>
        </w:trPr>
        <w:tc>
          <w:tcPr>
            <w:tcW w:w="4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0" w:type="dxa"/>
            <w:vAlign w:val="bottom"/>
            <w:gridSpan w:val="4"/>
          </w:tcPr>
          <w:p>
            <w:pPr>
              <w:spacing w:after="0"/>
              <w:rPr>
                <w:sz w:val="20"/>
                <w:szCs w:val="20"/>
                <w:color w:val="auto"/>
              </w:rPr>
            </w:pPr>
            <w:r>
              <w:rPr>
                <w:rFonts w:ascii="Arial" w:cs="Arial" w:eastAsia="Arial" w:hAnsi="Arial"/>
                <w:sz w:val="17"/>
                <w:szCs w:val="17"/>
                <w:b w:val="1"/>
                <w:bCs w:val="1"/>
                <w:color w:val="auto"/>
                <w:w w:val="93"/>
              </w:rPr>
              <w:t>Payment Due by Period</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6"/>
        </w:trPr>
        <w:tc>
          <w:tcPr>
            <w:tcW w:w="436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20"/>
        </w:trPr>
        <w:tc>
          <w:tcPr>
            <w:tcW w:w="4360" w:type="dxa"/>
            <w:vAlign w:val="bottom"/>
          </w:tcPr>
          <w:p>
            <w:pPr>
              <w:spacing w:after="0"/>
              <w:rPr>
                <w:sz w:val="19"/>
                <w:szCs w:val="19"/>
                <w:color w:val="auto"/>
              </w:rPr>
            </w:pPr>
          </w:p>
        </w:tc>
        <w:tc>
          <w:tcPr>
            <w:tcW w:w="760" w:type="dxa"/>
            <w:vAlign w:val="bottom"/>
          </w:tcPr>
          <w:p>
            <w:pPr>
              <w:ind w:left="20"/>
              <w:spacing w:after="0"/>
              <w:rPr>
                <w:sz w:val="20"/>
                <w:szCs w:val="20"/>
                <w:color w:val="auto"/>
              </w:rPr>
            </w:pPr>
            <w:r>
              <w:rPr>
                <w:rFonts w:ascii="Arial" w:cs="Arial" w:eastAsia="Arial" w:hAnsi="Arial"/>
                <w:sz w:val="17"/>
                <w:szCs w:val="17"/>
                <w:b w:val="1"/>
                <w:bCs w:val="1"/>
                <w:color w:val="auto"/>
                <w:w w:val="90"/>
              </w:rPr>
              <w:t>Less than</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ind w:left="20"/>
              <w:spacing w:after="0"/>
              <w:rPr>
                <w:sz w:val="20"/>
                <w:szCs w:val="20"/>
                <w:color w:val="auto"/>
              </w:rPr>
            </w:pPr>
            <w:r>
              <w:rPr>
                <w:rFonts w:ascii="Arial" w:cs="Arial" w:eastAsia="Arial" w:hAnsi="Arial"/>
                <w:sz w:val="17"/>
                <w:szCs w:val="17"/>
                <w:b w:val="1"/>
                <w:bCs w:val="1"/>
                <w:color w:val="auto"/>
              </w:rPr>
              <w:t>1-3</w:t>
            </w:r>
          </w:p>
        </w:tc>
        <w:tc>
          <w:tcPr>
            <w:tcW w:w="800" w:type="dxa"/>
            <w:vAlign w:val="bottom"/>
          </w:tcPr>
          <w:p>
            <w:pPr>
              <w:spacing w:after="0"/>
              <w:rPr>
                <w:sz w:val="19"/>
                <w:szCs w:val="19"/>
                <w:color w:val="auto"/>
              </w:rPr>
            </w:pPr>
          </w:p>
        </w:tc>
        <w:tc>
          <w:tcPr>
            <w:tcW w:w="1000" w:type="dxa"/>
            <w:vAlign w:val="bottom"/>
            <w:gridSpan w:val="3"/>
          </w:tcPr>
          <w:p>
            <w:pPr>
              <w:ind w:left="220"/>
              <w:spacing w:after="0"/>
              <w:rPr>
                <w:sz w:val="20"/>
                <w:szCs w:val="20"/>
                <w:color w:val="auto"/>
              </w:rPr>
            </w:pPr>
            <w:r>
              <w:rPr>
                <w:rFonts w:ascii="Arial" w:cs="Arial" w:eastAsia="Arial" w:hAnsi="Arial"/>
                <w:sz w:val="17"/>
                <w:szCs w:val="17"/>
                <w:b w:val="1"/>
                <w:bCs w:val="1"/>
                <w:color w:val="auto"/>
              </w:rPr>
              <w:t>4-5</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ind w:left="20"/>
              <w:spacing w:after="0"/>
              <w:rPr>
                <w:sz w:val="20"/>
                <w:szCs w:val="20"/>
                <w:color w:val="auto"/>
              </w:rPr>
            </w:pPr>
            <w:r>
              <w:rPr>
                <w:rFonts w:ascii="Arial" w:cs="Arial" w:eastAsia="Arial" w:hAnsi="Arial"/>
                <w:sz w:val="17"/>
                <w:szCs w:val="17"/>
                <w:b w:val="1"/>
                <w:bCs w:val="1"/>
                <w:color w:val="auto"/>
              </w:rPr>
              <w:t>After</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53"/>
        </w:trPr>
        <w:tc>
          <w:tcPr>
            <w:tcW w:w="4360" w:type="dxa"/>
            <w:vAlign w:val="bottom"/>
          </w:tcPr>
          <w:p>
            <w:pPr>
              <w:spacing w:after="0"/>
              <w:rPr>
                <w:sz w:val="21"/>
                <w:szCs w:val="21"/>
                <w:color w:val="auto"/>
              </w:rPr>
            </w:pPr>
          </w:p>
        </w:tc>
        <w:tc>
          <w:tcPr>
            <w:tcW w:w="760" w:type="dxa"/>
            <w:vAlign w:val="bottom"/>
          </w:tcPr>
          <w:p>
            <w:pPr>
              <w:ind w:left="20"/>
              <w:spacing w:after="0"/>
              <w:rPr>
                <w:sz w:val="20"/>
                <w:szCs w:val="20"/>
                <w:color w:val="auto"/>
              </w:rPr>
            </w:pPr>
            <w:r>
              <w:rPr>
                <w:rFonts w:ascii="Arial" w:cs="Arial" w:eastAsia="Arial" w:hAnsi="Arial"/>
                <w:sz w:val="17"/>
                <w:szCs w:val="17"/>
                <w:b w:val="1"/>
                <w:bCs w:val="1"/>
                <w:color w:val="auto"/>
              </w:rPr>
              <w:t>1 year</w:t>
            </w: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ind w:left="20"/>
              <w:spacing w:after="0"/>
              <w:rPr>
                <w:sz w:val="20"/>
                <w:szCs w:val="20"/>
                <w:color w:val="auto"/>
              </w:rPr>
            </w:pPr>
            <w:r>
              <w:rPr>
                <w:rFonts w:ascii="Arial" w:cs="Arial" w:eastAsia="Arial" w:hAnsi="Arial"/>
                <w:sz w:val="17"/>
                <w:szCs w:val="17"/>
                <w:b w:val="1"/>
                <w:bCs w:val="1"/>
                <w:color w:val="auto"/>
                <w:w w:val="80"/>
              </w:rPr>
              <w:t>years</w:t>
            </w: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ind w:left="20"/>
              <w:spacing w:after="0"/>
              <w:rPr>
                <w:sz w:val="20"/>
                <w:szCs w:val="20"/>
                <w:color w:val="auto"/>
              </w:rPr>
            </w:pPr>
            <w:r>
              <w:rPr>
                <w:rFonts w:ascii="Arial" w:cs="Arial" w:eastAsia="Arial" w:hAnsi="Arial"/>
                <w:sz w:val="17"/>
                <w:szCs w:val="17"/>
                <w:b w:val="1"/>
                <w:bCs w:val="1"/>
                <w:color w:val="auto"/>
              </w:rPr>
              <w:t>years</w:t>
            </w: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Arial" w:cs="Arial" w:eastAsia="Arial" w:hAnsi="Arial"/>
                <w:sz w:val="17"/>
                <w:szCs w:val="17"/>
                <w:b w:val="1"/>
                <w:bCs w:val="1"/>
                <w:color w:val="auto"/>
              </w:rPr>
              <w:t>5 years</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ind w:left="20"/>
              <w:spacing w:after="0"/>
              <w:rPr>
                <w:sz w:val="20"/>
                <w:szCs w:val="20"/>
                <w:color w:val="auto"/>
              </w:rPr>
            </w:pPr>
            <w:r>
              <w:rPr>
                <w:rFonts w:ascii="Arial" w:cs="Arial" w:eastAsia="Arial" w:hAnsi="Arial"/>
                <w:sz w:val="17"/>
                <w:szCs w:val="17"/>
                <w:b w:val="1"/>
                <w:bCs w:val="1"/>
                <w:color w:val="auto"/>
              </w:rPr>
              <w:t>Total</w:t>
            </w:r>
          </w:p>
        </w:tc>
        <w:tc>
          <w:tcPr>
            <w:tcW w:w="600" w:type="dxa"/>
            <w:vAlign w:val="bottom"/>
          </w:tcPr>
          <w:p>
            <w:pPr>
              <w:spacing w:after="0"/>
              <w:rPr>
                <w:sz w:val="21"/>
                <w:szCs w:val="21"/>
                <w:color w:val="auto"/>
              </w:rPr>
            </w:pPr>
          </w:p>
        </w:tc>
      </w:tr>
      <w:tr>
        <w:trPr>
          <w:trHeight w:val="26"/>
        </w:trPr>
        <w:tc>
          <w:tcPr>
            <w:tcW w:w="436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5"/>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20"/>
        </w:trPr>
        <w:tc>
          <w:tcPr>
            <w:tcW w:w="4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80" w:type="dxa"/>
            <w:vAlign w:val="bottom"/>
            <w:gridSpan w:val="5"/>
          </w:tcPr>
          <w:p>
            <w:pPr>
              <w:spacing w:after="0"/>
              <w:rPr>
                <w:sz w:val="20"/>
                <w:szCs w:val="20"/>
                <w:color w:val="auto"/>
              </w:rPr>
            </w:pPr>
            <w:r>
              <w:rPr>
                <w:rFonts w:ascii="Arial" w:cs="Arial" w:eastAsia="Arial" w:hAnsi="Arial"/>
                <w:sz w:val="17"/>
                <w:szCs w:val="17"/>
                <w:b w:val="1"/>
                <w:bCs w:val="1"/>
                <w:color w:val="auto"/>
              </w:rPr>
              <w:t>(dollars in millions)</w:t>
            </w: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6"/>
        </w:trPr>
        <w:tc>
          <w:tcPr>
            <w:tcW w:w="4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33"/>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Capital leases</w:t>
            </w:r>
          </w:p>
        </w:tc>
        <w:tc>
          <w:tcPr>
            <w:tcW w:w="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4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0.3</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100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6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0.5</w:t>
            </w:r>
          </w:p>
        </w:tc>
      </w:tr>
      <w:tr>
        <w:trPr>
          <w:trHeight w:val="227"/>
        </w:trPr>
        <w:tc>
          <w:tcPr>
            <w:tcW w:w="4360" w:type="dxa"/>
            <w:vAlign w:val="bottom"/>
          </w:tcPr>
          <w:p>
            <w:pPr>
              <w:ind w:left="20"/>
              <w:spacing w:after="0"/>
              <w:rPr>
                <w:sz w:val="20"/>
                <w:szCs w:val="20"/>
                <w:color w:val="auto"/>
              </w:rPr>
            </w:pPr>
            <w:r>
              <w:rPr>
                <w:rFonts w:ascii="Arial" w:cs="Arial" w:eastAsia="Arial" w:hAnsi="Arial"/>
                <w:sz w:val="17"/>
                <w:szCs w:val="17"/>
                <w:color w:val="auto"/>
              </w:rPr>
              <w:t>Operating leases</w:t>
            </w:r>
          </w:p>
        </w:tc>
        <w:tc>
          <w:tcPr>
            <w:tcW w:w="760" w:type="dxa"/>
            <w:vAlign w:val="bottom"/>
          </w:tcPr>
          <w:p>
            <w:pPr>
              <w:spacing w:after="0"/>
              <w:rPr>
                <w:sz w:val="19"/>
                <w:szCs w:val="19"/>
                <w:color w:val="auto"/>
              </w:rPr>
            </w:pPr>
          </w:p>
        </w:tc>
        <w:tc>
          <w:tcPr>
            <w:tcW w:w="460" w:type="dxa"/>
            <w:vAlign w:val="bottom"/>
          </w:tcPr>
          <w:p>
            <w:pPr>
              <w:jc w:val="right"/>
              <w:ind w:right="36"/>
              <w:spacing w:after="0"/>
              <w:rPr>
                <w:sz w:val="20"/>
                <w:szCs w:val="20"/>
                <w:color w:val="auto"/>
              </w:rPr>
            </w:pPr>
            <w:r>
              <w:rPr>
                <w:rFonts w:ascii="Arial" w:cs="Arial" w:eastAsia="Arial" w:hAnsi="Arial"/>
                <w:sz w:val="17"/>
                <w:szCs w:val="17"/>
                <w:color w:val="auto"/>
              </w:rPr>
              <w:t>9.9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15.1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jc w:val="right"/>
              <w:ind w:right="16"/>
              <w:spacing w:after="0"/>
              <w:rPr>
                <w:sz w:val="20"/>
                <w:szCs w:val="20"/>
                <w:color w:val="auto"/>
              </w:rPr>
            </w:pPr>
            <w:r>
              <w:rPr>
                <w:rFonts w:ascii="Arial" w:cs="Arial" w:eastAsia="Arial" w:hAnsi="Arial"/>
                <w:sz w:val="17"/>
                <w:szCs w:val="17"/>
                <w:color w:val="auto"/>
              </w:rPr>
              <w:t>6.5</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jc w:val="right"/>
              <w:ind w:right="16"/>
              <w:spacing w:after="0"/>
              <w:rPr>
                <w:sz w:val="20"/>
                <w:szCs w:val="20"/>
                <w:color w:val="auto"/>
              </w:rPr>
            </w:pPr>
            <w:r>
              <w:rPr>
                <w:rFonts w:ascii="Arial" w:cs="Arial" w:eastAsia="Arial" w:hAnsi="Arial"/>
                <w:sz w:val="17"/>
                <w:szCs w:val="17"/>
                <w:color w:val="auto"/>
              </w:rPr>
              <w:t>1.5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jc w:val="right"/>
              <w:ind w:right="16"/>
              <w:spacing w:after="0"/>
              <w:rPr>
                <w:sz w:val="20"/>
                <w:szCs w:val="20"/>
                <w:color w:val="auto"/>
              </w:rPr>
            </w:pPr>
            <w:r>
              <w:rPr>
                <w:rFonts w:ascii="Arial" w:cs="Arial" w:eastAsia="Arial" w:hAnsi="Arial"/>
                <w:sz w:val="17"/>
                <w:szCs w:val="17"/>
                <w:color w:val="auto"/>
              </w:rPr>
              <w:t>33.0</w:t>
            </w:r>
          </w:p>
        </w:tc>
      </w:tr>
      <w:tr>
        <w:trPr>
          <w:trHeight w:val="26"/>
        </w:trPr>
        <w:tc>
          <w:tcPr>
            <w:tcW w:w="4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33"/>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Purchase obligations</w:t>
            </w:r>
          </w:p>
        </w:tc>
        <w:tc>
          <w:tcPr>
            <w:tcW w:w="76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6.4</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6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5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6.4</w:t>
            </w:r>
          </w:p>
        </w:tc>
      </w:tr>
      <w:tr>
        <w:trPr>
          <w:trHeight w:val="253"/>
        </w:trPr>
        <w:tc>
          <w:tcPr>
            <w:tcW w:w="4360" w:type="dxa"/>
            <w:vAlign w:val="bottom"/>
          </w:tcPr>
          <w:p>
            <w:pPr>
              <w:ind w:left="20"/>
              <w:spacing w:after="0" w:line="253" w:lineRule="exact"/>
              <w:rPr>
                <w:sz w:val="20"/>
                <w:szCs w:val="20"/>
                <w:color w:val="auto"/>
              </w:rPr>
            </w:pPr>
            <w:r>
              <w:rPr>
                <w:rFonts w:ascii="Arial" w:cs="Arial" w:eastAsia="Arial" w:hAnsi="Arial"/>
                <w:sz w:val="17"/>
                <w:szCs w:val="17"/>
                <w:color w:val="auto"/>
              </w:rPr>
              <w:t>Other obligations</w:t>
            </w:r>
            <w:r>
              <w:rPr>
                <w:rFonts w:ascii="Arial" w:cs="Arial" w:eastAsia="Arial" w:hAnsi="Arial"/>
                <w:sz w:val="23"/>
                <w:szCs w:val="23"/>
                <w:color w:val="auto"/>
                <w:vertAlign w:val="superscript"/>
              </w:rPr>
              <w:t>(a)</w:t>
            </w:r>
          </w:p>
        </w:tc>
        <w:tc>
          <w:tcPr>
            <w:tcW w:w="760" w:type="dxa"/>
            <w:vAlign w:val="bottom"/>
          </w:tcPr>
          <w:p>
            <w:pPr>
              <w:spacing w:after="0"/>
              <w:rPr>
                <w:sz w:val="21"/>
                <w:szCs w:val="21"/>
                <w:color w:val="auto"/>
              </w:rPr>
            </w:pPr>
          </w:p>
        </w:tc>
        <w:tc>
          <w:tcPr>
            <w:tcW w:w="460" w:type="dxa"/>
            <w:vAlign w:val="bottom"/>
          </w:tcPr>
          <w:p>
            <w:pPr>
              <w:jc w:val="right"/>
              <w:ind w:right="36"/>
              <w:spacing w:after="0"/>
              <w:rPr>
                <w:sz w:val="20"/>
                <w:szCs w:val="20"/>
                <w:color w:val="auto"/>
              </w:rPr>
            </w:pPr>
            <w:r>
              <w:rPr>
                <w:rFonts w:ascii="Arial" w:cs="Arial" w:eastAsia="Arial" w:hAnsi="Arial"/>
                <w:sz w:val="17"/>
                <w:szCs w:val="17"/>
                <w:color w:val="auto"/>
              </w:rPr>
              <w:t>2.1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80" w:type="dxa"/>
            <w:vAlign w:val="bottom"/>
          </w:tcPr>
          <w:p>
            <w:pPr>
              <w:jc w:val="right"/>
              <w:ind w:right="16"/>
              <w:spacing w:after="0"/>
              <w:rPr>
                <w:sz w:val="20"/>
                <w:szCs w:val="20"/>
                <w:color w:val="auto"/>
              </w:rPr>
            </w:pPr>
            <w:r>
              <w:rPr>
                <w:rFonts w:ascii="Arial" w:cs="Arial" w:eastAsia="Arial" w:hAnsi="Arial"/>
                <w:sz w:val="17"/>
                <w:szCs w:val="17"/>
                <w:color w:val="auto"/>
              </w:rPr>
              <w:t>1.7</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40" w:type="dxa"/>
            <w:vAlign w:val="bottom"/>
          </w:tcPr>
          <w:p>
            <w:pPr>
              <w:jc w:val="right"/>
              <w:ind w:right="16"/>
              <w:spacing w:after="0"/>
              <w:rPr>
                <w:sz w:val="20"/>
                <w:szCs w:val="20"/>
                <w:color w:val="auto"/>
              </w:rPr>
            </w:pPr>
            <w:r>
              <w:rPr>
                <w:rFonts w:ascii="Arial" w:cs="Arial" w:eastAsia="Arial" w:hAnsi="Arial"/>
                <w:sz w:val="17"/>
                <w:szCs w:val="17"/>
                <w:color w:val="auto"/>
              </w:rPr>
              <w:t>2.0</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0" w:type="dxa"/>
            <w:vAlign w:val="bottom"/>
          </w:tcPr>
          <w:p>
            <w:pPr>
              <w:jc w:val="right"/>
              <w:ind w:right="16"/>
              <w:spacing w:after="0"/>
              <w:rPr>
                <w:sz w:val="20"/>
                <w:szCs w:val="20"/>
                <w:color w:val="auto"/>
              </w:rPr>
            </w:pPr>
            <w:r>
              <w:rPr>
                <w:rFonts w:ascii="Arial" w:cs="Arial" w:eastAsia="Arial" w:hAnsi="Arial"/>
                <w:sz w:val="17"/>
                <w:szCs w:val="17"/>
                <w:color w:val="auto"/>
              </w:rPr>
              <w:t>8.7</w:t>
            </w:r>
          </w:p>
        </w:tc>
      </w:tr>
      <w:tr>
        <w:trPr>
          <w:trHeight w:val="233"/>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Fair value of earn-out consideration</w:t>
            </w:r>
          </w:p>
        </w:tc>
        <w:tc>
          <w:tcPr>
            <w:tcW w:w="76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0.5</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6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5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0.5</w:t>
            </w:r>
          </w:p>
        </w:tc>
      </w:tr>
      <w:tr>
        <w:trPr>
          <w:trHeight w:val="227"/>
        </w:trPr>
        <w:tc>
          <w:tcPr>
            <w:tcW w:w="4360" w:type="dxa"/>
            <w:vAlign w:val="bottom"/>
          </w:tcPr>
          <w:p>
            <w:pPr>
              <w:ind w:left="20"/>
              <w:spacing w:after="0"/>
              <w:rPr>
                <w:sz w:val="20"/>
                <w:szCs w:val="20"/>
                <w:color w:val="auto"/>
              </w:rPr>
            </w:pPr>
            <w:r>
              <w:rPr>
                <w:rFonts w:ascii="Arial" w:cs="Arial" w:eastAsia="Arial" w:hAnsi="Arial"/>
                <w:sz w:val="17"/>
                <w:szCs w:val="17"/>
                <w:color w:val="auto"/>
              </w:rPr>
              <w:t>Borrowings</w:t>
            </w: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6"/>
        </w:trPr>
        <w:tc>
          <w:tcPr>
            <w:tcW w:w="4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33"/>
        </w:trPr>
        <w:tc>
          <w:tcPr>
            <w:tcW w:w="43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Principal payments</w:t>
            </w:r>
          </w:p>
        </w:tc>
        <w:tc>
          <w:tcPr>
            <w:tcW w:w="76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5.0</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40.0</w:t>
            </w: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5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45.0</w:t>
            </w:r>
          </w:p>
        </w:tc>
      </w:tr>
      <w:tr>
        <w:trPr>
          <w:trHeight w:val="253"/>
        </w:trPr>
        <w:tc>
          <w:tcPr>
            <w:tcW w:w="4360" w:type="dxa"/>
            <w:vAlign w:val="bottom"/>
            <w:tcBorders>
              <w:bottom w:val="single" w:sz="8" w:color="CCEEFF"/>
            </w:tcBorders>
          </w:tcPr>
          <w:p>
            <w:pPr>
              <w:ind w:left="340"/>
              <w:spacing w:after="0" w:line="253" w:lineRule="exact"/>
              <w:rPr>
                <w:sz w:val="20"/>
                <w:szCs w:val="20"/>
                <w:color w:val="auto"/>
              </w:rPr>
            </w:pPr>
            <w:r>
              <w:rPr>
                <w:rFonts w:ascii="Arial" w:cs="Arial" w:eastAsia="Arial" w:hAnsi="Arial"/>
                <w:sz w:val="17"/>
                <w:szCs w:val="17"/>
                <w:color w:val="auto"/>
              </w:rPr>
              <w:t>Interest Payments</w:t>
            </w:r>
            <w:r>
              <w:rPr>
                <w:rFonts w:ascii="Arial" w:cs="Arial" w:eastAsia="Arial" w:hAnsi="Arial"/>
                <w:sz w:val="23"/>
                <w:szCs w:val="23"/>
                <w:color w:val="auto"/>
                <w:vertAlign w:val="superscript"/>
              </w:rPr>
              <w:t>(b)</w:t>
            </w:r>
          </w:p>
        </w:tc>
        <w:tc>
          <w:tcPr>
            <w:tcW w:w="76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1.0</w:t>
            </w:r>
          </w:p>
        </w:tc>
        <w:tc>
          <w:tcPr>
            <w:tcW w:w="12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w:t>
            </w: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0.1</w:t>
            </w:r>
          </w:p>
        </w:tc>
        <w:tc>
          <w:tcPr>
            <w:tcW w:w="100" w:type="dxa"/>
            <w:vAlign w:val="bottom"/>
            <w:tcBorders>
              <w:bottom w:val="single" w:sz="8" w:color="CCEEFF"/>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3.0</w:t>
            </w:r>
          </w:p>
        </w:tc>
      </w:tr>
      <w:tr>
        <w:trPr>
          <w:trHeight w:val="245"/>
        </w:trPr>
        <w:tc>
          <w:tcPr>
            <w:tcW w:w="4360" w:type="dxa"/>
            <w:vAlign w:val="bottom"/>
            <w:shd w:val="clear" w:color="auto" w:fill="CCEEFF"/>
          </w:tcPr>
          <w:p>
            <w:pPr>
              <w:ind w:left="20"/>
              <w:spacing w:after="0" w:line="245" w:lineRule="exact"/>
              <w:rPr>
                <w:sz w:val="20"/>
                <w:szCs w:val="20"/>
                <w:color w:val="auto"/>
              </w:rPr>
            </w:pPr>
            <w:r>
              <w:rPr>
                <w:rFonts w:ascii="Arial" w:cs="Arial" w:eastAsia="Arial" w:hAnsi="Arial"/>
                <w:sz w:val="17"/>
                <w:szCs w:val="17"/>
                <w:color w:val="auto"/>
              </w:rPr>
              <w:t>Total contractual cash obligations</w:t>
            </w:r>
            <w:r>
              <w:rPr>
                <w:rFonts w:ascii="Arial" w:cs="Arial" w:eastAsia="Arial" w:hAnsi="Arial"/>
                <w:sz w:val="23"/>
                <w:szCs w:val="23"/>
                <w:color w:val="auto"/>
                <w:vertAlign w:val="superscript"/>
              </w:rPr>
              <w:t>(c)</w:t>
            </w:r>
          </w:p>
        </w:tc>
        <w:tc>
          <w:tcPr>
            <w:tcW w:w="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w w:val="96"/>
              </w:rPr>
              <w:t>25.2</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w:t>
            </w:r>
          </w:p>
        </w:tc>
        <w:tc>
          <w:tcPr>
            <w:tcW w:w="1000" w:type="dxa"/>
            <w:vAlign w:val="bottom"/>
            <w:gridSpan w:val="3"/>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48.3</w:t>
            </w: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3.5</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97.1</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152400</wp:posOffset>
            </wp:positionV>
            <wp:extent cx="5137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3715" cy="8255"/>
                    </a:xfrm>
                    <a:prstGeom prst="rect">
                      <a:avLst/>
                    </a:prstGeom>
                    <a:noFill/>
                  </pic:spPr>
                </pic:pic>
              </a:graphicData>
            </a:graphic>
          </wp:anchor>
        </w:drawing>
      </w:r>
    </w:p>
    <w:p>
      <w:pPr>
        <w:spacing w:after="0" w:line="225" w:lineRule="exact"/>
        <w:rPr>
          <w:sz w:val="20"/>
          <w:szCs w:val="20"/>
          <w:color w:val="auto"/>
        </w:rPr>
      </w:pPr>
    </w:p>
    <w:p>
      <w:pPr>
        <w:ind w:left="500" w:hanging="499"/>
        <w:spacing w:after="0"/>
        <w:tabs>
          <w:tab w:leader="none" w:pos="500" w:val="left"/>
        </w:tabs>
        <w:numPr>
          <w:ilvl w:val="0"/>
          <w:numId w:val="13"/>
        </w:numPr>
        <w:rPr>
          <w:rFonts w:ascii="Arial" w:cs="Arial" w:eastAsia="Arial" w:hAnsi="Arial"/>
          <w:sz w:val="15"/>
          <w:szCs w:val="15"/>
          <w:i w:val="1"/>
          <w:iCs w:val="1"/>
          <w:color w:val="auto"/>
        </w:rPr>
      </w:pPr>
      <w:r>
        <w:rPr>
          <w:rFonts w:ascii="Arial" w:cs="Arial" w:eastAsia="Arial" w:hAnsi="Arial"/>
          <w:sz w:val="15"/>
          <w:szCs w:val="15"/>
          <w:i w:val="1"/>
          <w:iCs w:val="1"/>
          <w:color w:val="auto"/>
        </w:rPr>
        <w:t>Represents estimated payments under the Gratuity Plan.</w:t>
      </w:r>
    </w:p>
    <w:p>
      <w:pPr>
        <w:spacing w:after="0" w:line="16" w:lineRule="exact"/>
        <w:rPr>
          <w:rFonts w:ascii="Arial" w:cs="Arial" w:eastAsia="Arial" w:hAnsi="Arial"/>
          <w:sz w:val="15"/>
          <w:szCs w:val="15"/>
          <w:i w:val="1"/>
          <w:iCs w:val="1"/>
          <w:color w:val="auto"/>
        </w:rPr>
      </w:pPr>
    </w:p>
    <w:p>
      <w:pPr>
        <w:ind w:left="500" w:hanging="499"/>
        <w:spacing w:after="0"/>
        <w:tabs>
          <w:tab w:leader="none" w:pos="500" w:val="left"/>
        </w:tabs>
        <w:numPr>
          <w:ilvl w:val="0"/>
          <w:numId w:val="13"/>
        </w:numPr>
        <w:rPr>
          <w:rFonts w:ascii="Arial" w:cs="Arial" w:eastAsia="Arial" w:hAnsi="Arial"/>
          <w:sz w:val="15"/>
          <w:szCs w:val="15"/>
          <w:i w:val="1"/>
          <w:iCs w:val="1"/>
          <w:color w:val="auto"/>
        </w:rPr>
      </w:pPr>
      <w:r>
        <w:rPr>
          <w:rFonts w:ascii="Arial" w:cs="Arial" w:eastAsia="Arial" w:hAnsi="Arial"/>
          <w:sz w:val="15"/>
          <w:szCs w:val="15"/>
          <w:i w:val="1"/>
          <w:iCs w:val="1"/>
          <w:color w:val="auto"/>
        </w:rPr>
        <w:t>Interest on borrowings is calculated based on the interest rate on the outstanding borrowings as of September 30, 2016.</w:t>
      </w:r>
    </w:p>
    <w:p>
      <w:pPr>
        <w:spacing w:after="0" w:line="4" w:lineRule="exact"/>
        <w:rPr>
          <w:rFonts w:ascii="Arial" w:cs="Arial" w:eastAsia="Arial" w:hAnsi="Arial"/>
          <w:sz w:val="15"/>
          <w:szCs w:val="15"/>
          <w:i w:val="1"/>
          <w:iCs w:val="1"/>
          <w:color w:val="auto"/>
        </w:rPr>
      </w:pPr>
    </w:p>
    <w:p>
      <w:pPr>
        <w:ind w:left="500" w:hanging="499"/>
        <w:spacing w:after="0"/>
        <w:tabs>
          <w:tab w:leader="none" w:pos="500" w:val="left"/>
        </w:tabs>
        <w:numPr>
          <w:ilvl w:val="0"/>
          <w:numId w:val="13"/>
        </w:numPr>
        <w:rPr>
          <w:rFonts w:ascii="Arial" w:cs="Arial" w:eastAsia="Arial" w:hAnsi="Arial"/>
          <w:sz w:val="15"/>
          <w:szCs w:val="15"/>
          <w:i w:val="1"/>
          <w:iCs w:val="1"/>
          <w:color w:val="auto"/>
        </w:rPr>
      </w:pPr>
      <w:r>
        <w:rPr>
          <w:rFonts w:ascii="Arial" w:cs="Arial" w:eastAsia="Arial" w:hAnsi="Arial"/>
          <w:sz w:val="15"/>
          <w:szCs w:val="15"/>
          <w:i w:val="1"/>
          <w:iCs w:val="1"/>
          <w:color w:val="auto"/>
        </w:rPr>
        <w:t>Excludes $2.8 million related to uncertain tax positions, since the extent of the amount and timing of payment is currently not reliably estimable or determinable.</w:t>
      </w:r>
    </w:p>
    <w:p>
      <w:pPr>
        <w:spacing w:after="0" w:line="190" w:lineRule="exact"/>
        <w:rPr>
          <w:sz w:val="20"/>
          <w:szCs w:val="20"/>
          <w:color w:val="auto"/>
        </w:rPr>
      </w:pPr>
    </w:p>
    <w:p>
      <w:pPr>
        <w:jc w:val="both"/>
        <w:ind w:firstLine="366"/>
        <w:spacing w:after="0" w:line="300" w:lineRule="auto"/>
        <w:rPr>
          <w:sz w:val="20"/>
          <w:szCs w:val="20"/>
          <w:color w:val="auto"/>
        </w:rPr>
      </w:pPr>
      <w:r>
        <w:rPr>
          <w:rFonts w:ascii="Arial" w:cs="Arial" w:eastAsia="Arial" w:hAnsi="Arial"/>
          <w:sz w:val="15"/>
          <w:szCs w:val="15"/>
          <w:color w:val="auto"/>
        </w:rPr>
        <w:t>Certain units of our Indian subsidiaries were established as 100% Export-Oriented units under the “STPI” scheme promulgated by the Government of India. These units are exempt from customs, central excise duties, and levies on imported and indigenous capital goods, stores, and spares. We have undertaken to pay custom duties, service taxes, levies, and liquidated damages payable, if any, in respect of imported and indigenous capital goods, stores, and spares consumed duty free, in the event that certain terms and conditions are not fulfilled. We believe, however, that these units have in the past satisfied and will continue to satisfy the required conditions.</w:t>
      </w:r>
    </w:p>
    <w:p>
      <w:pPr>
        <w:spacing w:after="0" w:line="149" w:lineRule="exact"/>
        <w:rPr>
          <w:sz w:val="20"/>
          <w:szCs w:val="20"/>
          <w:color w:val="auto"/>
        </w:rPr>
      </w:pPr>
    </w:p>
    <w:p>
      <w:pPr>
        <w:jc w:val="both"/>
        <w:ind w:firstLine="366"/>
        <w:spacing w:after="0" w:line="259" w:lineRule="auto"/>
        <w:rPr>
          <w:sz w:val="20"/>
          <w:szCs w:val="20"/>
          <w:color w:val="auto"/>
        </w:rPr>
      </w:pPr>
      <w:r>
        <w:rPr>
          <w:rFonts w:ascii="Arial" w:cs="Arial" w:eastAsia="Arial" w:hAnsi="Arial"/>
          <w:sz w:val="17"/>
          <w:szCs w:val="17"/>
          <w:color w:val="auto"/>
        </w:rPr>
        <w:t>Our operations centers in the Philippines are registered with the “PEZA.” The registration provides us with certain fiscal incentives on the import of capital goods and requires that ExlService Philippines, Inc. meet certain performance and investment criteria. We believe that these centers have in the past satisfied and will continue to satisfy the required criteria.</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112" w:lineRule="exact"/>
        <w:rPr>
          <w:sz w:val="20"/>
          <w:szCs w:val="20"/>
          <w:color w:val="auto"/>
        </w:rPr>
      </w:pPr>
    </w:p>
    <w:p>
      <w:pPr>
        <w:ind w:right="300" w:firstLine="404"/>
        <w:spacing w:after="0" w:line="271" w:lineRule="auto"/>
        <w:rPr>
          <w:sz w:val="20"/>
          <w:szCs w:val="20"/>
          <w:color w:val="auto"/>
        </w:rPr>
      </w:pPr>
      <w:r>
        <w:rPr>
          <w:rFonts w:ascii="Arial" w:cs="Arial" w:eastAsia="Arial" w:hAnsi="Arial"/>
          <w:sz w:val="17"/>
          <w:szCs w:val="17"/>
          <w:color w:val="auto"/>
        </w:rPr>
        <w:t>For a description of recent accounting pronouncements, see Note 2—“Recent Accounting Pronouncements” to our unaudited consolidated financial statements contained herein.</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ectPr>
          <w:pgSz w:w="11900" w:h="16838" w:orient="portrait"/>
          <w:cols w:equalWidth="0" w:num="1">
            <w:col w:w="11420"/>
          </w:cols>
          <w:pgMar w:left="240" w:top="325" w:right="239" w:bottom="1440" w:gutter="0" w:footer="0" w:header="0"/>
        </w:sectPr>
      </w:pPr>
    </w:p>
    <w:bookmarkStart w:id="38" w:name="page39"/>
    <w:bookmarkEnd w:id="38"/>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234"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 xml:space="preserve">ITEM </w:t>
      </w:r>
      <w:r>
        <w:rPr>
          <w:rFonts w:ascii="Arial" w:cs="Arial" w:eastAsia="Arial" w:hAnsi="Arial"/>
          <w:sz w:val="17"/>
          <w:szCs w:val="17"/>
          <w:color w:val="auto"/>
        </w:rPr>
        <w:t>3.</w:t>
      </w:r>
      <w:r>
        <w:rPr>
          <w:sz w:val="20"/>
          <w:szCs w:val="20"/>
          <w:color w:val="auto"/>
        </w:rPr>
        <w:tab/>
      </w:r>
      <w:r>
        <w:rPr>
          <w:rFonts w:ascii="Arial" w:cs="Arial" w:eastAsia="Arial" w:hAnsi="Arial"/>
          <w:sz w:val="15"/>
          <w:szCs w:val="15"/>
          <w:b w:val="1"/>
          <w:bCs w:val="1"/>
          <w:color w:val="auto"/>
        </w:rPr>
        <w:t>Quantitative and Qualitative Disclosures About Market Risk</w:t>
      </w:r>
    </w:p>
    <w:p>
      <w:pPr>
        <w:spacing w:after="0" w:line="112" w:lineRule="exact"/>
        <w:rPr>
          <w:sz w:val="20"/>
          <w:szCs w:val="20"/>
          <w:color w:val="auto"/>
        </w:rPr>
      </w:pPr>
    </w:p>
    <w:p>
      <w:pPr>
        <w:jc w:val="both"/>
        <w:ind w:firstLine="404"/>
        <w:spacing w:after="0" w:line="259" w:lineRule="auto"/>
        <w:rPr>
          <w:sz w:val="20"/>
          <w:szCs w:val="20"/>
          <w:color w:val="auto"/>
        </w:rPr>
      </w:pPr>
      <w:r>
        <w:rPr>
          <w:rFonts w:ascii="Arial" w:cs="Arial" w:eastAsia="Arial" w:hAnsi="Arial"/>
          <w:sz w:val="17"/>
          <w:szCs w:val="17"/>
          <w:color w:val="auto"/>
        </w:rPr>
        <w:t>During the nine months ended September 30, 2016, there were no material changes in our market risk exposure other than as disclosed herein. For more detailed discussion of our market risk associated with exchange rate risk and interest rate risk, see Item 7A “Quantitative and Qualitative Disclosures about Market Risk” in our Annual Report on Form 10-K for the year ended December 31, 2015.</w:t>
      </w:r>
    </w:p>
    <w:p>
      <w:pPr>
        <w:spacing w:after="0" w:line="75" w:lineRule="exact"/>
        <w:rPr>
          <w:sz w:val="20"/>
          <w:szCs w:val="20"/>
          <w:color w:val="auto"/>
        </w:rPr>
      </w:pPr>
    </w:p>
    <w:p>
      <w:pPr>
        <w:jc w:val="both"/>
        <w:ind w:firstLine="404"/>
        <w:spacing w:after="0" w:line="300" w:lineRule="auto"/>
        <w:rPr>
          <w:sz w:val="20"/>
          <w:szCs w:val="20"/>
          <w:color w:val="auto"/>
        </w:rPr>
      </w:pPr>
      <w:r>
        <w:rPr>
          <w:rFonts w:ascii="Arial" w:cs="Arial" w:eastAsia="Arial" w:hAnsi="Arial"/>
          <w:sz w:val="15"/>
          <w:szCs w:val="15"/>
          <w:b w:val="1"/>
          <w:bCs w:val="1"/>
          <w:i w:val="1"/>
          <w:iCs w:val="1"/>
          <w:color w:val="auto"/>
        </w:rPr>
        <w:t xml:space="preserve">Foreign Currency Risk. </w:t>
      </w:r>
      <w:r>
        <w:rPr>
          <w:rFonts w:ascii="Arial" w:cs="Arial" w:eastAsia="Arial" w:hAnsi="Arial"/>
          <w:sz w:val="15"/>
          <w:szCs w:val="15"/>
          <w:color w:val="auto"/>
        </w:rPr>
        <w:t>During June 2016, the U.K. held a referendum in which British citizens approved an exit from the European Union ("EU"), commonly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referred to as “Brexit.” As a result of the referendum, the global markets and currencies have been adversely impacted, including as a result of a decline in the value of the U.K. pound sterling as compared to the U.S. dollar. Volatility in exchange rates is expected to continue in the short term as the U.K. negotiates its exit from the EU. Although it is unknown what the result of those negotiations will be, it is possible that new terms may adversely affect our financial results, operations and cash flows.</w:t>
      </w:r>
    </w:p>
    <w:p>
      <w:pPr>
        <w:spacing w:after="0" w:line="48" w:lineRule="exact"/>
        <w:rPr>
          <w:sz w:val="20"/>
          <w:szCs w:val="20"/>
          <w:color w:val="auto"/>
        </w:rPr>
      </w:pPr>
    </w:p>
    <w:p>
      <w:pPr>
        <w:jc w:val="both"/>
        <w:ind w:firstLine="404"/>
        <w:spacing w:after="0" w:line="252" w:lineRule="auto"/>
        <w:rPr>
          <w:sz w:val="20"/>
          <w:szCs w:val="20"/>
          <w:color w:val="auto"/>
        </w:rPr>
      </w:pPr>
      <w:r>
        <w:rPr>
          <w:rFonts w:ascii="Arial" w:cs="Arial" w:eastAsia="Arial" w:hAnsi="Arial"/>
          <w:sz w:val="17"/>
          <w:szCs w:val="17"/>
          <w:color w:val="auto"/>
        </w:rPr>
        <w:t>Our exchange rate risk primarily arises from our foreign currency revenues, expenses incurred by our foreign subsidiaries and foreign currency accounts receivables and payable. We serve clients in the U.K. with this region generating approximately 16.6% and 17.6% of our total revenues for the nine months ended September 30, 2016 and 2015, respectively. We also incurred expenses in the U.K. pound sterling in certain foreign subsidiaries during the nine months ended September 30, 2016, which will have a positive impact due to the depreciation of GBP against the USD. A significant portion of our revenues from customer contracts denominated in the U.K. pound sterling includes protection against foreign exchange rate fluctuations which minimizes the impact of the volatility in the exchange rates on our operating results.</w:t>
      </w:r>
    </w:p>
    <w:p>
      <w:pPr>
        <w:spacing w:after="0" w:line="180"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Evaluation of Disclosure Controls and Procedures</w:t>
      </w:r>
    </w:p>
    <w:p>
      <w:pPr>
        <w:spacing w:after="0" w:line="108" w:lineRule="exact"/>
        <w:rPr>
          <w:sz w:val="20"/>
          <w:szCs w:val="20"/>
          <w:color w:val="auto"/>
        </w:rPr>
      </w:pPr>
    </w:p>
    <w:p>
      <w:pPr>
        <w:jc w:val="both"/>
        <w:ind w:firstLine="404"/>
        <w:spacing w:after="0" w:line="252"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in the reports we file under the Securities Exchange Act of 1934, as amended (the “Exchange Act,”) is recorded, processed, summarized and reported within the time periods specified in the U.S. Securities and Exchange Commission’s rules and forms, and that such information is accumulated and communicated to our management, including our Chief Executive Officer (“CEO”) and Chief Financial Officer (“CFO”), to allow timely decisions regarding required financial disclosure. In connection with the preparation of this Quarterly Report on Form 10-Q, our management carried out an evaluation, under the supervision and with the participation of the CEO and CFO, of the effectiveness and operation of our disclosure controls and procedures as of September 30, 2016. Based upon that evaluation, the CEO and CFO have concluded that, as of September 30, 2016, our disclosure controls and procedures were effective.</w:t>
      </w: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Internal Control over Financial Reporting</w:t>
      </w:r>
    </w:p>
    <w:p>
      <w:pPr>
        <w:spacing w:after="0" w:line="108" w:lineRule="exact"/>
        <w:rPr>
          <w:sz w:val="20"/>
          <w:szCs w:val="20"/>
          <w:color w:val="auto"/>
        </w:rPr>
      </w:pPr>
    </w:p>
    <w:p>
      <w:pPr>
        <w:jc w:val="both"/>
        <w:ind w:firstLine="404"/>
        <w:spacing w:after="0" w:line="303" w:lineRule="auto"/>
        <w:rPr>
          <w:sz w:val="20"/>
          <w:szCs w:val="20"/>
          <w:color w:val="auto"/>
        </w:rPr>
      </w:pPr>
      <w:r>
        <w:rPr>
          <w:rFonts w:ascii="Arial" w:cs="Arial" w:eastAsia="Arial" w:hAnsi="Arial"/>
          <w:sz w:val="16"/>
          <w:szCs w:val="16"/>
          <w:color w:val="auto"/>
        </w:rPr>
        <w:t>During the three months ended September 30, 2016, there was no change in our internal control over financial reporting (as defined in Rules 13a-15(f) and 15d-15(f) under the Exchange Act) that has materially affected, or is reasonably likely to materially affect, our internal control over financial reporting.</w:t>
      </w:r>
    </w:p>
    <w:p>
      <w:pPr>
        <w:spacing w:after="0" w:line="41" w:lineRule="exact"/>
        <w:rPr>
          <w:sz w:val="20"/>
          <w:szCs w:val="20"/>
          <w:color w:val="auto"/>
        </w:rPr>
      </w:pPr>
    </w:p>
    <w:p>
      <w:pPr>
        <w:jc w:val="both"/>
        <w:ind w:firstLine="404"/>
        <w:spacing w:after="0" w:line="259" w:lineRule="auto"/>
        <w:rPr>
          <w:sz w:val="20"/>
          <w:szCs w:val="20"/>
          <w:color w:val="auto"/>
        </w:rPr>
      </w:pPr>
      <w:r>
        <w:rPr>
          <w:rFonts w:ascii="Arial" w:cs="Arial" w:eastAsia="Arial" w:hAnsi="Arial"/>
          <w:sz w:val="17"/>
          <w:szCs w:val="17"/>
          <w:color w:val="auto"/>
        </w:rPr>
        <w:t>In making its assessment of the changes in internal control over financial reporting during the three months ended September 30, 2015, our management excluded an evaluation of the disclosure controls and procedures of Liss and IQR which we acquired on July 1, 2016 and September 1, 2016, respectively. See Note 5 to the unaudited consolidated financial statements contained herein for details of our acquisitions.</w:t>
      </w:r>
    </w:p>
    <w:p>
      <w:pPr>
        <w:spacing w:after="0" w:line="200" w:lineRule="exact"/>
        <w:rPr>
          <w:sz w:val="20"/>
          <w:szCs w:val="20"/>
          <w:color w:val="auto"/>
        </w:rPr>
      </w:pPr>
    </w:p>
    <w:p>
      <w:pPr>
        <w:spacing w:after="0" w:line="275" w:lineRule="exact"/>
        <w:rPr>
          <w:sz w:val="20"/>
          <w:szCs w:val="20"/>
          <w:color w:val="auto"/>
        </w:rPr>
      </w:pPr>
    </w:p>
    <w:p>
      <w:pPr>
        <w:spacing w:after="0"/>
        <w:tabs>
          <w:tab w:leader="none" w:pos="840" w:val="left"/>
        </w:tabs>
        <w:rPr>
          <w:sz w:val="20"/>
          <w:szCs w:val="20"/>
          <w:color w:val="auto"/>
        </w:rPr>
      </w:pPr>
      <w:r>
        <w:rPr>
          <w:rFonts w:ascii="Arial" w:cs="Arial" w:eastAsia="Arial" w:hAnsi="Arial"/>
          <w:sz w:val="17"/>
          <w:szCs w:val="17"/>
          <w:b w:val="1"/>
          <w:bCs w:val="1"/>
          <w:color w:val="auto"/>
        </w:rPr>
        <w:t>PART II.</w:t>
      </w:r>
      <w:r>
        <w:rPr>
          <w:sz w:val="20"/>
          <w:szCs w:val="20"/>
          <w:color w:val="auto"/>
        </w:rPr>
        <w:tab/>
      </w:r>
      <w:r>
        <w:rPr>
          <w:rFonts w:ascii="Arial" w:cs="Arial" w:eastAsia="Arial" w:hAnsi="Arial"/>
          <w:sz w:val="16"/>
          <w:szCs w:val="16"/>
          <w:b w:val="1"/>
          <w:bCs w:val="1"/>
          <w:color w:val="auto"/>
        </w:rPr>
        <w:t>Other Information</w:t>
      </w:r>
    </w:p>
    <w:p>
      <w:pPr>
        <w:spacing w:after="0" w:line="323"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ITEM 1.</w:t>
      </w:r>
      <w:r>
        <w:rPr>
          <w:sz w:val="20"/>
          <w:szCs w:val="20"/>
          <w:color w:val="auto"/>
        </w:rPr>
        <w:tab/>
      </w:r>
      <w:r>
        <w:rPr>
          <w:rFonts w:ascii="Arial" w:cs="Arial" w:eastAsia="Arial" w:hAnsi="Arial"/>
          <w:sz w:val="14"/>
          <w:szCs w:val="14"/>
          <w:b w:val="1"/>
          <w:bCs w:val="1"/>
          <w:color w:val="auto"/>
        </w:rPr>
        <w:t>Legal Proceedings</w:t>
      </w:r>
    </w:p>
    <w:p>
      <w:pPr>
        <w:spacing w:after="0" w:line="112" w:lineRule="exact"/>
        <w:rPr>
          <w:sz w:val="20"/>
          <w:szCs w:val="20"/>
          <w:color w:val="auto"/>
        </w:rPr>
      </w:pPr>
    </w:p>
    <w:p>
      <w:pPr>
        <w:jc w:val="both"/>
        <w:ind w:firstLine="404"/>
        <w:spacing w:after="0" w:line="283" w:lineRule="auto"/>
        <w:rPr>
          <w:sz w:val="20"/>
          <w:szCs w:val="20"/>
          <w:color w:val="auto"/>
        </w:rPr>
      </w:pPr>
      <w:r>
        <w:rPr>
          <w:rFonts w:ascii="Arial" w:cs="Arial" w:eastAsia="Arial" w:hAnsi="Arial"/>
          <w:sz w:val="16"/>
          <w:szCs w:val="16"/>
          <w:color w:val="auto"/>
        </w:rPr>
        <w:t>In the course of our normal business activities, various lawsuits, claims and proceedings may be instituted or asserted against us. We believe that the disposition of matters currently instituted or asserted will not have a material adverse effect on our consolidated financial position, results of operations or cash flows. Please see Note 16 to the unaudited consolidated financial statements contained herein for details regarding our tax proceedings.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ectPr>
          <w:pgSz w:w="11900" w:h="16838" w:orient="portrait"/>
          <w:cols w:equalWidth="0" w:num="1">
            <w:col w:w="11420"/>
          </w:cols>
          <w:pgMar w:left="240" w:top="325" w:right="239" w:bottom="1440" w:gutter="0" w:footer="0" w:header="0"/>
        </w:sectPr>
      </w:pPr>
    </w:p>
    <w:bookmarkStart w:id="39" w:name="page40"/>
    <w:bookmarkEnd w:id="39"/>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234"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12" w:lineRule="exact"/>
        <w:rPr>
          <w:sz w:val="20"/>
          <w:szCs w:val="20"/>
          <w:color w:val="auto"/>
        </w:rPr>
      </w:pPr>
    </w:p>
    <w:p>
      <w:pPr>
        <w:jc w:val="both"/>
        <w:ind w:firstLine="404"/>
        <w:spacing w:after="0" w:line="251" w:lineRule="auto"/>
        <w:rPr>
          <w:sz w:val="20"/>
          <w:szCs w:val="20"/>
          <w:color w:val="auto"/>
        </w:rPr>
      </w:pPr>
      <w:r>
        <w:rPr>
          <w:rFonts w:ascii="Arial" w:cs="Arial" w:eastAsia="Arial" w:hAnsi="Arial"/>
          <w:sz w:val="17"/>
          <w:szCs w:val="17"/>
          <w:color w:val="auto"/>
        </w:rPr>
        <w:t>We have disclosed under the heading “Risk Factors” in our Annual Report on Form 10-K for the year ended December 31, 2015 a number of risks which may materially affect our business, financial condition or results of operations. You should carefully consider the “Risk Factors” set forth in our Annual Report on Form 10-K for the year ended December 31, 2015 and the other information set forth elsewhere in this Quarterly Report on Form 10-Q. You should be aware that these risk factors and other information may not describe every risk facing our Company. Additional risks and uncertainties not currently known to us may also materially adversely affect our business, financial condition and/or results of operations.</w:t>
      </w:r>
    </w:p>
    <w:p>
      <w:pPr>
        <w:spacing w:after="0" w:line="1"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4"/>
          <w:szCs w:val="14"/>
          <w:b w:val="1"/>
          <w:bCs w:val="1"/>
          <w:color w:val="auto"/>
        </w:rPr>
        <w:t>Unregistered Sales of Equity Securities and Use of Proceeds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Unregistered Sales of Equity Securities</w:t>
      </w:r>
    </w:p>
    <w:p>
      <w:pPr>
        <w:spacing w:after="0" w:line="209"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For information on the sale of unregistered securities during the quarter ended September 30, 2016, see Note 5 to the unaudited consolidated financial statements contained herein. Such securities were issued in reliance on an exemption from the registration requirements of the Securities Act of 1933, as amended (the “Securities Act”), provided by Section 4(a)(2) of the Securities Act as a private offering. Such issuances did not involve public offerings, and were made without general solicitation or advertising. Except for the foregoing, we did not sell any of our equity securities during the three months ended September 30, 2016 that were not registered under the Securities Act.</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Proceeds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Purchases of Equity Securities by the Issuer</w:t>
      </w:r>
    </w:p>
    <w:p>
      <w:pPr>
        <w:spacing w:after="0" w:line="108" w:lineRule="exact"/>
        <w:rPr>
          <w:sz w:val="20"/>
          <w:szCs w:val="20"/>
          <w:color w:val="auto"/>
        </w:rPr>
      </w:pPr>
    </w:p>
    <w:p>
      <w:pPr>
        <w:ind w:left="400"/>
        <w:spacing w:after="0"/>
        <w:rPr>
          <w:sz w:val="20"/>
          <w:szCs w:val="20"/>
          <w:color w:val="auto"/>
        </w:rPr>
      </w:pPr>
      <w:r>
        <w:rPr>
          <w:rFonts w:ascii="Arial" w:cs="Arial" w:eastAsia="Arial" w:hAnsi="Arial"/>
          <w:sz w:val="17"/>
          <w:szCs w:val="17"/>
          <w:color w:val="auto"/>
        </w:rPr>
        <w:t>During the three months ended September 30, 2016, purchases of common stock were as follows:</w:t>
      </w:r>
    </w:p>
    <w:p>
      <w:pPr>
        <w:spacing w:after="0" w:line="256" w:lineRule="exact"/>
        <w:rPr>
          <w:sz w:val="20"/>
          <w:szCs w:val="20"/>
          <w:color w:val="auto"/>
        </w:rPr>
      </w:pPr>
    </w:p>
    <w:tbl>
      <w:tblPr>
        <w:tblLayout w:type="fixed"/>
        <w:tblInd w:w="280" w:type="dxa"/>
        <w:tblCellMar>
          <w:top w:w="0" w:type="dxa"/>
          <w:left w:w="0" w:type="dxa"/>
          <w:bottom w:w="0" w:type="dxa"/>
          <w:right w:w="0" w:type="dxa"/>
        </w:tblCellMar>
      </w:tblPr>
      <w:tr>
        <w:trPr>
          <w:trHeight w:val="202"/>
        </w:trPr>
        <w:tc>
          <w:tcPr>
            <w:tcW w:w="2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gridSpan w:val="2"/>
          </w:tcPr>
          <w:p>
            <w:pPr>
              <w:ind w:left="20"/>
              <w:spacing w:after="0"/>
              <w:rPr>
                <w:sz w:val="20"/>
                <w:szCs w:val="20"/>
                <w:color w:val="auto"/>
              </w:rPr>
            </w:pPr>
            <w:r>
              <w:rPr>
                <w:rFonts w:ascii="Arial" w:cs="Arial" w:eastAsia="Arial" w:hAnsi="Arial"/>
                <w:sz w:val="17"/>
                <w:szCs w:val="17"/>
                <w:b w:val="1"/>
                <w:bCs w:val="1"/>
                <w:color w:val="auto"/>
                <w:w w:val="99"/>
              </w:rPr>
              <w:t>Total Number of Shares</w:t>
            </w:r>
          </w:p>
        </w:tc>
        <w:tc>
          <w:tcPr>
            <w:tcW w:w="5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2"/>
        </w:trPr>
        <w:tc>
          <w:tcPr>
            <w:tcW w:w="2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gridSpan w:val="2"/>
          </w:tcPr>
          <w:p>
            <w:pPr>
              <w:ind w:left="20"/>
              <w:spacing w:after="0"/>
              <w:rPr>
                <w:sz w:val="20"/>
                <w:szCs w:val="20"/>
                <w:color w:val="auto"/>
              </w:rPr>
            </w:pPr>
            <w:r>
              <w:rPr>
                <w:rFonts w:ascii="Arial" w:cs="Arial" w:eastAsia="Arial" w:hAnsi="Arial"/>
                <w:sz w:val="17"/>
                <w:szCs w:val="17"/>
                <w:b w:val="1"/>
                <w:bCs w:val="1"/>
                <w:color w:val="auto"/>
              </w:rPr>
              <w:t>Purchased as Part of</w:t>
            </w:r>
          </w:p>
        </w:tc>
        <w:tc>
          <w:tcPr>
            <w:tcW w:w="1940" w:type="dxa"/>
            <w:vAlign w:val="bottom"/>
            <w:gridSpan w:val="2"/>
          </w:tcPr>
          <w:p>
            <w:pPr>
              <w:ind w:left="20"/>
              <w:spacing w:after="0"/>
              <w:rPr>
                <w:sz w:val="20"/>
                <w:szCs w:val="20"/>
                <w:color w:val="auto"/>
              </w:rPr>
            </w:pPr>
            <w:r>
              <w:rPr>
                <w:rFonts w:ascii="Arial" w:cs="Arial" w:eastAsia="Arial" w:hAnsi="Arial"/>
                <w:sz w:val="17"/>
                <w:szCs w:val="17"/>
                <w:b w:val="1"/>
                <w:bCs w:val="1"/>
                <w:color w:val="auto"/>
              </w:rPr>
              <w:t>Approximate Dollar</w:t>
            </w:r>
          </w:p>
        </w:tc>
      </w:tr>
      <w:tr>
        <w:trPr>
          <w:trHeight w:val="202"/>
        </w:trPr>
        <w:tc>
          <w:tcPr>
            <w:tcW w:w="2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gridSpan w:val="2"/>
          </w:tcPr>
          <w:p>
            <w:pPr>
              <w:ind w:left="20"/>
              <w:spacing w:after="0"/>
              <w:rPr>
                <w:sz w:val="20"/>
                <w:szCs w:val="20"/>
                <w:color w:val="auto"/>
              </w:rPr>
            </w:pPr>
            <w:r>
              <w:rPr>
                <w:rFonts w:ascii="Arial" w:cs="Arial" w:eastAsia="Arial" w:hAnsi="Arial"/>
                <w:sz w:val="17"/>
                <w:szCs w:val="17"/>
                <w:b w:val="1"/>
                <w:bCs w:val="1"/>
                <w:color w:val="auto"/>
              </w:rPr>
              <w:t>Publicly</w:t>
            </w:r>
          </w:p>
        </w:tc>
        <w:tc>
          <w:tcPr>
            <w:tcW w:w="1940" w:type="dxa"/>
            <w:vAlign w:val="bottom"/>
            <w:gridSpan w:val="2"/>
          </w:tcPr>
          <w:p>
            <w:pPr>
              <w:ind w:left="20"/>
              <w:spacing w:after="0"/>
              <w:rPr>
                <w:sz w:val="20"/>
                <w:szCs w:val="20"/>
                <w:color w:val="auto"/>
              </w:rPr>
            </w:pPr>
            <w:r>
              <w:rPr>
                <w:rFonts w:ascii="Arial" w:cs="Arial" w:eastAsia="Arial" w:hAnsi="Arial"/>
                <w:sz w:val="17"/>
                <w:szCs w:val="17"/>
                <w:b w:val="1"/>
                <w:bCs w:val="1"/>
                <w:color w:val="auto"/>
                <w:w w:val="92"/>
              </w:rPr>
              <w:t>Value of Shares That May</w:t>
            </w:r>
          </w:p>
        </w:tc>
      </w:tr>
      <w:tr>
        <w:trPr>
          <w:trHeight w:val="202"/>
        </w:trPr>
        <w:tc>
          <w:tcPr>
            <w:tcW w:w="2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60" w:type="dxa"/>
            <w:vAlign w:val="bottom"/>
            <w:gridSpan w:val="2"/>
          </w:tcPr>
          <w:p>
            <w:pPr>
              <w:ind w:left="20"/>
              <w:spacing w:after="0"/>
              <w:rPr>
                <w:sz w:val="20"/>
                <w:szCs w:val="20"/>
                <w:color w:val="auto"/>
              </w:rPr>
            </w:pPr>
            <w:r>
              <w:rPr>
                <w:rFonts w:ascii="Arial" w:cs="Arial" w:eastAsia="Arial" w:hAnsi="Arial"/>
                <w:sz w:val="17"/>
                <w:szCs w:val="17"/>
                <w:b w:val="1"/>
                <w:bCs w:val="1"/>
                <w:color w:val="auto"/>
              </w:rPr>
              <w:t>Total Number of</w:t>
            </w:r>
          </w:p>
        </w:tc>
        <w:tc>
          <w:tcPr>
            <w:tcW w:w="1200" w:type="dxa"/>
            <w:vAlign w:val="bottom"/>
          </w:tcPr>
          <w:p>
            <w:pPr>
              <w:ind w:left="20"/>
              <w:spacing w:after="0"/>
              <w:rPr>
                <w:sz w:val="20"/>
                <w:szCs w:val="20"/>
                <w:color w:val="auto"/>
              </w:rPr>
            </w:pPr>
            <w:r>
              <w:rPr>
                <w:rFonts w:ascii="Arial" w:cs="Arial" w:eastAsia="Arial" w:hAnsi="Arial"/>
                <w:sz w:val="17"/>
                <w:szCs w:val="17"/>
                <w:b w:val="1"/>
                <w:bCs w:val="1"/>
                <w:color w:val="auto"/>
              </w:rPr>
              <w:t>Average Price</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gridSpan w:val="2"/>
          </w:tcPr>
          <w:p>
            <w:pPr>
              <w:ind w:left="20"/>
              <w:spacing w:after="0"/>
              <w:rPr>
                <w:sz w:val="20"/>
                <w:szCs w:val="20"/>
                <w:color w:val="auto"/>
              </w:rPr>
            </w:pPr>
            <w:r>
              <w:rPr>
                <w:rFonts w:ascii="Arial" w:cs="Arial" w:eastAsia="Arial" w:hAnsi="Arial"/>
                <w:sz w:val="17"/>
                <w:szCs w:val="17"/>
                <w:b w:val="1"/>
                <w:bCs w:val="1"/>
                <w:color w:val="auto"/>
              </w:rPr>
              <w:t>Announced Plans or</w:t>
            </w:r>
          </w:p>
        </w:tc>
        <w:tc>
          <w:tcPr>
            <w:tcW w:w="1940" w:type="dxa"/>
            <w:vAlign w:val="bottom"/>
            <w:gridSpan w:val="2"/>
          </w:tcPr>
          <w:p>
            <w:pPr>
              <w:ind w:left="20"/>
              <w:spacing w:after="0"/>
              <w:rPr>
                <w:sz w:val="20"/>
                <w:szCs w:val="20"/>
                <w:color w:val="auto"/>
              </w:rPr>
            </w:pPr>
            <w:r>
              <w:rPr>
                <w:rFonts w:ascii="Arial" w:cs="Arial" w:eastAsia="Arial" w:hAnsi="Arial"/>
                <w:sz w:val="17"/>
                <w:szCs w:val="17"/>
                <w:b w:val="1"/>
                <w:bCs w:val="1"/>
                <w:color w:val="auto"/>
                <w:w w:val="95"/>
              </w:rPr>
              <w:t>Yet Be Purchased Under</w:t>
            </w:r>
          </w:p>
        </w:tc>
      </w:tr>
      <w:tr>
        <w:trPr>
          <w:trHeight w:val="244"/>
        </w:trPr>
        <w:tc>
          <w:tcPr>
            <w:tcW w:w="294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Period</w:t>
            </w:r>
          </w:p>
        </w:tc>
        <w:tc>
          <w:tcPr>
            <w:tcW w:w="160" w:type="dxa"/>
            <w:vAlign w:val="bottom"/>
            <w:tcBorders>
              <w:bottom w:val="single" w:sz="8" w:color="CCEEFF"/>
            </w:tcBorders>
          </w:tcPr>
          <w:p>
            <w:pPr>
              <w:spacing w:after="0"/>
              <w:rPr>
                <w:sz w:val="21"/>
                <w:szCs w:val="21"/>
                <w:color w:val="auto"/>
              </w:rPr>
            </w:pPr>
          </w:p>
        </w:tc>
        <w:tc>
          <w:tcPr>
            <w:tcW w:w="186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Shares Purchased</w:t>
            </w:r>
          </w:p>
        </w:tc>
        <w:tc>
          <w:tcPr>
            <w:tcW w:w="100" w:type="dxa"/>
            <w:vAlign w:val="bottom"/>
            <w:tcBorders>
              <w:bottom w:val="single" w:sz="8" w:color="CCEEFF"/>
            </w:tcBorders>
          </w:tcPr>
          <w:p>
            <w:pPr>
              <w:spacing w:after="0"/>
              <w:rPr>
                <w:sz w:val="21"/>
                <w:szCs w:val="21"/>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w w:val="98"/>
              </w:rPr>
              <w:t>Paid per share</w:t>
            </w:r>
          </w:p>
        </w:tc>
        <w:tc>
          <w:tcPr>
            <w:tcW w:w="6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40" w:type="dxa"/>
            <w:vAlign w:val="bottom"/>
            <w:tcBorders>
              <w:bottom w:val="single" w:sz="8" w:color="auto"/>
            </w:tcBorders>
          </w:tcPr>
          <w:p>
            <w:pPr>
              <w:ind w:left="20"/>
              <w:spacing w:after="0" w:line="244" w:lineRule="exact"/>
              <w:rPr>
                <w:sz w:val="20"/>
                <w:szCs w:val="20"/>
                <w:color w:val="auto"/>
              </w:rPr>
            </w:pPr>
            <w:r>
              <w:rPr>
                <w:rFonts w:ascii="Arial" w:cs="Arial" w:eastAsia="Arial" w:hAnsi="Arial"/>
                <w:sz w:val="17"/>
                <w:szCs w:val="17"/>
                <w:b w:val="1"/>
                <w:bCs w:val="1"/>
                <w:color w:val="auto"/>
              </w:rPr>
              <w:t>Programs</w:t>
            </w:r>
            <w:r>
              <w:rPr>
                <w:rFonts w:ascii="Arial" w:cs="Arial" w:eastAsia="Arial" w:hAnsi="Arial"/>
                <w:sz w:val="23"/>
                <w:szCs w:val="23"/>
                <w:color w:val="auto"/>
                <w:vertAlign w:val="superscript"/>
              </w:rPr>
              <w:t>(1)</w:t>
            </w:r>
          </w:p>
        </w:tc>
        <w:tc>
          <w:tcPr>
            <w:tcW w:w="100" w:type="dxa"/>
            <w:vAlign w:val="bottom"/>
            <w:tcBorders>
              <w:bottom w:val="single" w:sz="8" w:color="CCEEFF"/>
            </w:tcBorders>
          </w:tcPr>
          <w:p>
            <w:pPr>
              <w:spacing w:after="0"/>
              <w:rPr>
                <w:sz w:val="21"/>
                <w:szCs w:val="21"/>
                <w:color w:val="auto"/>
              </w:rPr>
            </w:pPr>
          </w:p>
        </w:tc>
        <w:tc>
          <w:tcPr>
            <w:tcW w:w="194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b w:val="1"/>
                <w:bCs w:val="1"/>
                <w:color w:val="auto"/>
              </w:rPr>
              <w:t>the Plans or Programs</w:t>
            </w:r>
          </w:p>
        </w:tc>
      </w:tr>
      <w:tr>
        <w:trPr>
          <w:trHeight w:val="225"/>
        </w:trPr>
        <w:tc>
          <w:tcPr>
            <w:tcW w:w="3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July 1, 2016 through July 31, 2016</w:t>
            </w:r>
          </w:p>
        </w:tc>
        <w:tc>
          <w:tcPr>
            <w:tcW w:w="18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19,675</w:t>
            </w:r>
          </w:p>
        </w:tc>
        <w:tc>
          <w:tcPr>
            <w:tcW w:w="1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6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50.73</w:t>
            </w:r>
          </w:p>
        </w:tc>
        <w:tc>
          <w:tcPr>
            <w:tcW w:w="100" w:type="dxa"/>
            <w:vAlign w:val="bottom"/>
            <w:tcBorders>
              <w:bottom w:val="single" w:sz="8" w:color="CCEEFF"/>
            </w:tcBorders>
            <w:shd w:val="clear" w:color="auto" w:fill="CCEEFF"/>
          </w:tcPr>
          <w:p>
            <w:pPr>
              <w:spacing w:after="0"/>
              <w:rPr>
                <w:sz w:val="19"/>
                <w:szCs w:val="19"/>
                <w:color w:val="auto"/>
              </w:rPr>
            </w:pPr>
          </w:p>
        </w:tc>
        <w:tc>
          <w:tcPr>
            <w:tcW w:w="18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19,675</w:t>
            </w: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10,026,087</w:t>
            </w:r>
          </w:p>
        </w:tc>
      </w:tr>
      <w:tr>
        <w:trPr>
          <w:trHeight w:val="227"/>
        </w:trPr>
        <w:tc>
          <w:tcPr>
            <w:tcW w:w="3100" w:type="dxa"/>
            <w:vAlign w:val="bottom"/>
            <w:gridSpan w:val="2"/>
          </w:tcPr>
          <w:p>
            <w:pPr>
              <w:ind w:left="20"/>
              <w:spacing w:after="0"/>
              <w:rPr>
                <w:sz w:val="20"/>
                <w:szCs w:val="20"/>
                <w:color w:val="auto"/>
              </w:rPr>
            </w:pPr>
            <w:r>
              <w:rPr>
                <w:rFonts w:ascii="Arial" w:cs="Arial" w:eastAsia="Arial" w:hAnsi="Arial"/>
                <w:sz w:val="17"/>
                <w:szCs w:val="17"/>
                <w:color w:val="auto"/>
              </w:rPr>
              <w:t>Aug 1, 2016 through Aug 31, 2016</w:t>
            </w:r>
          </w:p>
        </w:tc>
        <w:tc>
          <w:tcPr>
            <w:tcW w:w="1860" w:type="dxa"/>
            <w:vAlign w:val="bottom"/>
          </w:tcPr>
          <w:p>
            <w:pPr>
              <w:jc w:val="right"/>
              <w:ind w:right="36"/>
              <w:spacing w:after="0"/>
              <w:rPr>
                <w:sz w:val="20"/>
                <w:szCs w:val="20"/>
                <w:color w:val="auto"/>
              </w:rPr>
            </w:pPr>
            <w:r>
              <w:rPr>
                <w:rFonts w:ascii="Arial" w:cs="Arial" w:eastAsia="Arial" w:hAnsi="Arial"/>
                <w:sz w:val="17"/>
                <w:szCs w:val="17"/>
                <w:color w:val="auto"/>
              </w:rPr>
              <w:t>46,960</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40" w:type="dxa"/>
            <w:vAlign w:val="bottom"/>
          </w:tcPr>
          <w:p>
            <w:pPr>
              <w:jc w:val="right"/>
              <w:ind w:right="16"/>
              <w:spacing w:after="0"/>
              <w:rPr>
                <w:sz w:val="20"/>
                <w:szCs w:val="20"/>
                <w:color w:val="auto"/>
              </w:rPr>
            </w:pPr>
            <w:r>
              <w:rPr>
                <w:rFonts w:ascii="Arial" w:cs="Arial" w:eastAsia="Arial" w:hAnsi="Arial"/>
                <w:sz w:val="17"/>
                <w:szCs w:val="17"/>
                <w:color w:val="auto"/>
              </w:rPr>
              <w:t>50.21</w:t>
            </w:r>
          </w:p>
        </w:tc>
        <w:tc>
          <w:tcPr>
            <w:tcW w:w="100" w:type="dxa"/>
            <w:vAlign w:val="bottom"/>
          </w:tcPr>
          <w:p>
            <w:pPr>
              <w:spacing w:after="0"/>
              <w:rPr>
                <w:sz w:val="19"/>
                <w:szCs w:val="19"/>
                <w:color w:val="auto"/>
              </w:rPr>
            </w:pPr>
          </w:p>
        </w:tc>
        <w:tc>
          <w:tcPr>
            <w:tcW w:w="1840" w:type="dxa"/>
            <w:vAlign w:val="bottom"/>
          </w:tcPr>
          <w:p>
            <w:pPr>
              <w:jc w:val="right"/>
              <w:ind w:right="36"/>
              <w:spacing w:after="0"/>
              <w:rPr>
                <w:sz w:val="20"/>
                <w:szCs w:val="20"/>
                <w:color w:val="auto"/>
              </w:rPr>
            </w:pPr>
            <w:r>
              <w:rPr>
                <w:rFonts w:ascii="Arial" w:cs="Arial" w:eastAsia="Arial" w:hAnsi="Arial"/>
                <w:sz w:val="17"/>
                <w:szCs w:val="17"/>
                <w:color w:val="auto"/>
              </w:rPr>
              <w:t>46,960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60" w:type="dxa"/>
            <w:vAlign w:val="bottom"/>
          </w:tcPr>
          <w:p>
            <w:pPr>
              <w:jc w:val="right"/>
              <w:ind w:right="16"/>
              <w:spacing w:after="0"/>
              <w:rPr>
                <w:sz w:val="20"/>
                <w:szCs w:val="20"/>
                <w:color w:val="auto"/>
              </w:rPr>
            </w:pPr>
            <w:r>
              <w:rPr>
                <w:rFonts w:ascii="Arial" w:cs="Arial" w:eastAsia="Arial" w:hAnsi="Arial"/>
                <w:sz w:val="17"/>
                <w:szCs w:val="17"/>
                <w:color w:val="auto"/>
              </w:rPr>
              <w:t>7,668,176</w:t>
            </w:r>
          </w:p>
        </w:tc>
      </w:tr>
      <w:tr>
        <w:trPr>
          <w:trHeight w:val="26"/>
        </w:trPr>
        <w:tc>
          <w:tcPr>
            <w:tcW w:w="2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3"/>
        </w:trPr>
        <w:tc>
          <w:tcPr>
            <w:tcW w:w="3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Sep 1, 2016 through Sep 30, 2016</w:t>
            </w:r>
          </w:p>
        </w:tc>
        <w:tc>
          <w:tcPr>
            <w:tcW w:w="18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41,508</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50.83</w:t>
            </w:r>
          </w:p>
        </w:tc>
        <w:tc>
          <w:tcPr>
            <w:tcW w:w="1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41,508</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5,558,167</w:t>
            </w:r>
          </w:p>
        </w:tc>
      </w:tr>
      <w:tr>
        <w:trPr>
          <w:trHeight w:val="220"/>
        </w:trPr>
        <w:tc>
          <w:tcPr>
            <w:tcW w:w="294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Total</w:t>
            </w:r>
          </w:p>
        </w:tc>
        <w:tc>
          <w:tcPr>
            <w:tcW w:w="160" w:type="dxa"/>
            <w:vAlign w:val="bottom"/>
          </w:tcPr>
          <w:p>
            <w:pPr>
              <w:spacing w:after="0"/>
              <w:rPr>
                <w:sz w:val="19"/>
                <w:szCs w:val="19"/>
                <w:color w:val="auto"/>
              </w:rPr>
            </w:pPr>
          </w:p>
        </w:tc>
        <w:tc>
          <w:tcPr>
            <w:tcW w:w="186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color w:val="auto"/>
              </w:rPr>
              <w:t>108,143</w:t>
            </w:r>
          </w:p>
        </w:tc>
        <w:tc>
          <w:tcPr>
            <w:tcW w:w="100" w:type="dxa"/>
            <w:vAlign w:val="bottom"/>
          </w:tcPr>
          <w:p>
            <w:pPr>
              <w:spacing w:after="0"/>
              <w:rPr>
                <w:sz w:val="19"/>
                <w:szCs w:val="19"/>
                <w:color w:val="auto"/>
              </w:rPr>
            </w:pPr>
          </w:p>
        </w:tc>
        <w:tc>
          <w:tcPr>
            <w:tcW w:w="120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w:t>
            </w:r>
          </w:p>
        </w:tc>
        <w:tc>
          <w:tcPr>
            <w:tcW w:w="64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50.54</w:t>
            </w:r>
          </w:p>
        </w:tc>
        <w:tc>
          <w:tcPr>
            <w:tcW w:w="100" w:type="dxa"/>
            <w:vAlign w:val="bottom"/>
          </w:tcPr>
          <w:p>
            <w:pPr>
              <w:spacing w:after="0"/>
              <w:rPr>
                <w:sz w:val="19"/>
                <w:szCs w:val="19"/>
                <w:color w:val="auto"/>
              </w:rPr>
            </w:pPr>
          </w:p>
        </w:tc>
        <w:tc>
          <w:tcPr>
            <w:tcW w:w="184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color w:val="auto"/>
              </w:rPr>
              <w:t>108,143</w:t>
            </w:r>
          </w:p>
        </w:tc>
        <w:tc>
          <w:tcPr>
            <w:tcW w:w="100" w:type="dxa"/>
            <w:vAlign w:val="bottom"/>
          </w:tcPr>
          <w:p>
            <w:pPr>
              <w:spacing w:after="0"/>
              <w:rPr>
                <w:sz w:val="19"/>
                <w:szCs w:val="19"/>
                <w:color w:val="auto"/>
              </w:rPr>
            </w:pPr>
          </w:p>
        </w:tc>
        <w:tc>
          <w:tcPr>
            <w:tcW w:w="58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w:t>
            </w:r>
          </w:p>
        </w:tc>
        <w:tc>
          <w:tcPr>
            <w:tcW w:w="136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w:t>
            </w:r>
          </w:p>
        </w:tc>
      </w:tr>
      <w:tr>
        <w:trPr>
          <w:trHeight w:val="26"/>
        </w:trPr>
        <w:tc>
          <w:tcPr>
            <w:tcW w:w="29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2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ind w:left="400"/>
        <w:spacing w:after="0"/>
        <w:rPr>
          <w:sz w:val="20"/>
          <w:szCs w:val="20"/>
          <w:color w:val="auto"/>
        </w:rPr>
      </w:pPr>
      <w:r>
        <w:rPr>
          <w:rFonts w:ascii="Arial" w:cs="Arial" w:eastAsia="Arial" w:hAnsi="Arial"/>
          <w:sz w:val="15"/>
          <w:szCs w:val="15"/>
          <w:color w:val="auto"/>
        </w:rPr>
        <w:t>(1) Consists of shares purchased under the 2014 Repurchase Program. See Note 9 to the unaudited consolidated financial statements for further information.</w:t>
      </w:r>
    </w:p>
    <w:p>
      <w:pPr>
        <w:spacing w:after="0" w:line="200" w:lineRule="exact"/>
        <w:rPr>
          <w:sz w:val="20"/>
          <w:szCs w:val="20"/>
          <w:color w:val="auto"/>
        </w:rPr>
      </w:pPr>
    </w:p>
    <w:p>
      <w:pPr>
        <w:spacing w:after="0" w:line="230"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05"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14"/>
          <w:szCs w:val="14"/>
          <w:b w:val="1"/>
          <w:bCs w:val="1"/>
          <w:color w:val="auto"/>
        </w:rPr>
        <w:t>Mine Safety Disclosures</w:t>
      </w:r>
    </w:p>
    <w:p>
      <w:pPr>
        <w:spacing w:after="0" w:line="112" w:lineRule="exact"/>
        <w:rPr>
          <w:sz w:val="20"/>
          <w:szCs w:val="20"/>
          <w:color w:val="auto"/>
        </w:rPr>
      </w:pPr>
    </w:p>
    <w:p>
      <w:pPr>
        <w:ind w:left="400"/>
        <w:spacing w:after="0"/>
        <w:rPr>
          <w:sz w:val="20"/>
          <w:szCs w:val="20"/>
          <w:color w:val="auto"/>
        </w:rPr>
      </w:pPr>
      <w:r>
        <w:rPr>
          <w:rFonts w:ascii="Arial" w:cs="Arial" w:eastAsia="Arial" w:hAnsi="Arial"/>
          <w:sz w:val="17"/>
          <w:szCs w:val="17"/>
          <w:color w:val="auto"/>
        </w:rPr>
        <w:t>Not applicable.</w:t>
      </w:r>
    </w:p>
    <w:p>
      <w:pPr>
        <w:spacing w:after="0" w:line="306"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11420"/>
          </w:cols>
          <w:pgMar w:left="240" w:top="325" w:right="239" w:bottom="1440" w:gutter="0" w:footer="0" w:header="0"/>
        </w:sectPr>
      </w:pPr>
    </w:p>
    <w:bookmarkStart w:id="40" w:name="page41"/>
    <w:bookmarkEnd w:id="40"/>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ITEM 6.</w:t>
      </w:r>
      <w:r>
        <w:rPr>
          <w:sz w:val="20"/>
          <w:szCs w:val="20"/>
          <w:color w:val="auto"/>
        </w:rPr>
        <w:tab/>
      </w:r>
      <w:r>
        <w:rPr>
          <w:rFonts w:ascii="Arial" w:cs="Arial" w:eastAsia="Arial" w:hAnsi="Arial"/>
          <w:sz w:val="15"/>
          <w:szCs w:val="15"/>
          <w:b w:val="1"/>
          <w:bCs w:val="1"/>
          <w:color w:val="auto"/>
        </w:rPr>
        <w:t>Exhibits</w:t>
      </w:r>
    </w:p>
    <w:p>
      <w:pPr>
        <w:spacing w:after="0" w:line="25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See Exhibit Index immediately following the signature page hereto, which Exhibit Index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41</w:t>
      </w:r>
    </w:p>
    <w:p>
      <w:pPr>
        <w:sectPr>
          <w:pgSz w:w="11900" w:h="16838" w:orient="portrait"/>
          <w:cols w:equalWidth="0" w:num="1">
            <w:col w:w="10219"/>
          </w:cols>
          <w:pgMar w:left="240" w:top="325" w:right="1440" w:bottom="1440" w:gutter="0" w:footer="0" w:header="0"/>
        </w:sectPr>
      </w:pPr>
    </w:p>
    <w:bookmarkStart w:id="41" w:name="page42"/>
    <w:bookmarkEnd w:id="41"/>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SIGNATURES</w:t>
      </w:r>
    </w:p>
    <w:p>
      <w:pPr>
        <w:spacing w:after="0" w:line="213" w:lineRule="exact"/>
        <w:rPr>
          <w:sz w:val="20"/>
          <w:szCs w:val="20"/>
          <w:color w:val="auto"/>
        </w:rPr>
      </w:pPr>
    </w:p>
    <w:p>
      <w:pPr>
        <w:ind w:right="500" w:firstLine="404"/>
        <w:spacing w:after="0" w:line="271"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218"/>
        </w:trPr>
        <w:tc>
          <w:tcPr>
            <w:tcW w:w="3300" w:type="dxa"/>
            <w:vAlign w:val="bottom"/>
          </w:tcPr>
          <w:p>
            <w:pPr>
              <w:spacing w:after="0"/>
              <w:rPr>
                <w:sz w:val="20"/>
                <w:szCs w:val="20"/>
                <w:color w:val="auto"/>
              </w:rPr>
            </w:pPr>
            <w:r>
              <w:rPr>
                <w:rFonts w:ascii="Arial" w:cs="Arial" w:eastAsia="Arial" w:hAnsi="Arial"/>
                <w:sz w:val="17"/>
                <w:szCs w:val="17"/>
                <w:color w:val="auto"/>
              </w:rPr>
              <w:t>Date: October 27, 2016</w:t>
            </w:r>
          </w:p>
        </w:tc>
        <w:tc>
          <w:tcPr>
            <w:tcW w:w="8080" w:type="dxa"/>
            <w:vAlign w:val="bottom"/>
            <w:gridSpan w:val="2"/>
          </w:tcPr>
          <w:p>
            <w:pPr>
              <w:ind w:left="1720"/>
              <w:spacing w:after="0"/>
              <w:rPr>
                <w:sz w:val="20"/>
                <w:szCs w:val="20"/>
                <w:color w:val="auto"/>
              </w:rPr>
            </w:pPr>
            <w:r>
              <w:rPr>
                <w:rFonts w:ascii="Arial" w:cs="Arial" w:eastAsia="Arial" w:hAnsi="Arial"/>
                <w:sz w:val="17"/>
                <w:szCs w:val="17"/>
                <w:b w:val="1"/>
                <w:bCs w:val="1"/>
                <w:color w:val="auto"/>
              </w:rPr>
              <w:t>EXLSERVICE HOLDINGS, INC.</w:t>
            </w:r>
          </w:p>
        </w:tc>
      </w:tr>
      <w:tr>
        <w:trPr>
          <w:trHeight w:val="556"/>
        </w:trPr>
        <w:tc>
          <w:tcPr>
            <w:tcW w:w="3300" w:type="dxa"/>
            <w:vAlign w:val="bottom"/>
          </w:tcPr>
          <w:p>
            <w:pPr>
              <w:spacing w:after="0"/>
              <w:rPr>
                <w:sz w:val="24"/>
                <w:szCs w:val="24"/>
                <w:color w:val="auto"/>
              </w:rPr>
            </w:pPr>
          </w:p>
        </w:tc>
        <w:tc>
          <w:tcPr>
            <w:tcW w:w="2260" w:type="dxa"/>
            <w:vAlign w:val="bottom"/>
          </w:tcPr>
          <w:p>
            <w:pPr>
              <w:ind w:left="1720"/>
              <w:spacing w:after="0"/>
              <w:rPr>
                <w:sz w:val="20"/>
                <w:szCs w:val="20"/>
                <w:color w:val="auto"/>
              </w:rPr>
            </w:pPr>
            <w:r>
              <w:rPr>
                <w:rFonts w:ascii="Arial" w:cs="Arial" w:eastAsia="Arial" w:hAnsi="Arial"/>
                <w:sz w:val="17"/>
                <w:szCs w:val="17"/>
                <w:color w:val="auto"/>
              </w:rPr>
              <w:t>By:</w:t>
            </w:r>
          </w:p>
        </w:tc>
        <w:tc>
          <w:tcPr>
            <w:tcW w:w="5820" w:type="dxa"/>
            <w:vAlign w:val="bottom"/>
          </w:tcPr>
          <w:p>
            <w:pPr>
              <w:ind w:left="40"/>
              <w:spacing w:after="0"/>
              <w:rPr>
                <w:sz w:val="20"/>
                <w:szCs w:val="20"/>
                <w:color w:val="auto"/>
              </w:rPr>
            </w:pPr>
            <w:r>
              <w:rPr>
                <w:rFonts w:ascii="Arial" w:cs="Arial" w:eastAsia="Arial" w:hAnsi="Arial"/>
                <w:sz w:val="17"/>
                <w:szCs w:val="17"/>
                <w:color w:val="auto"/>
              </w:rPr>
              <w:t>/</w:t>
            </w:r>
            <w:r>
              <w:rPr>
                <w:rFonts w:ascii="Arial" w:cs="Arial" w:eastAsia="Arial" w:hAnsi="Arial"/>
                <w:sz w:val="13"/>
                <w:szCs w:val="13"/>
                <w:color w:val="auto"/>
              </w:rPr>
              <w:t>S</w:t>
            </w:r>
            <w:r>
              <w:rPr>
                <w:rFonts w:ascii="Arial" w:cs="Arial" w:eastAsia="Arial" w:hAnsi="Arial"/>
                <w:sz w:val="17"/>
                <w:szCs w:val="17"/>
                <w:color w:val="auto"/>
              </w:rPr>
              <w:t>/ V</w:t>
            </w:r>
            <w:r>
              <w:rPr>
                <w:rFonts w:ascii="Arial" w:cs="Arial" w:eastAsia="Arial" w:hAnsi="Arial"/>
                <w:sz w:val="13"/>
                <w:szCs w:val="13"/>
                <w:color w:val="auto"/>
              </w:rPr>
              <w:t>ISHAL</w:t>
            </w:r>
            <w:r>
              <w:rPr>
                <w:rFonts w:ascii="Arial" w:cs="Arial" w:eastAsia="Arial" w:hAnsi="Arial"/>
                <w:sz w:val="17"/>
                <w:szCs w:val="17"/>
                <w:color w:val="auto"/>
              </w:rPr>
              <w:t xml:space="preserve"> C</w:t>
            </w:r>
            <w:r>
              <w:rPr>
                <w:rFonts w:ascii="Arial" w:cs="Arial" w:eastAsia="Arial" w:hAnsi="Arial"/>
                <w:sz w:val="13"/>
                <w:szCs w:val="13"/>
                <w:color w:val="auto"/>
              </w:rPr>
              <w:t>HHIBBAR</w:t>
            </w:r>
          </w:p>
        </w:tc>
      </w:tr>
      <w:tr>
        <w:trPr>
          <w:trHeight w:val="26"/>
        </w:trPr>
        <w:tc>
          <w:tcPr>
            <w:tcW w:w="33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5820" w:type="dxa"/>
            <w:vAlign w:val="bottom"/>
            <w:tcBorders>
              <w:bottom w:val="single" w:sz="8" w:color="auto"/>
            </w:tcBorders>
          </w:tcPr>
          <w:p>
            <w:pPr>
              <w:spacing w:after="0"/>
              <w:rPr>
                <w:sz w:val="2"/>
                <w:szCs w:val="2"/>
                <w:color w:val="auto"/>
              </w:rPr>
            </w:pPr>
          </w:p>
        </w:tc>
      </w:tr>
      <w:tr>
        <w:trPr>
          <w:trHeight w:val="137"/>
        </w:trPr>
        <w:tc>
          <w:tcPr>
            <w:tcW w:w="330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5820" w:type="dxa"/>
            <w:vAlign w:val="bottom"/>
          </w:tcPr>
          <w:p>
            <w:pPr>
              <w:ind w:left="40"/>
              <w:spacing w:after="0" w:line="137" w:lineRule="exact"/>
              <w:rPr>
                <w:sz w:val="20"/>
                <w:szCs w:val="20"/>
                <w:color w:val="auto"/>
              </w:rPr>
            </w:pPr>
            <w:r>
              <w:rPr>
                <w:rFonts w:ascii="Arial" w:cs="Arial" w:eastAsia="Arial" w:hAnsi="Arial"/>
                <w:sz w:val="13"/>
                <w:szCs w:val="13"/>
                <w:b w:val="1"/>
                <w:bCs w:val="1"/>
                <w:color w:val="auto"/>
              </w:rPr>
              <w:t>Vishal Chhibbar</w:t>
            </w:r>
          </w:p>
        </w:tc>
      </w:tr>
      <w:tr>
        <w:trPr>
          <w:trHeight w:val="139"/>
        </w:trPr>
        <w:tc>
          <w:tcPr>
            <w:tcW w:w="33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5820" w:type="dxa"/>
            <w:vAlign w:val="bottom"/>
          </w:tcPr>
          <w:p>
            <w:pPr>
              <w:ind w:left="40"/>
              <w:spacing w:after="0" w:line="139" w:lineRule="exact"/>
              <w:rPr>
                <w:sz w:val="20"/>
                <w:szCs w:val="20"/>
                <w:color w:val="auto"/>
              </w:rPr>
            </w:pPr>
            <w:r>
              <w:rPr>
                <w:rFonts w:ascii="Arial" w:cs="Arial" w:eastAsia="Arial" w:hAnsi="Arial"/>
                <w:sz w:val="13"/>
                <w:szCs w:val="13"/>
                <w:b w:val="1"/>
                <w:bCs w:val="1"/>
                <w:color w:val="auto"/>
              </w:rPr>
              <w:t>Chief Financial Officer</w:t>
            </w:r>
          </w:p>
        </w:tc>
      </w:tr>
      <w:tr>
        <w:trPr>
          <w:trHeight w:val="174"/>
        </w:trPr>
        <w:tc>
          <w:tcPr>
            <w:tcW w:w="330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5820" w:type="dxa"/>
            <w:vAlign w:val="bottom"/>
          </w:tcPr>
          <w:p>
            <w:pPr>
              <w:ind w:left="40"/>
              <w:spacing w:after="0"/>
              <w:rPr>
                <w:sz w:val="20"/>
                <w:szCs w:val="20"/>
                <w:color w:val="auto"/>
              </w:rPr>
            </w:pPr>
            <w:r>
              <w:rPr>
                <w:rFonts w:ascii="Arial" w:cs="Arial" w:eastAsia="Arial" w:hAnsi="Arial"/>
                <w:sz w:val="13"/>
                <w:szCs w:val="13"/>
                <w:b w:val="1"/>
                <w:bCs w:val="1"/>
                <w:color w:val="auto"/>
              </w:rPr>
              <w:t>(Duly Authorized Signatory, Principal Financial and Accounting Officer)</w:t>
            </w:r>
          </w:p>
        </w:tc>
      </w:tr>
      <w:tr>
        <w:trPr>
          <w:trHeight w:val="642"/>
        </w:trPr>
        <w:tc>
          <w:tcPr>
            <w:tcW w:w="33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5820" w:type="dxa"/>
            <w:vAlign w:val="bottom"/>
          </w:tcPr>
          <w:p>
            <w:pPr>
              <w:ind w:left="40"/>
              <w:spacing w:after="0"/>
              <w:rPr>
                <w:sz w:val="20"/>
                <w:szCs w:val="20"/>
                <w:color w:val="auto"/>
              </w:rPr>
            </w:pPr>
            <w:r>
              <w:rPr>
                <w:rFonts w:ascii="Arial" w:cs="Arial" w:eastAsia="Arial" w:hAnsi="Arial"/>
                <w:sz w:val="17"/>
                <w:szCs w:val="17"/>
                <w:color w:val="auto"/>
              </w:rPr>
              <w:t>42</w:t>
            </w:r>
          </w:p>
        </w:tc>
      </w:tr>
    </w:tbl>
    <w:p>
      <w:pPr>
        <w:sectPr>
          <w:pgSz w:w="11900" w:h="16838" w:orient="portrait"/>
          <w:cols w:equalWidth="0" w:num="1">
            <w:col w:w="11400"/>
          </w:cols>
          <w:pgMar w:left="240" w:top="325" w:right="259" w:bottom="1440" w:gutter="0" w:footer="0" w:header="0"/>
        </w:sectPr>
      </w:pPr>
    </w:p>
    <w:bookmarkStart w:id="42" w:name="page43"/>
    <w:bookmarkEnd w:id="42"/>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920" w:type="dxa"/>
            <w:vAlign w:val="bottom"/>
          </w:tcPr>
          <w:p>
            <w:pPr>
              <w:spacing w:after="0"/>
              <w:rPr>
                <w:sz w:val="18"/>
                <w:szCs w:val="18"/>
                <w:color w:val="auto"/>
              </w:rPr>
            </w:pPr>
          </w:p>
        </w:tc>
        <w:tc>
          <w:tcPr>
            <w:tcW w:w="10420" w:type="dxa"/>
            <w:vAlign w:val="bottom"/>
          </w:tcPr>
          <w:p>
            <w:pPr>
              <w:ind w:left="4380"/>
              <w:spacing w:after="0"/>
              <w:rPr>
                <w:sz w:val="20"/>
                <w:szCs w:val="20"/>
                <w:color w:val="auto"/>
              </w:rPr>
            </w:pPr>
            <w:r>
              <w:rPr>
                <w:rFonts w:ascii="Arial" w:cs="Arial" w:eastAsia="Arial" w:hAnsi="Arial"/>
                <w:sz w:val="17"/>
                <w:szCs w:val="17"/>
                <w:b w:val="1"/>
                <w:bCs w:val="1"/>
                <w:color w:val="auto"/>
              </w:rPr>
              <w:t>EXHIBITS</w:t>
            </w:r>
          </w:p>
        </w:tc>
        <w:tc>
          <w:tcPr>
            <w:tcW w:w="0" w:type="dxa"/>
            <w:vAlign w:val="bottom"/>
          </w:tcPr>
          <w:p>
            <w:pPr>
              <w:spacing w:after="0"/>
              <w:rPr>
                <w:sz w:val="1"/>
                <w:szCs w:val="1"/>
                <w:color w:val="auto"/>
              </w:rPr>
            </w:pPr>
          </w:p>
        </w:tc>
      </w:tr>
      <w:tr>
        <w:trPr>
          <w:trHeight w:val="404"/>
        </w:trPr>
        <w:tc>
          <w:tcPr>
            <w:tcW w:w="11340" w:type="dxa"/>
            <w:vAlign w:val="bottom"/>
            <w:gridSpan w:val="2"/>
          </w:tcPr>
          <w:p>
            <w:pPr>
              <w:spacing w:after="0"/>
              <w:rPr>
                <w:sz w:val="20"/>
                <w:szCs w:val="20"/>
                <w:color w:val="auto"/>
              </w:rPr>
            </w:pPr>
            <w:r>
              <w:rPr>
                <w:rFonts w:ascii="Arial" w:cs="Arial" w:eastAsia="Arial" w:hAnsi="Arial"/>
                <w:sz w:val="17"/>
                <w:szCs w:val="17"/>
                <w:color w:val="auto"/>
              </w:rPr>
              <w:t>The following exhibits are being filed as part of this Quarterly Report on Form 10-Q:</w:t>
            </w:r>
          </w:p>
        </w:tc>
        <w:tc>
          <w:tcPr>
            <w:tcW w:w="0" w:type="dxa"/>
            <w:vAlign w:val="bottom"/>
          </w:tcPr>
          <w:p>
            <w:pPr>
              <w:spacing w:after="0"/>
              <w:rPr>
                <w:sz w:val="1"/>
                <w:szCs w:val="1"/>
                <w:color w:val="auto"/>
              </w:rPr>
            </w:pPr>
          </w:p>
        </w:tc>
      </w:tr>
      <w:tr>
        <w:trPr>
          <w:trHeight w:val="456"/>
        </w:trPr>
        <w:tc>
          <w:tcPr>
            <w:tcW w:w="920" w:type="dxa"/>
            <w:vAlign w:val="bottom"/>
          </w:tcPr>
          <w:p>
            <w:pPr>
              <w:ind w:left="20"/>
              <w:spacing w:after="0"/>
              <w:rPr>
                <w:sz w:val="20"/>
                <w:szCs w:val="20"/>
                <w:color w:val="auto"/>
              </w:rPr>
            </w:pPr>
            <w:r>
              <w:rPr>
                <w:rFonts w:ascii="Arial" w:cs="Arial" w:eastAsia="Arial" w:hAnsi="Arial"/>
                <w:sz w:val="17"/>
                <w:szCs w:val="17"/>
                <w:color w:val="auto"/>
              </w:rPr>
              <w:t>10.1</w:t>
            </w:r>
          </w:p>
        </w:tc>
        <w:tc>
          <w:tcPr>
            <w:tcW w:w="10420" w:type="dxa"/>
            <w:vAlign w:val="bottom"/>
          </w:tcPr>
          <w:p>
            <w:pPr>
              <w:ind w:left="140"/>
              <w:spacing w:after="0"/>
              <w:rPr>
                <w:sz w:val="20"/>
                <w:szCs w:val="20"/>
                <w:color w:val="auto"/>
              </w:rPr>
            </w:pPr>
            <w:r>
              <w:rPr>
                <w:rFonts w:ascii="Arial" w:cs="Arial" w:eastAsia="Arial" w:hAnsi="Arial"/>
                <w:sz w:val="17"/>
                <w:szCs w:val="17"/>
                <w:color w:val="auto"/>
                <w:w w:val="91"/>
              </w:rPr>
              <w:t>Form of Restricted Stock Unit Agreement (U.S.) under the ExlService Holdings, Inc. 2015 Amendment and Restatement of the 2006 Omnibus Award</w:t>
            </w:r>
          </w:p>
        </w:tc>
        <w:tc>
          <w:tcPr>
            <w:tcW w:w="0" w:type="dxa"/>
            <w:vAlign w:val="bottom"/>
          </w:tcPr>
          <w:p>
            <w:pPr>
              <w:spacing w:after="0"/>
              <w:rPr>
                <w:sz w:val="1"/>
                <w:szCs w:val="1"/>
                <w:color w:val="auto"/>
              </w:rPr>
            </w:pPr>
          </w:p>
        </w:tc>
      </w:tr>
      <w:tr>
        <w:trPr>
          <w:trHeight w:val="214"/>
        </w:trPr>
        <w:tc>
          <w:tcPr>
            <w:tcW w:w="920" w:type="dxa"/>
            <w:vAlign w:val="bottom"/>
          </w:tcPr>
          <w:p>
            <w:pPr>
              <w:spacing w:after="0"/>
              <w:rPr>
                <w:sz w:val="18"/>
                <w:szCs w:val="18"/>
                <w:color w:val="auto"/>
              </w:rPr>
            </w:pPr>
          </w:p>
        </w:tc>
        <w:tc>
          <w:tcPr>
            <w:tcW w:w="10420" w:type="dxa"/>
            <w:vAlign w:val="bottom"/>
          </w:tcPr>
          <w:p>
            <w:pPr>
              <w:ind w:left="140"/>
              <w:spacing w:after="0"/>
              <w:rPr>
                <w:sz w:val="20"/>
                <w:szCs w:val="20"/>
                <w:color w:val="auto"/>
              </w:rPr>
            </w:pPr>
            <w:r>
              <w:rPr>
                <w:rFonts w:ascii="Arial" w:cs="Arial" w:eastAsia="Arial" w:hAnsi="Arial"/>
                <w:sz w:val="17"/>
                <w:szCs w:val="17"/>
                <w:color w:val="auto"/>
              </w:rPr>
              <w:t>Plan.</w:t>
            </w:r>
          </w:p>
        </w:tc>
        <w:tc>
          <w:tcPr>
            <w:tcW w:w="0" w:type="dxa"/>
            <w:vAlign w:val="bottom"/>
          </w:tcPr>
          <w:p>
            <w:pPr>
              <w:spacing w:after="0"/>
              <w:rPr>
                <w:sz w:val="1"/>
                <w:szCs w:val="1"/>
                <w:color w:val="auto"/>
              </w:rPr>
            </w:pPr>
          </w:p>
        </w:tc>
      </w:tr>
      <w:tr>
        <w:trPr>
          <w:trHeight w:val="355"/>
        </w:trPr>
        <w:tc>
          <w:tcPr>
            <w:tcW w:w="920" w:type="dxa"/>
            <w:vAlign w:val="bottom"/>
          </w:tcPr>
          <w:p>
            <w:pPr>
              <w:ind w:left="20"/>
              <w:spacing w:after="0"/>
              <w:rPr>
                <w:sz w:val="20"/>
                <w:szCs w:val="20"/>
                <w:color w:val="auto"/>
              </w:rPr>
            </w:pPr>
            <w:r>
              <w:rPr>
                <w:rFonts w:ascii="Arial" w:cs="Arial" w:eastAsia="Arial" w:hAnsi="Arial"/>
                <w:sz w:val="17"/>
                <w:szCs w:val="17"/>
                <w:color w:val="auto"/>
              </w:rPr>
              <w:t>31.1</w:t>
            </w:r>
          </w:p>
        </w:tc>
        <w:tc>
          <w:tcPr>
            <w:tcW w:w="10420" w:type="dxa"/>
            <w:vAlign w:val="bottom"/>
          </w:tcPr>
          <w:p>
            <w:pPr>
              <w:ind w:left="140"/>
              <w:spacing w:after="0"/>
              <w:rPr>
                <w:sz w:val="20"/>
                <w:szCs w:val="20"/>
                <w:color w:val="auto"/>
              </w:rPr>
            </w:pPr>
            <w:r>
              <w:rPr>
                <w:rFonts w:ascii="Arial" w:cs="Arial" w:eastAsia="Arial" w:hAnsi="Arial"/>
                <w:sz w:val="17"/>
                <w:szCs w:val="17"/>
                <w:color w:val="auto"/>
                <w:w w:val="92"/>
              </w:rPr>
              <w:t>Certification of the Chief Executive Officer of ExlService Holdings, pursuant to Rule 13a-14(a) of the Exchange Act, as adopted pursuant to Section</w:t>
            </w:r>
          </w:p>
        </w:tc>
        <w:tc>
          <w:tcPr>
            <w:tcW w:w="0" w:type="dxa"/>
            <w:vAlign w:val="bottom"/>
          </w:tcPr>
          <w:p>
            <w:pPr>
              <w:spacing w:after="0"/>
              <w:rPr>
                <w:sz w:val="1"/>
                <w:szCs w:val="1"/>
                <w:color w:val="auto"/>
              </w:rPr>
            </w:pPr>
          </w:p>
        </w:tc>
      </w:tr>
      <w:tr>
        <w:trPr>
          <w:trHeight w:val="214"/>
        </w:trPr>
        <w:tc>
          <w:tcPr>
            <w:tcW w:w="920" w:type="dxa"/>
            <w:vAlign w:val="bottom"/>
          </w:tcPr>
          <w:p>
            <w:pPr>
              <w:spacing w:after="0"/>
              <w:rPr>
                <w:sz w:val="18"/>
                <w:szCs w:val="18"/>
                <w:color w:val="auto"/>
              </w:rPr>
            </w:pPr>
          </w:p>
        </w:tc>
        <w:tc>
          <w:tcPr>
            <w:tcW w:w="10420" w:type="dxa"/>
            <w:vAlign w:val="bottom"/>
          </w:tcPr>
          <w:p>
            <w:pPr>
              <w:ind w:left="140"/>
              <w:spacing w:after="0"/>
              <w:rPr>
                <w:sz w:val="20"/>
                <w:szCs w:val="20"/>
                <w:color w:val="auto"/>
              </w:rPr>
            </w:pPr>
            <w:r>
              <w:rPr>
                <w:rFonts w:ascii="Arial" w:cs="Arial" w:eastAsia="Arial" w:hAnsi="Arial"/>
                <w:sz w:val="17"/>
                <w:szCs w:val="17"/>
                <w:color w:val="auto"/>
              </w:rPr>
              <w:t>302 of the Sarbanes-Oxley Act of 2002.</w:t>
            </w:r>
          </w:p>
        </w:tc>
        <w:tc>
          <w:tcPr>
            <w:tcW w:w="0" w:type="dxa"/>
            <w:vAlign w:val="bottom"/>
          </w:tcPr>
          <w:p>
            <w:pPr>
              <w:spacing w:after="0"/>
              <w:rPr>
                <w:sz w:val="1"/>
                <w:szCs w:val="1"/>
                <w:color w:val="auto"/>
              </w:rPr>
            </w:pPr>
          </w:p>
        </w:tc>
      </w:tr>
      <w:tr>
        <w:trPr>
          <w:trHeight w:val="355"/>
        </w:trPr>
        <w:tc>
          <w:tcPr>
            <w:tcW w:w="920" w:type="dxa"/>
            <w:vAlign w:val="bottom"/>
          </w:tcPr>
          <w:p>
            <w:pPr>
              <w:ind w:left="20"/>
              <w:spacing w:after="0"/>
              <w:rPr>
                <w:sz w:val="20"/>
                <w:szCs w:val="20"/>
                <w:color w:val="auto"/>
              </w:rPr>
            </w:pPr>
            <w:r>
              <w:rPr>
                <w:rFonts w:ascii="Arial" w:cs="Arial" w:eastAsia="Arial" w:hAnsi="Arial"/>
                <w:sz w:val="17"/>
                <w:szCs w:val="17"/>
                <w:color w:val="auto"/>
              </w:rPr>
              <w:t>31.2</w:t>
            </w:r>
          </w:p>
        </w:tc>
        <w:tc>
          <w:tcPr>
            <w:tcW w:w="10420" w:type="dxa"/>
            <w:vAlign w:val="bottom"/>
          </w:tcPr>
          <w:p>
            <w:pPr>
              <w:ind w:left="140"/>
              <w:spacing w:after="0"/>
              <w:rPr>
                <w:sz w:val="20"/>
                <w:szCs w:val="20"/>
                <w:color w:val="auto"/>
              </w:rPr>
            </w:pPr>
            <w:r>
              <w:rPr>
                <w:rFonts w:ascii="Arial" w:cs="Arial" w:eastAsia="Arial" w:hAnsi="Arial"/>
                <w:sz w:val="17"/>
                <w:szCs w:val="17"/>
                <w:color w:val="auto"/>
                <w:w w:val="90"/>
              </w:rPr>
              <w:t>Certification of the Chief Financial Officer of ExlService Holdings, pursuant to Rule 13a-14(a) of the Exchange Act, as adopted pursuant to Section 302</w:t>
            </w:r>
          </w:p>
        </w:tc>
        <w:tc>
          <w:tcPr>
            <w:tcW w:w="0" w:type="dxa"/>
            <w:vAlign w:val="bottom"/>
          </w:tcPr>
          <w:p>
            <w:pPr>
              <w:spacing w:after="0"/>
              <w:rPr>
                <w:sz w:val="1"/>
                <w:szCs w:val="1"/>
                <w:color w:val="auto"/>
              </w:rPr>
            </w:pPr>
          </w:p>
        </w:tc>
      </w:tr>
      <w:tr>
        <w:trPr>
          <w:trHeight w:val="214"/>
        </w:trPr>
        <w:tc>
          <w:tcPr>
            <w:tcW w:w="920" w:type="dxa"/>
            <w:vAlign w:val="bottom"/>
          </w:tcPr>
          <w:p>
            <w:pPr>
              <w:spacing w:after="0"/>
              <w:rPr>
                <w:sz w:val="18"/>
                <w:szCs w:val="18"/>
                <w:color w:val="auto"/>
              </w:rPr>
            </w:pPr>
          </w:p>
        </w:tc>
        <w:tc>
          <w:tcPr>
            <w:tcW w:w="10420" w:type="dxa"/>
            <w:vAlign w:val="bottom"/>
          </w:tcPr>
          <w:p>
            <w:pPr>
              <w:ind w:left="140"/>
              <w:spacing w:after="0"/>
              <w:rPr>
                <w:sz w:val="20"/>
                <w:szCs w:val="20"/>
                <w:color w:val="auto"/>
              </w:rPr>
            </w:pPr>
            <w:r>
              <w:rPr>
                <w:rFonts w:ascii="Arial" w:cs="Arial" w:eastAsia="Arial" w:hAnsi="Arial"/>
                <w:sz w:val="17"/>
                <w:szCs w:val="17"/>
                <w:color w:val="auto"/>
              </w:rPr>
              <w:t>of the Sarbanes-Oxley Act of 2002.</w:t>
            </w:r>
          </w:p>
        </w:tc>
        <w:tc>
          <w:tcPr>
            <w:tcW w:w="0" w:type="dxa"/>
            <w:vAlign w:val="bottom"/>
          </w:tcPr>
          <w:p>
            <w:pPr>
              <w:spacing w:after="0"/>
              <w:rPr>
                <w:sz w:val="1"/>
                <w:szCs w:val="1"/>
                <w:color w:val="auto"/>
              </w:rPr>
            </w:pPr>
          </w:p>
        </w:tc>
      </w:tr>
      <w:tr>
        <w:trPr>
          <w:trHeight w:val="355"/>
        </w:trPr>
        <w:tc>
          <w:tcPr>
            <w:tcW w:w="920" w:type="dxa"/>
            <w:vAlign w:val="bottom"/>
          </w:tcPr>
          <w:p>
            <w:pPr>
              <w:ind w:left="20"/>
              <w:spacing w:after="0"/>
              <w:rPr>
                <w:sz w:val="20"/>
                <w:szCs w:val="20"/>
                <w:color w:val="auto"/>
              </w:rPr>
            </w:pPr>
            <w:r>
              <w:rPr>
                <w:rFonts w:ascii="Arial" w:cs="Arial" w:eastAsia="Arial" w:hAnsi="Arial"/>
                <w:sz w:val="17"/>
                <w:szCs w:val="17"/>
                <w:color w:val="auto"/>
              </w:rPr>
              <w:t>32.1</w:t>
            </w:r>
          </w:p>
        </w:tc>
        <w:tc>
          <w:tcPr>
            <w:tcW w:w="10420" w:type="dxa"/>
            <w:vAlign w:val="bottom"/>
          </w:tcPr>
          <w:p>
            <w:pPr>
              <w:ind w:left="140"/>
              <w:spacing w:after="0"/>
              <w:rPr>
                <w:sz w:val="20"/>
                <w:szCs w:val="20"/>
                <w:color w:val="auto"/>
              </w:rPr>
            </w:pPr>
            <w:r>
              <w:rPr>
                <w:rFonts w:ascii="Arial" w:cs="Arial" w:eastAsia="Arial" w:hAnsi="Arial"/>
                <w:sz w:val="17"/>
                <w:szCs w:val="17"/>
                <w:color w:val="auto"/>
                <w:w w:val="90"/>
              </w:rPr>
              <w:t>Certification of the Chief Executive Officer pursuant to Rule 13a-14(b) of the Exchange Act and 18 U.S.C. Section 1350, as adopted pursuant to Section</w:t>
            </w:r>
          </w:p>
        </w:tc>
        <w:tc>
          <w:tcPr>
            <w:tcW w:w="0" w:type="dxa"/>
            <w:vAlign w:val="bottom"/>
          </w:tcPr>
          <w:p>
            <w:pPr>
              <w:spacing w:after="0"/>
              <w:rPr>
                <w:sz w:val="1"/>
                <w:szCs w:val="1"/>
                <w:color w:val="auto"/>
              </w:rPr>
            </w:pPr>
          </w:p>
        </w:tc>
      </w:tr>
      <w:tr>
        <w:trPr>
          <w:trHeight w:val="214"/>
        </w:trPr>
        <w:tc>
          <w:tcPr>
            <w:tcW w:w="920" w:type="dxa"/>
            <w:vAlign w:val="bottom"/>
          </w:tcPr>
          <w:p>
            <w:pPr>
              <w:spacing w:after="0"/>
              <w:rPr>
                <w:sz w:val="18"/>
                <w:szCs w:val="18"/>
                <w:color w:val="auto"/>
              </w:rPr>
            </w:pPr>
          </w:p>
        </w:tc>
        <w:tc>
          <w:tcPr>
            <w:tcW w:w="10420" w:type="dxa"/>
            <w:vAlign w:val="bottom"/>
          </w:tcPr>
          <w:p>
            <w:pPr>
              <w:ind w:left="140"/>
              <w:spacing w:after="0"/>
              <w:rPr>
                <w:sz w:val="20"/>
                <w:szCs w:val="20"/>
                <w:color w:val="auto"/>
              </w:rPr>
            </w:pPr>
            <w:r>
              <w:rPr>
                <w:rFonts w:ascii="Arial" w:cs="Arial" w:eastAsia="Arial" w:hAnsi="Arial"/>
                <w:sz w:val="17"/>
                <w:szCs w:val="17"/>
                <w:color w:val="auto"/>
              </w:rPr>
              <w:t>906 of the Sarbanes-Oxley Act of 2002.</w:t>
            </w:r>
          </w:p>
        </w:tc>
        <w:tc>
          <w:tcPr>
            <w:tcW w:w="0" w:type="dxa"/>
            <w:vAlign w:val="bottom"/>
          </w:tcPr>
          <w:p>
            <w:pPr>
              <w:spacing w:after="0"/>
              <w:rPr>
                <w:sz w:val="1"/>
                <w:szCs w:val="1"/>
                <w:color w:val="auto"/>
              </w:rPr>
            </w:pPr>
          </w:p>
        </w:tc>
      </w:tr>
      <w:tr>
        <w:trPr>
          <w:trHeight w:val="355"/>
        </w:trPr>
        <w:tc>
          <w:tcPr>
            <w:tcW w:w="920" w:type="dxa"/>
            <w:vAlign w:val="bottom"/>
          </w:tcPr>
          <w:p>
            <w:pPr>
              <w:ind w:left="20"/>
              <w:spacing w:after="0"/>
              <w:rPr>
                <w:sz w:val="20"/>
                <w:szCs w:val="20"/>
                <w:color w:val="auto"/>
              </w:rPr>
            </w:pPr>
            <w:r>
              <w:rPr>
                <w:rFonts w:ascii="Arial" w:cs="Arial" w:eastAsia="Arial" w:hAnsi="Arial"/>
                <w:sz w:val="17"/>
                <w:szCs w:val="17"/>
                <w:color w:val="auto"/>
              </w:rPr>
              <w:t>32.2</w:t>
            </w:r>
          </w:p>
        </w:tc>
        <w:tc>
          <w:tcPr>
            <w:tcW w:w="10420" w:type="dxa"/>
            <w:vAlign w:val="bottom"/>
          </w:tcPr>
          <w:p>
            <w:pPr>
              <w:ind w:left="140"/>
              <w:spacing w:after="0"/>
              <w:rPr>
                <w:sz w:val="20"/>
                <w:szCs w:val="20"/>
                <w:color w:val="auto"/>
              </w:rPr>
            </w:pPr>
            <w:r>
              <w:rPr>
                <w:rFonts w:ascii="Arial" w:cs="Arial" w:eastAsia="Arial" w:hAnsi="Arial"/>
                <w:sz w:val="17"/>
                <w:szCs w:val="17"/>
                <w:color w:val="auto"/>
                <w:w w:val="90"/>
              </w:rPr>
              <w:t>Certification of the Chief Financial Officer pursuant to Rule 13a-14(b) of the Exchange Act and 18 U.S.C. Section 1350, as adopted pursuant to Section</w:t>
            </w:r>
          </w:p>
        </w:tc>
        <w:tc>
          <w:tcPr>
            <w:tcW w:w="0" w:type="dxa"/>
            <w:vAlign w:val="bottom"/>
          </w:tcPr>
          <w:p>
            <w:pPr>
              <w:spacing w:after="0"/>
              <w:rPr>
                <w:sz w:val="1"/>
                <w:szCs w:val="1"/>
                <w:color w:val="auto"/>
              </w:rPr>
            </w:pPr>
          </w:p>
        </w:tc>
      </w:tr>
      <w:tr>
        <w:trPr>
          <w:trHeight w:val="214"/>
        </w:trPr>
        <w:tc>
          <w:tcPr>
            <w:tcW w:w="920" w:type="dxa"/>
            <w:vAlign w:val="bottom"/>
          </w:tcPr>
          <w:p>
            <w:pPr>
              <w:spacing w:after="0"/>
              <w:rPr>
                <w:sz w:val="18"/>
                <w:szCs w:val="18"/>
                <w:color w:val="auto"/>
              </w:rPr>
            </w:pPr>
          </w:p>
        </w:tc>
        <w:tc>
          <w:tcPr>
            <w:tcW w:w="10420" w:type="dxa"/>
            <w:vAlign w:val="bottom"/>
          </w:tcPr>
          <w:p>
            <w:pPr>
              <w:ind w:left="140"/>
              <w:spacing w:after="0"/>
              <w:rPr>
                <w:sz w:val="20"/>
                <w:szCs w:val="20"/>
                <w:color w:val="auto"/>
              </w:rPr>
            </w:pPr>
            <w:r>
              <w:rPr>
                <w:rFonts w:ascii="Arial" w:cs="Arial" w:eastAsia="Arial" w:hAnsi="Arial"/>
                <w:sz w:val="17"/>
                <w:szCs w:val="17"/>
                <w:color w:val="auto"/>
              </w:rPr>
              <w:t>906 of the Sarbanes-Oxley Act of 2002.</w:t>
            </w:r>
          </w:p>
        </w:tc>
        <w:tc>
          <w:tcPr>
            <w:tcW w:w="0" w:type="dxa"/>
            <w:vAlign w:val="bottom"/>
          </w:tcPr>
          <w:p>
            <w:pPr>
              <w:spacing w:after="0"/>
              <w:rPr>
                <w:sz w:val="1"/>
                <w:szCs w:val="1"/>
                <w:color w:val="auto"/>
              </w:rPr>
            </w:pPr>
          </w:p>
        </w:tc>
      </w:tr>
      <w:tr>
        <w:trPr>
          <w:trHeight w:val="367"/>
        </w:trPr>
        <w:tc>
          <w:tcPr>
            <w:tcW w:w="920" w:type="dxa"/>
            <w:vAlign w:val="bottom"/>
          </w:tcPr>
          <w:p>
            <w:pPr>
              <w:ind w:left="20"/>
              <w:spacing w:after="0"/>
              <w:rPr>
                <w:sz w:val="20"/>
                <w:szCs w:val="20"/>
                <w:color w:val="auto"/>
              </w:rPr>
            </w:pPr>
            <w:r>
              <w:rPr>
                <w:rFonts w:ascii="Arial" w:cs="Arial" w:eastAsia="Arial" w:hAnsi="Arial"/>
                <w:sz w:val="17"/>
                <w:szCs w:val="17"/>
                <w:color w:val="auto"/>
              </w:rPr>
              <w:t>101.INS</w:t>
            </w:r>
          </w:p>
        </w:tc>
        <w:tc>
          <w:tcPr>
            <w:tcW w:w="10420" w:type="dxa"/>
            <w:vAlign w:val="bottom"/>
          </w:tcPr>
          <w:p>
            <w:pPr>
              <w:ind w:left="140"/>
              <w:spacing w:after="0"/>
              <w:rPr>
                <w:sz w:val="20"/>
                <w:szCs w:val="20"/>
                <w:color w:val="auto"/>
              </w:rPr>
            </w:pPr>
            <w:r>
              <w:rPr>
                <w:rFonts w:ascii="Arial" w:cs="Arial" w:eastAsia="Arial" w:hAnsi="Arial"/>
                <w:sz w:val="17"/>
                <w:szCs w:val="17"/>
                <w:color w:val="auto"/>
              </w:rPr>
              <w:t>XBRL Instance Document</w:t>
            </w:r>
          </w:p>
        </w:tc>
        <w:tc>
          <w:tcPr>
            <w:tcW w:w="0" w:type="dxa"/>
            <w:vAlign w:val="bottom"/>
          </w:tcPr>
          <w:p>
            <w:pPr>
              <w:spacing w:after="0"/>
              <w:rPr>
                <w:sz w:val="1"/>
                <w:szCs w:val="1"/>
                <w:color w:val="auto"/>
              </w:rPr>
            </w:pPr>
          </w:p>
        </w:tc>
      </w:tr>
      <w:tr>
        <w:trPr>
          <w:trHeight w:val="367"/>
        </w:trPr>
        <w:tc>
          <w:tcPr>
            <w:tcW w:w="920" w:type="dxa"/>
            <w:vAlign w:val="bottom"/>
          </w:tcPr>
          <w:p>
            <w:pPr>
              <w:ind w:left="20"/>
              <w:spacing w:after="0"/>
              <w:rPr>
                <w:sz w:val="20"/>
                <w:szCs w:val="20"/>
                <w:color w:val="auto"/>
              </w:rPr>
            </w:pPr>
            <w:r>
              <w:rPr>
                <w:rFonts w:ascii="Arial" w:cs="Arial" w:eastAsia="Arial" w:hAnsi="Arial"/>
                <w:sz w:val="17"/>
                <w:szCs w:val="17"/>
                <w:color w:val="auto"/>
              </w:rPr>
              <w:t>101.SCH</w:t>
            </w:r>
          </w:p>
        </w:tc>
        <w:tc>
          <w:tcPr>
            <w:tcW w:w="10420" w:type="dxa"/>
            <w:vAlign w:val="bottom"/>
          </w:tcPr>
          <w:p>
            <w:pPr>
              <w:ind w:left="140"/>
              <w:spacing w:after="0"/>
              <w:rPr>
                <w:sz w:val="20"/>
                <w:szCs w:val="20"/>
                <w:color w:val="auto"/>
              </w:rPr>
            </w:pPr>
            <w:r>
              <w:rPr>
                <w:rFonts w:ascii="Arial" w:cs="Arial" w:eastAsia="Arial" w:hAnsi="Arial"/>
                <w:sz w:val="17"/>
                <w:szCs w:val="17"/>
                <w:color w:val="auto"/>
              </w:rPr>
              <w:t>XBRL Taxonomy Extension Scheme</w:t>
            </w:r>
          </w:p>
        </w:tc>
        <w:tc>
          <w:tcPr>
            <w:tcW w:w="0" w:type="dxa"/>
            <w:vAlign w:val="bottom"/>
          </w:tcPr>
          <w:p>
            <w:pPr>
              <w:spacing w:after="0"/>
              <w:rPr>
                <w:sz w:val="1"/>
                <w:szCs w:val="1"/>
                <w:color w:val="auto"/>
              </w:rPr>
            </w:pPr>
          </w:p>
        </w:tc>
      </w:tr>
      <w:tr>
        <w:trPr>
          <w:trHeight w:val="367"/>
        </w:trPr>
        <w:tc>
          <w:tcPr>
            <w:tcW w:w="920" w:type="dxa"/>
            <w:vAlign w:val="bottom"/>
          </w:tcPr>
          <w:p>
            <w:pPr>
              <w:ind w:left="20"/>
              <w:spacing w:after="0"/>
              <w:rPr>
                <w:sz w:val="20"/>
                <w:szCs w:val="20"/>
                <w:color w:val="auto"/>
              </w:rPr>
            </w:pPr>
            <w:r>
              <w:rPr>
                <w:rFonts w:ascii="Arial" w:cs="Arial" w:eastAsia="Arial" w:hAnsi="Arial"/>
                <w:sz w:val="17"/>
                <w:szCs w:val="17"/>
                <w:color w:val="auto"/>
              </w:rPr>
              <w:t>101.CAL</w:t>
            </w:r>
          </w:p>
        </w:tc>
        <w:tc>
          <w:tcPr>
            <w:tcW w:w="10420" w:type="dxa"/>
            <w:vAlign w:val="bottom"/>
          </w:tcPr>
          <w:p>
            <w:pPr>
              <w:ind w:left="140"/>
              <w:spacing w:after="0"/>
              <w:rPr>
                <w:sz w:val="20"/>
                <w:szCs w:val="20"/>
                <w:color w:val="auto"/>
              </w:rPr>
            </w:pPr>
            <w:r>
              <w:rPr>
                <w:rFonts w:ascii="Arial" w:cs="Arial" w:eastAsia="Arial" w:hAnsi="Arial"/>
                <w:sz w:val="17"/>
                <w:szCs w:val="17"/>
                <w:color w:val="auto"/>
              </w:rPr>
              <w:t>XBRL Taxonomy Extension Calculation Linkbase</w:t>
            </w:r>
          </w:p>
        </w:tc>
        <w:tc>
          <w:tcPr>
            <w:tcW w:w="0" w:type="dxa"/>
            <w:vAlign w:val="bottom"/>
          </w:tcPr>
          <w:p>
            <w:pPr>
              <w:spacing w:after="0"/>
              <w:rPr>
                <w:sz w:val="1"/>
                <w:szCs w:val="1"/>
                <w:color w:val="auto"/>
              </w:rPr>
            </w:pPr>
          </w:p>
        </w:tc>
      </w:tr>
      <w:tr>
        <w:trPr>
          <w:trHeight w:val="367"/>
        </w:trPr>
        <w:tc>
          <w:tcPr>
            <w:tcW w:w="920" w:type="dxa"/>
            <w:vAlign w:val="bottom"/>
          </w:tcPr>
          <w:p>
            <w:pPr>
              <w:ind w:left="20"/>
              <w:spacing w:after="0"/>
              <w:rPr>
                <w:sz w:val="20"/>
                <w:szCs w:val="20"/>
                <w:color w:val="auto"/>
              </w:rPr>
            </w:pPr>
            <w:r>
              <w:rPr>
                <w:rFonts w:ascii="Arial" w:cs="Arial" w:eastAsia="Arial" w:hAnsi="Arial"/>
                <w:sz w:val="17"/>
                <w:szCs w:val="17"/>
                <w:color w:val="auto"/>
              </w:rPr>
              <w:t>101.DEF</w:t>
            </w:r>
          </w:p>
        </w:tc>
        <w:tc>
          <w:tcPr>
            <w:tcW w:w="10420" w:type="dxa"/>
            <w:vAlign w:val="bottom"/>
          </w:tcPr>
          <w:p>
            <w:pPr>
              <w:ind w:left="140"/>
              <w:spacing w:after="0"/>
              <w:rPr>
                <w:sz w:val="20"/>
                <w:szCs w:val="20"/>
                <w:color w:val="auto"/>
              </w:rPr>
            </w:pPr>
            <w:r>
              <w:rPr>
                <w:rFonts w:ascii="Arial" w:cs="Arial" w:eastAsia="Arial" w:hAnsi="Arial"/>
                <w:sz w:val="17"/>
                <w:szCs w:val="17"/>
                <w:color w:val="auto"/>
              </w:rPr>
              <w:t>XBRL Taxonomy Extension Definition Linkbase</w:t>
            </w:r>
          </w:p>
        </w:tc>
        <w:tc>
          <w:tcPr>
            <w:tcW w:w="0" w:type="dxa"/>
            <w:vAlign w:val="bottom"/>
          </w:tcPr>
          <w:p>
            <w:pPr>
              <w:spacing w:after="0"/>
              <w:rPr>
                <w:sz w:val="1"/>
                <w:szCs w:val="1"/>
                <w:color w:val="auto"/>
              </w:rPr>
            </w:pPr>
          </w:p>
        </w:tc>
      </w:tr>
      <w:tr>
        <w:trPr>
          <w:trHeight w:val="367"/>
        </w:trPr>
        <w:tc>
          <w:tcPr>
            <w:tcW w:w="920" w:type="dxa"/>
            <w:vAlign w:val="bottom"/>
          </w:tcPr>
          <w:p>
            <w:pPr>
              <w:ind w:left="20"/>
              <w:spacing w:after="0"/>
              <w:rPr>
                <w:sz w:val="20"/>
                <w:szCs w:val="20"/>
                <w:color w:val="auto"/>
              </w:rPr>
            </w:pPr>
            <w:r>
              <w:rPr>
                <w:rFonts w:ascii="Arial" w:cs="Arial" w:eastAsia="Arial" w:hAnsi="Arial"/>
                <w:sz w:val="17"/>
                <w:szCs w:val="17"/>
                <w:color w:val="auto"/>
              </w:rPr>
              <w:t>101.LAB</w:t>
            </w:r>
          </w:p>
        </w:tc>
        <w:tc>
          <w:tcPr>
            <w:tcW w:w="10420" w:type="dxa"/>
            <w:vAlign w:val="bottom"/>
          </w:tcPr>
          <w:p>
            <w:pPr>
              <w:ind w:left="140"/>
              <w:spacing w:after="0"/>
              <w:rPr>
                <w:sz w:val="20"/>
                <w:szCs w:val="20"/>
                <w:color w:val="auto"/>
              </w:rPr>
            </w:pPr>
            <w:r>
              <w:rPr>
                <w:rFonts w:ascii="Arial" w:cs="Arial" w:eastAsia="Arial" w:hAnsi="Arial"/>
                <w:sz w:val="17"/>
                <w:szCs w:val="17"/>
                <w:color w:val="auto"/>
              </w:rPr>
              <w:t>XBRL Taxonomy Extension Label Linkbase</w:t>
            </w:r>
          </w:p>
        </w:tc>
        <w:tc>
          <w:tcPr>
            <w:tcW w:w="0" w:type="dxa"/>
            <w:vAlign w:val="bottom"/>
          </w:tcPr>
          <w:p>
            <w:pPr>
              <w:spacing w:after="0"/>
              <w:rPr>
                <w:sz w:val="1"/>
                <w:szCs w:val="1"/>
                <w:color w:val="auto"/>
              </w:rPr>
            </w:pPr>
          </w:p>
        </w:tc>
      </w:tr>
      <w:tr>
        <w:trPr>
          <w:trHeight w:val="367"/>
        </w:trPr>
        <w:tc>
          <w:tcPr>
            <w:tcW w:w="920" w:type="dxa"/>
            <w:vAlign w:val="bottom"/>
          </w:tcPr>
          <w:p>
            <w:pPr>
              <w:ind w:left="20"/>
              <w:spacing w:after="0"/>
              <w:rPr>
                <w:sz w:val="20"/>
                <w:szCs w:val="20"/>
                <w:color w:val="auto"/>
              </w:rPr>
            </w:pPr>
            <w:r>
              <w:rPr>
                <w:rFonts w:ascii="Arial" w:cs="Arial" w:eastAsia="Arial" w:hAnsi="Arial"/>
                <w:sz w:val="17"/>
                <w:szCs w:val="17"/>
                <w:color w:val="auto"/>
              </w:rPr>
              <w:t>101.PRE</w:t>
            </w:r>
          </w:p>
        </w:tc>
        <w:tc>
          <w:tcPr>
            <w:tcW w:w="10420" w:type="dxa"/>
            <w:vAlign w:val="bottom"/>
          </w:tcPr>
          <w:p>
            <w:pPr>
              <w:ind w:left="140"/>
              <w:spacing w:after="0"/>
              <w:rPr>
                <w:sz w:val="20"/>
                <w:szCs w:val="20"/>
                <w:color w:val="auto"/>
              </w:rPr>
            </w:pPr>
            <w:r>
              <w:rPr>
                <w:rFonts w:ascii="Arial" w:cs="Arial" w:eastAsia="Arial" w:hAnsi="Arial"/>
                <w:sz w:val="17"/>
                <w:szCs w:val="17"/>
                <w:color w:val="auto"/>
              </w:rPr>
              <w:t>XBRL Extension Presentation Linkbase</w:t>
            </w:r>
          </w:p>
        </w:tc>
        <w:tc>
          <w:tcPr>
            <w:tcW w:w="0" w:type="dxa"/>
            <w:vAlign w:val="bottom"/>
          </w:tcPr>
          <w:p>
            <w:pPr>
              <w:spacing w:after="0"/>
              <w:rPr>
                <w:sz w:val="1"/>
                <w:szCs w:val="1"/>
                <w:color w:val="auto"/>
              </w:rPr>
            </w:pPr>
          </w:p>
        </w:tc>
      </w:tr>
      <w:tr>
        <w:trPr>
          <w:trHeight w:val="140"/>
        </w:trPr>
        <w:tc>
          <w:tcPr>
            <w:tcW w:w="920" w:type="dxa"/>
            <w:vAlign w:val="bottom"/>
            <w:tcBorders>
              <w:bottom w:val="single" w:sz="8" w:color="auto"/>
            </w:tcBorders>
          </w:tcPr>
          <w:p>
            <w:pPr>
              <w:spacing w:after="0"/>
              <w:rPr>
                <w:sz w:val="12"/>
                <w:szCs w:val="12"/>
                <w:color w:val="auto"/>
              </w:rPr>
            </w:pPr>
          </w:p>
        </w:tc>
        <w:tc>
          <w:tcPr>
            <w:tcW w:w="10420" w:type="dxa"/>
            <w:vAlign w:val="bottom"/>
            <w:vMerge w:val="restart"/>
          </w:tcPr>
          <w:p>
            <w:pPr>
              <w:ind w:left="4700"/>
              <w:spacing w:after="0"/>
              <w:rPr>
                <w:sz w:val="20"/>
                <w:szCs w:val="20"/>
                <w:color w:val="auto"/>
              </w:rPr>
            </w:pPr>
            <w:r>
              <w:rPr>
                <w:rFonts w:ascii="Arial" w:cs="Arial" w:eastAsia="Arial" w:hAnsi="Arial"/>
                <w:sz w:val="17"/>
                <w:szCs w:val="17"/>
                <w:color w:val="auto"/>
              </w:rPr>
              <w:t>43</w:t>
            </w:r>
          </w:p>
        </w:tc>
        <w:tc>
          <w:tcPr>
            <w:tcW w:w="0" w:type="dxa"/>
            <w:vAlign w:val="bottom"/>
          </w:tcPr>
          <w:p>
            <w:pPr>
              <w:spacing w:after="0"/>
              <w:rPr>
                <w:sz w:val="1"/>
                <w:szCs w:val="1"/>
                <w:color w:val="auto"/>
              </w:rPr>
            </w:pPr>
          </w:p>
        </w:tc>
      </w:tr>
      <w:tr>
        <w:trPr>
          <w:trHeight w:val="624"/>
        </w:trPr>
        <w:tc>
          <w:tcPr>
            <w:tcW w:w="920" w:type="dxa"/>
            <w:vAlign w:val="bottom"/>
          </w:tcPr>
          <w:p>
            <w:pPr>
              <w:spacing w:after="0"/>
              <w:rPr>
                <w:sz w:val="24"/>
                <w:szCs w:val="24"/>
                <w:color w:val="auto"/>
              </w:rPr>
            </w:pPr>
          </w:p>
        </w:tc>
        <w:tc>
          <w:tcPr>
            <w:tcW w:w="10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325" w:right="319" w:bottom="1440" w:gutter="0" w:footer="0" w:header="0"/>
        </w:sectPr>
      </w:pPr>
    </w:p>
    <w:bookmarkStart w:id="43" w:name="page44"/>
    <w:bookmarkEnd w:id="43"/>
    <w:p>
      <w:pPr>
        <w:jc w:val="right"/>
        <w:spacing w:after="0"/>
        <w:rPr>
          <w:sz w:val="20"/>
          <w:szCs w:val="20"/>
          <w:color w:val="auto"/>
        </w:rPr>
      </w:pPr>
      <w:r>
        <w:rPr>
          <w:rFonts w:ascii="Arial" w:cs="Arial" w:eastAsia="Arial" w:hAnsi="Arial"/>
          <w:sz w:val="20"/>
          <w:szCs w:val="20"/>
          <w:b w:val="1"/>
          <w:bCs w:val="1"/>
          <w:color w:val="auto"/>
        </w:rPr>
        <w:t>Exhibit 10.1</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EXLSERVICE HOLDINGS,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2015 AMENDMENT AND RESTATEMENT</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OF THE</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2006 OMNIBUS AWARD PLAN</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[FORM OF] RESTRICTED STOCK UNIT AGREEMENT (U.S.)</w:t>
      </w:r>
    </w:p>
    <w:p>
      <w:pPr>
        <w:spacing w:after="0" w:line="212" w:lineRule="exact"/>
        <w:rPr>
          <w:sz w:val="20"/>
          <w:szCs w:val="20"/>
          <w:color w:val="auto"/>
        </w:rPr>
      </w:pPr>
    </w:p>
    <w:p>
      <w:pPr>
        <w:ind w:right="480" w:firstLine="1213"/>
        <w:spacing w:after="0" w:line="275" w:lineRule="auto"/>
        <w:rPr>
          <w:sz w:val="20"/>
          <w:szCs w:val="20"/>
          <w:color w:val="auto"/>
        </w:rPr>
      </w:pPr>
      <w:r>
        <w:rPr>
          <w:rFonts w:ascii="Arial" w:cs="Arial" w:eastAsia="Arial" w:hAnsi="Arial"/>
          <w:sz w:val="19"/>
          <w:szCs w:val="19"/>
          <w:color w:val="auto"/>
        </w:rPr>
        <w:t>THIS RESTRICTED STOCK UNIT AGREEMENT (the “</w:t>
      </w:r>
      <w:r>
        <w:rPr>
          <w:rFonts w:ascii="Arial" w:cs="Arial" w:eastAsia="Arial" w:hAnsi="Arial"/>
          <w:sz w:val="19"/>
          <w:szCs w:val="19"/>
          <w:u w:val="single" w:color="auto"/>
          <w:color w:val="auto"/>
        </w:rPr>
        <w:t>Agreement</w:t>
      </w:r>
      <w:r>
        <w:rPr>
          <w:rFonts w:ascii="Arial" w:cs="Arial" w:eastAsia="Arial" w:hAnsi="Arial"/>
          <w:sz w:val="19"/>
          <w:szCs w:val="19"/>
          <w:color w:val="auto"/>
        </w:rPr>
        <w:t>”), is made, effective as of the [</w:t>
      </w:r>
      <w:r>
        <w:rPr>
          <w:rFonts w:ascii="Arial" w:cs="Arial" w:eastAsia="Arial" w:hAnsi="Arial"/>
          <w:sz w:val="19"/>
          <w:szCs w:val="19"/>
          <w:b w:val="1"/>
          <w:bCs w:val="1"/>
          <w:color w:val="auto"/>
        </w:rPr>
        <w:t>INSERT GRANT</w:t>
      </w:r>
      <w:r>
        <w:rPr>
          <w:rFonts w:ascii="Arial" w:cs="Arial" w:eastAsia="Arial" w:hAnsi="Arial"/>
          <w:sz w:val="19"/>
          <w:szCs w:val="19"/>
          <w:color w:val="auto"/>
        </w:rPr>
        <w:t xml:space="preserve"> </w:t>
      </w:r>
      <w:r>
        <w:rPr>
          <w:rFonts w:ascii="Arial" w:cs="Arial" w:eastAsia="Arial" w:hAnsi="Arial"/>
          <w:sz w:val="19"/>
          <w:szCs w:val="19"/>
          <w:b w:val="1"/>
          <w:bCs w:val="1"/>
          <w:color w:val="auto"/>
        </w:rPr>
        <w:t>DATE</w:t>
      </w:r>
      <w:r>
        <w:rPr>
          <w:rFonts w:ascii="Arial" w:cs="Arial" w:eastAsia="Arial" w:hAnsi="Arial"/>
          <w:sz w:val="19"/>
          <w:szCs w:val="19"/>
          <w:color w:val="auto"/>
        </w:rPr>
        <w:t>] (hereinafter the “</w:t>
      </w:r>
      <w:r>
        <w:rPr>
          <w:rFonts w:ascii="Arial" w:cs="Arial" w:eastAsia="Arial" w:hAnsi="Arial"/>
          <w:sz w:val="19"/>
          <w:szCs w:val="19"/>
          <w:u w:val="single" w:color="auto"/>
          <w:color w:val="auto"/>
        </w:rPr>
        <w:t>Date of Grant</w:t>
      </w:r>
      <w:r>
        <w:rPr>
          <w:rFonts w:ascii="Arial" w:cs="Arial" w:eastAsia="Arial" w:hAnsi="Arial"/>
          <w:sz w:val="19"/>
          <w:szCs w:val="19"/>
          <w:color w:val="auto"/>
        </w:rPr>
        <w:t>”) by and between ExlService Holdings, Inc. a Delaware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and</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 (the “</w:t>
      </w:r>
      <w:r>
        <w:rPr>
          <w:rFonts w:ascii="Arial" w:cs="Arial" w:eastAsia="Arial" w:hAnsi="Arial"/>
          <w:sz w:val="20"/>
          <w:szCs w:val="20"/>
          <w:u w:val="single" w:color="auto"/>
          <w:color w:val="auto"/>
        </w:rPr>
        <w:t>Participant</w:t>
      </w:r>
      <w:r>
        <w:rPr>
          <w:rFonts w:ascii="Arial" w:cs="Arial" w:eastAsia="Arial" w:hAnsi="Arial"/>
          <w:sz w:val="20"/>
          <w:szCs w:val="20"/>
          <w:color w:val="auto"/>
        </w:rPr>
        <w:t>”).</w:t>
      </w:r>
    </w:p>
    <w:p>
      <w:pPr>
        <w:spacing w:after="0" w:line="194" w:lineRule="exact"/>
        <w:rPr>
          <w:sz w:val="20"/>
          <w:szCs w:val="20"/>
          <w:color w:val="auto"/>
        </w:rPr>
      </w:pPr>
    </w:p>
    <w:p>
      <w:pPr>
        <w:ind w:right="720" w:firstLine="1213"/>
        <w:spacing w:after="0" w:line="280" w:lineRule="auto"/>
        <w:rPr>
          <w:sz w:val="20"/>
          <w:szCs w:val="20"/>
          <w:color w:val="auto"/>
        </w:rPr>
      </w:pPr>
      <w:r>
        <w:rPr>
          <w:rFonts w:ascii="Arial" w:cs="Arial" w:eastAsia="Arial" w:hAnsi="Arial"/>
          <w:sz w:val="20"/>
          <w:szCs w:val="20"/>
          <w:color w:val="auto"/>
        </w:rPr>
        <w:t>WHEREAS, the Company has adopted the ExlService Holdings, Inc. 2015 Amendment and Restatement of the 2006 Omnibus Award Plan (the “</w:t>
      </w:r>
      <w:r>
        <w:rPr>
          <w:rFonts w:ascii="Arial" w:cs="Arial" w:eastAsia="Arial" w:hAnsi="Arial"/>
          <w:sz w:val="20"/>
          <w:szCs w:val="20"/>
          <w:u w:val="single" w:color="auto"/>
          <w:color w:val="auto"/>
        </w:rPr>
        <w:t>Plan</w:t>
      </w:r>
      <w:r>
        <w:rPr>
          <w:rFonts w:ascii="Arial" w:cs="Arial" w:eastAsia="Arial" w:hAnsi="Arial"/>
          <w:sz w:val="20"/>
          <w:szCs w:val="20"/>
          <w:color w:val="auto"/>
        </w:rPr>
        <w:t>”), pursuant to which awards of Restricted Stock Units may be granted; and</w:t>
      </w:r>
    </w:p>
    <w:p>
      <w:pPr>
        <w:spacing w:after="0" w:line="146" w:lineRule="exact"/>
        <w:rPr>
          <w:sz w:val="20"/>
          <w:szCs w:val="20"/>
          <w:color w:val="auto"/>
        </w:rPr>
      </w:pPr>
    </w:p>
    <w:p>
      <w:pPr>
        <w:ind w:right="80" w:firstLine="1213"/>
        <w:spacing w:after="0" w:line="265" w:lineRule="auto"/>
        <w:rPr>
          <w:sz w:val="20"/>
          <w:szCs w:val="20"/>
          <w:color w:val="auto"/>
        </w:rPr>
      </w:pPr>
      <w:r>
        <w:rPr>
          <w:rFonts w:ascii="Arial" w:cs="Arial" w:eastAsia="Arial" w:hAnsi="Arial"/>
          <w:sz w:val="20"/>
          <w:szCs w:val="20"/>
          <w:color w:val="auto"/>
        </w:rPr>
        <w:t>WHEREAS, the Compensation Committee of the Board of Directors of the Company (the “</w:t>
      </w:r>
      <w:r>
        <w:rPr>
          <w:rFonts w:ascii="Arial" w:cs="Arial" w:eastAsia="Arial" w:hAnsi="Arial"/>
          <w:sz w:val="20"/>
          <w:szCs w:val="20"/>
          <w:u w:val="single" w:color="auto"/>
          <w:color w:val="auto"/>
        </w:rPr>
        <w:t>Committee</w:t>
      </w:r>
      <w:r>
        <w:rPr>
          <w:rFonts w:ascii="Arial" w:cs="Arial" w:eastAsia="Arial" w:hAnsi="Arial"/>
          <w:sz w:val="20"/>
          <w:szCs w:val="20"/>
          <w:color w:val="auto"/>
        </w:rPr>
        <w:t>”) has determined that it is in the best interests of the Company and its stockholders to grant to the Participant an award of Restricted Stock Units as provided herein and subject to the terms set forth herein.</w:t>
      </w:r>
    </w:p>
    <w:p>
      <w:pPr>
        <w:spacing w:after="0" w:line="161" w:lineRule="exact"/>
        <w:rPr>
          <w:sz w:val="20"/>
          <w:szCs w:val="20"/>
          <w:color w:val="auto"/>
        </w:rPr>
      </w:pPr>
    </w:p>
    <w:p>
      <w:pPr>
        <w:ind w:right="200" w:firstLine="1213"/>
        <w:spacing w:after="0" w:line="265" w:lineRule="auto"/>
        <w:rPr>
          <w:sz w:val="20"/>
          <w:szCs w:val="20"/>
          <w:color w:val="auto"/>
        </w:rPr>
      </w:pPr>
      <w:r>
        <w:rPr>
          <w:rFonts w:ascii="Arial" w:cs="Arial" w:eastAsia="Arial" w:hAnsi="Arial"/>
          <w:sz w:val="20"/>
          <w:szCs w:val="20"/>
          <w:color w:val="auto"/>
        </w:rPr>
        <w:t>NOW THEREFORE, for and in consideration of the premises and the covenants of the parties contained in this Agreement, and for other good and valuable consideration, the receipt of which is hereby acknowledged, the parties hereto, for themselves, their successors and assigns, hereby agree as follows:</w:t>
      </w:r>
    </w:p>
    <w:p>
      <w:pPr>
        <w:spacing w:after="0" w:line="161" w:lineRule="exact"/>
        <w:rPr>
          <w:sz w:val="20"/>
          <w:szCs w:val="20"/>
          <w:color w:val="auto"/>
        </w:rPr>
      </w:pPr>
    </w:p>
    <w:p>
      <w:pPr>
        <w:ind w:left="600" w:right="160" w:firstLine="539"/>
        <w:spacing w:after="0" w:line="255" w:lineRule="auto"/>
        <w:tabs>
          <w:tab w:leader="none" w:pos="1940" w:val="left"/>
        </w:tabs>
        <w:numPr>
          <w:ilvl w:val="0"/>
          <w:numId w:val="14"/>
        </w:numPr>
        <w:rPr>
          <w:rFonts w:ascii="Arial" w:cs="Arial" w:eastAsia="Arial" w:hAnsi="Arial"/>
          <w:sz w:val="17"/>
          <w:szCs w:val="17"/>
          <w:color w:val="auto"/>
        </w:rPr>
      </w:pPr>
      <w:r>
        <w:rPr>
          <w:rFonts w:ascii="Arial" w:cs="Arial" w:eastAsia="Arial" w:hAnsi="Arial"/>
          <w:sz w:val="20"/>
          <w:szCs w:val="20"/>
          <w:u w:val="single" w:color="auto"/>
          <w:color w:val="auto"/>
        </w:rPr>
        <w:t>Grant of Restricted Stock Units</w:t>
      </w:r>
      <w:r>
        <w:rPr>
          <w:rFonts w:ascii="Arial" w:cs="Arial" w:eastAsia="Arial" w:hAnsi="Arial"/>
          <w:sz w:val="20"/>
          <w:szCs w:val="20"/>
          <w:color w:val="auto"/>
        </w:rPr>
        <w:t>. The Company hereby grants on the Date of Grant, to the Participant a total of [•] Restricted Stock Units (the “</w:t>
      </w:r>
      <w:r>
        <w:rPr>
          <w:rFonts w:ascii="Arial" w:cs="Arial" w:eastAsia="Arial" w:hAnsi="Arial"/>
          <w:sz w:val="20"/>
          <w:szCs w:val="20"/>
          <w:u w:val="single" w:color="auto"/>
          <w:color w:val="auto"/>
        </w:rPr>
        <w:t>Award</w:t>
      </w:r>
      <w:r>
        <w:rPr>
          <w:rFonts w:ascii="Arial" w:cs="Arial" w:eastAsia="Arial" w:hAnsi="Arial"/>
          <w:sz w:val="20"/>
          <w:szCs w:val="20"/>
          <w:color w:val="auto"/>
        </w:rPr>
        <w:t>”) on the terms and conditions set forth in this Agreement and as otherwise provided in the Plan. Such Restricted Stock Units shall be credited to a separate account maintained for the Participant on the books of the Company (the “</w:t>
      </w:r>
      <w:r>
        <w:rPr>
          <w:rFonts w:ascii="Arial" w:cs="Arial" w:eastAsia="Arial" w:hAnsi="Arial"/>
          <w:sz w:val="20"/>
          <w:szCs w:val="20"/>
          <w:u w:val="single" w:color="auto"/>
          <w:color w:val="auto"/>
        </w:rPr>
        <w:t>Account</w:t>
      </w:r>
      <w:r>
        <w:rPr>
          <w:rFonts w:ascii="Arial" w:cs="Arial" w:eastAsia="Arial" w:hAnsi="Arial"/>
          <w:sz w:val="20"/>
          <w:szCs w:val="20"/>
          <w:color w:val="auto"/>
        </w:rPr>
        <w:t>”). On any given date, the value of each Restricted Stock Unit comprising the Award shall equal the Fair Market Value of one share of Common Stock. The Award shall vest in accordance with Section 3 hereof and settle in accordance with Section 4 hereof.</w:t>
      </w:r>
    </w:p>
    <w:p>
      <w:pPr>
        <w:spacing w:after="0" w:line="5" w:lineRule="exact"/>
        <w:rPr>
          <w:rFonts w:ascii="Arial" w:cs="Arial" w:eastAsia="Arial" w:hAnsi="Arial"/>
          <w:sz w:val="17"/>
          <w:szCs w:val="17"/>
          <w:color w:val="auto"/>
        </w:rPr>
      </w:pPr>
    </w:p>
    <w:p>
      <w:pPr>
        <w:ind w:right="80" w:firstLine="1214"/>
        <w:spacing w:after="0" w:line="281" w:lineRule="auto"/>
        <w:tabs>
          <w:tab w:leader="none" w:pos="1946" w:val="left"/>
        </w:tabs>
        <w:numPr>
          <w:ilvl w:val="1"/>
          <w:numId w:val="14"/>
        </w:numPr>
        <w:rPr>
          <w:rFonts w:ascii="Arial" w:cs="Arial" w:eastAsia="Arial" w:hAnsi="Arial"/>
          <w:sz w:val="15"/>
          <w:szCs w:val="15"/>
          <w:color w:val="auto"/>
        </w:rPr>
      </w:pPr>
      <w:r>
        <w:rPr>
          <w:rFonts w:ascii="Arial" w:cs="Arial" w:eastAsia="Arial" w:hAnsi="Arial"/>
          <w:sz w:val="18"/>
          <w:szCs w:val="18"/>
          <w:u w:val="single" w:color="auto"/>
          <w:color w:val="auto"/>
        </w:rPr>
        <w:t>Incorporation by Reference, Etc</w:t>
      </w:r>
      <w:r>
        <w:rPr>
          <w:rFonts w:ascii="Arial" w:cs="Arial" w:eastAsia="Arial" w:hAnsi="Arial"/>
          <w:sz w:val="18"/>
          <w:szCs w:val="18"/>
          <w:color w:val="auto"/>
        </w:rPr>
        <w:t>. The provisions of the Plan are hereby incorporated herein by reference. Except as otherwise expressly set forth herein, this Agreement shall be construed in accordance with the provisions of the Plan and any capitalized terms not otherwise defined in this Agreement shall have the definitions set forth in the Plan. The Committee shall have final authority to interpret and construe the Plan and this Agreement and to make any and all determinations under them, and its decision shall be binding and conclusive upon the Participant and his legal representative in respect of any questions arising under the Plan or this Agreement.</w:t>
      </w:r>
    </w:p>
    <w:p>
      <w:pPr>
        <w:spacing w:after="0" w:line="1" w:lineRule="exact"/>
        <w:rPr>
          <w:rFonts w:ascii="Arial" w:cs="Arial" w:eastAsia="Arial" w:hAnsi="Arial"/>
          <w:sz w:val="15"/>
          <w:szCs w:val="15"/>
          <w:color w:val="auto"/>
        </w:rPr>
      </w:pPr>
    </w:p>
    <w:p>
      <w:pPr>
        <w:ind w:left="1940" w:hanging="726"/>
        <w:spacing w:after="0"/>
        <w:tabs>
          <w:tab w:leader="none" w:pos="1940" w:val="left"/>
        </w:tabs>
        <w:numPr>
          <w:ilvl w:val="1"/>
          <w:numId w:val="14"/>
        </w:numPr>
        <w:rPr>
          <w:rFonts w:ascii="Arial" w:cs="Arial" w:eastAsia="Arial" w:hAnsi="Arial"/>
          <w:sz w:val="16"/>
          <w:szCs w:val="16"/>
          <w:color w:val="auto"/>
        </w:rPr>
      </w:pPr>
      <w:r>
        <w:rPr>
          <w:rFonts w:ascii="Arial" w:cs="Arial" w:eastAsia="Arial" w:hAnsi="Arial"/>
          <w:sz w:val="19"/>
          <w:szCs w:val="19"/>
          <w:u w:val="single" w:color="auto"/>
          <w:color w:val="auto"/>
        </w:rPr>
        <w:t>Vesting</w:t>
      </w:r>
      <w:r>
        <w:rPr>
          <w:rFonts w:ascii="Arial" w:cs="Arial" w:eastAsia="Arial" w:hAnsi="Arial"/>
          <w:sz w:val="19"/>
          <w:szCs w:val="19"/>
          <w:color w:val="auto"/>
        </w:rPr>
        <w:t>. Each day on which a portion of the Award vests in accordance with this Agreement is referred to as a</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Vesting Date</w:t>
      </w:r>
      <w:r>
        <w:rPr>
          <w:rFonts w:ascii="Arial" w:cs="Arial" w:eastAsia="Arial" w:hAnsi="Arial"/>
          <w:sz w:val="20"/>
          <w:szCs w:val="20"/>
          <w:color w:val="auto"/>
        </w:rPr>
        <w:t>”.</w:t>
      </w:r>
    </w:p>
    <w:p>
      <w:pPr>
        <w:spacing w:after="0" w:line="23" w:lineRule="exact"/>
        <w:rPr>
          <w:sz w:val="20"/>
          <w:szCs w:val="20"/>
          <w:color w:val="auto"/>
        </w:rPr>
      </w:pPr>
    </w:p>
    <w:p>
      <w:pPr>
        <w:ind w:right="180" w:firstLine="1821"/>
        <w:spacing w:after="0" w:line="331" w:lineRule="auto"/>
        <w:tabs>
          <w:tab w:leader="none" w:pos="2613" w:val="left"/>
        </w:tabs>
        <w:numPr>
          <w:ilvl w:val="0"/>
          <w:numId w:val="15"/>
        </w:numPr>
        <w:rPr>
          <w:rFonts w:ascii="Arial" w:cs="Arial" w:eastAsia="Arial" w:hAnsi="Arial"/>
          <w:sz w:val="15"/>
          <w:szCs w:val="15"/>
          <w:color w:val="auto"/>
        </w:rPr>
      </w:pPr>
      <w:r>
        <w:rPr>
          <w:rFonts w:ascii="Arial" w:cs="Arial" w:eastAsia="Arial" w:hAnsi="Arial"/>
          <w:sz w:val="18"/>
          <w:szCs w:val="18"/>
          <w:color w:val="auto"/>
        </w:rPr>
        <w:t>Except as may otherwise be provided herein, subject to the Participant’s continued employment with the Company through each applicable Vesting Date listed in the chart below (the “</w:t>
      </w:r>
      <w:r>
        <w:rPr>
          <w:rFonts w:ascii="Arial" w:cs="Arial" w:eastAsia="Arial" w:hAnsi="Arial"/>
          <w:sz w:val="18"/>
          <w:szCs w:val="18"/>
          <w:u w:val="single" w:color="auto"/>
          <w:color w:val="auto"/>
        </w:rPr>
        <w:t>Vesting Chart</w:t>
      </w:r>
      <w:r>
        <w:rPr>
          <w:rFonts w:ascii="Arial" w:cs="Arial" w:eastAsia="Arial" w:hAnsi="Arial"/>
          <w:sz w:val="18"/>
          <w:szCs w:val="18"/>
          <w:color w:val="auto"/>
        </w:rPr>
        <w:t>”), the Awards shall become vested as follows:</w:t>
      </w:r>
    </w:p>
    <w:p>
      <w:pPr>
        <w:sectPr>
          <w:pgSz w:w="11900" w:h="16838" w:orient="portrait"/>
          <w:cols w:equalWidth="0" w:num="1">
            <w:col w:w="11420"/>
          </w:cols>
          <w:pgMar w:left="240" w:top="1163" w:right="239" w:bottom="1440" w:gutter="0" w:footer="0" w:header="0"/>
        </w:sectPr>
      </w:pPr>
    </w:p>
    <w:bookmarkStart w:id="44" w:name="page45"/>
    <w:bookmarkEnd w:id="44"/>
    <w:tbl>
      <w:tblPr>
        <w:tblLayout w:type="fixed"/>
        <w:tblInd w:w="270" w:type="dxa"/>
        <w:tblCellMar>
          <w:top w:w="0" w:type="dxa"/>
          <w:left w:w="0" w:type="dxa"/>
          <w:bottom w:w="0" w:type="dxa"/>
          <w:right w:w="0" w:type="dxa"/>
        </w:tblCellMar>
      </w:tblPr>
      <w:tr>
        <w:trPr>
          <w:trHeight w:val="240"/>
        </w:trPr>
        <w:tc>
          <w:tcPr>
            <w:tcW w:w="43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8"/>
              </w:rPr>
              <w:t>Percent of Awards Vesting</w:t>
            </w:r>
          </w:p>
        </w:tc>
        <w:tc>
          <w:tcPr>
            <w:tcW w:w="4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8"/>
              </w:rPr>
              <w:t>Vesting Date</w:t>
            </w:r>
          </w:p>
        </w:tc>
      </w:tr>
      <w:tr>
        <w:trPr>
          <w:trHeight w:val="26"/>
        </w:trPr>
        <w:tc>
          <w:tcPr>
            <w:tcW w:w="4360" w:type="dxa"/>
            <w:vAlign w:val="bottom"/>
            <w:tcBorders>
              <w:left w:val="single" w:sz="8" w:color="auto"/>
              <w:bottom w:val="single" w:sz="8" w:color="auto"/>
              <w:right w:val="single" w:sz="8" w:color="auto"/>
            </w:tcBorders>
          </w:tcPr>
          <w:p>
            <w:pPr>
              <w:spacing w:after="0"/>
              <w:rPr>
                <w:sz w:val="2"/>
                <w:szCs w:val="2"/>
                <w:color w:val="auto"/>
              </w:rPr>
            </w:pPr>
          </w:p>
        </w:tc>
        <w:tc>
          <w:tcPr>
            <w:tcW w:w="4180" w:type="dxa"/>
            <w:vAlign w:val="bottom"/>
            <w:tcBorders>
              <w:bottom w:val="single" w:sz="8" w:color="auto"/>
              <w:right w:val="single" w:sz="8" w:color="auto"/>
            </w:tcBorders>
          </w:tcPr>
          <w:p>
            <w:pPr>
              <w:spacing w:after="0"/>
              <w:rPr>
                <w:sz w:val="2"/>
                <w:szCs w:val="2"/>
                <w:color w:val="auto"/>
              </w:rPr>
            </w:pPr>
          </w:p>
        </w:tc>
      </w:tr>
      <w:tr>
        <w:trPr>
          <w:trHeight w:val="271"/>
        </w:trPr>
        <w:tc>
          <w:tcPr>
            <w:tcW w:w="43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8"/>
              </w:rPr>
              <w:t>25%</w:t>
            </w:r>
          </w:p>
        </w:tc>
        <w:tc>
          <w:tcPr>
            <w:tcW w:w="4180" w:type="dxa"/>
            <w:vAlign w:val="bottom"/>
            <w:tcBorders>
              <w:bottom w:val="single" w:sz="8" w:color="auto"/>
              <w:right w:val="single" w:sz="8" w:color="auto"/>
            </w:tcBorders>
          </w:tcPr>
          <w:p>
            <w:pPr>
              <w:jc w:val="center"/>
              <w:spacing w:after="0" w:line="271" w:lineRule="exact"/>
              <w:rPr>
                <w:sz w:val="20"/>
                <w:szCs w:val="20"/>
                <w:color w:val="auto"/>
              </w:rPr>
            </w:pPr>
            <w:r>
              <w:rPr>
                <w:rFonts w:ascii="Arial" w:cs="Arial" w:eastAsia="Arial" w:hAnsi="Arial"/>
                <w:sz w:val="20"/>
                <w:szCs w:val="20"/>
                <w:color w:val="auto"/>
                <w:w w:val="95"/>
              </w:rPr>
              <w:t>1</w:t>
            </w:r>
            <w:r>
              <w:rPr>
                <w:rFonts w:ascii="Arial" w:cs="Arial" w:eastAsia="Arial" w:hAnsi="Arial"/>
                <w:sz w:val="26"/>
                <w:szCs w:val="26"/>
                <w:color w:val="auto"/>
                <w:w w:val="95"/>
                <w:vertAlign w:val="superscript"/>
              </w:rPr>
              <w:t>ST</w:t>
            </w:r>
            <w:r>
              <w:rPr>
                <w:rFonts w:ascii="Arial" w:cs="Arial" w:eastAsia="Arial" w:hAnsi="Arial"/>
                <w:sz w:val="20"/>
                <w:szCs w:val="20"/>
                <w:color w:val="auto"/>
                <w:w w:val="95"/>
              </w:rPr>
              <w:t xml:space="preserve"> ANNIVERSARY OF GRANT DATE</w:t>
            </w:r>
          </w:p>
        </w:tc>
      </w:tr>
      <w:tr>
        <w:trPr>
          <w:trHeight w:val="271"/>
        </w:trPr>
        <w:tc>
          <w:tcPr>
            <w:tcW w:w="43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8"/>
              </w:rPr>
              <w:t>25%</w:t>
            </w:r>
          </w:p>
        </w:tc>
        <w:tc>
          <w:tcPr>
            <w:tcW w:w="4180" w:type="dxa"/>
            <w:vAlign w:val="bottom"/>
            <w:tcBorders>
              <w:bottom w:val="single" w:sz="8" w:color="auto"/>
              <w:right w:val="single" w:sz="8" w:color="auto"/>
            </w:tcBorders>
          </w:tcPr>
          <w:p>
            <w:pPr>
              <w:jc w:val="center"/>
              <w:spacing w:after="0" w:line="271" w:lineRule="exact"/>
              <w:rPr>
                <w:sz w:val="20"/>
                <w:szCs w:val="20"/>
                <w:color w:val="auto"/>
              </w:rPr>
            </w:pPr>
            <w:r>
              <w:rPr>
                <w:rFonts w:ascii="Arial" w:cs="Arial" w:eastAsia="Arial" w:hAnsi="Arial"/>
                <w:sz w:val="20"/>
                <w:szCs w:val="20"/>
                <w:color w:val="auto"/>
                <w:w w:val="96"/>
              </w:rPr>
              <w:t>2</w:t>
            </w:r>
            <w:r>
              <w:rPr>
                <w:rFonts w:ascii="Arial" w:cs="Arial" w:eastAsia="Arial" w:hAnsi="Arial"/>
                <w:sz w:val="26"/>
                <w:szCs w:val="26"/>
                <w:color w:val="auto"/>
                <w:w w:val="96"/>
                <w:vertAlign w:val="superscript"/>
              </w:rPr>
              <w:t>ND</w:t>
            </w:r>
            <w:r>
              <w:rPr>
                <w:rFonts w:ascii="Arial" w:cs="Arial" w:eastAsia="Arial" w:hAnsi="Arial"/>
                <w:sz w:val="20"/>
                <w:szCs w:val="20"/>
                <w:color w:val="auto"/>
                <w:w w:val="96"/>
              </w:rPr>
              <w:t xml:space="preserve"> ANNIVERSARY OF GRANT DATE</w:t>
            </w:r>
          </w:p>
        </w:tc>
      </w:tr>
      <w:tr>
        <w:trPr>
          <w:trHeight w:val="271"/>
        </w:trPr>
        <w:tc>
          <w:tcPr>
            <w:tcW w:w="43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8"/>
              </w:rPr>
              <w:t>25%</w:t>
            </w:r>
          </w:p>
        </w:tc>
        <w:tc>
          <w:tcPr>
            <w:tcW w:w="4180" w:type="dxa"/>
            <w:vAlign w:val="bottom"/>
            <w:tcBorders>
              <w:bottom w:val="single" w:sz="8" w:color="auto"/>
              <w:right w:val="single" w:sz="8" w:color="auto"/>
            </w:tcBorders>
          </w:tcPr>
          <w:p>
            <w:pPr>
              <w:jc w:val="center"/>
              <w:spacing w:after="0" w:line="271" w:lineRule="exact"/>
              <w:rPr>
                <w:sz w:val="20"/>
                <w:szCs w:val="20"/>
                <w:color w:val="auto"/>
              </w:rPr>
            </w:pPr>
            <w:r>
              <w:rPr>
                <w:rFonts w:ascii="Arial" w:cs="Arial" w:eastAsia="Arial" w:hAnsi="Arial"/>
                <w:sz w:val="20"/>
                <w:szCs w:val="20"/>
                <w:color w:val="auto"/>
                <w:w w:val="95"/>
              </w:rPr>
              <w:t>3</w:t>
            </w:r>
            <w:r>
              <w:rPr>
                <w:rFonts w:ascii="Arial" w:cs="Arial" w:eastAsia="Arial" w:hAnsi="Arial"/>
                <w:sz w:val="26"/>
                <w:szCs w:val="26"/>
                <w:color w:val="auto"/>
                <w:w w:val="95"/>
                <w:vertAlign w:val="superscript"/>
              </w:rPr>
              <w:t>RD</w:t>
            </w:r>
            <w:r>
              <w:rPr>
                <w:rFonts w:ascii="Arial" w:cs="Arial" w:eastAsia="Arial" w:hAnsi="Arial"/>
                <w:sz w:val="20"/>
                <w:szCs w:val="20"/>
                <w:color w:val="auto"/>
                <w:w w:val="95"/>
              </w:rPr>
              <w:t xml:space="preserve"> ANNIVERSARY OF GRANT DATE</w:t>
            </w:r>
          </w:p>
        </w:tc>
      </w:tr>
      <w:tr>
        <w:trPr>
          <w:trHeight w:val="271"/>
        </w:trPr>
        <w:tc>
          <w:tcPr>
            <w:tcW w:w="43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8"/>
              </w:rPr>
              <w:t>25%</w:t>
            </w:r>
          </w:p>
        </w:tc>
        <w:tc>
          <w:tcPr>
            <w:tcW w:w="4180" w:type="dxa"/>
            <w:vAlign w:val="bottom"/>
            <w:tcBorders>
              <w:bottom w:val="single" w:sz="8" w:color="auto"/>
              <w:right w:val="single" w:sz="8" w:color="auto"/>
            </w:tcBorders>
          </w:tcPr>
          <w:p>
            <w:pPr>
              <w:jc w:val="center"/>
              <w:spacing w:after="0" w:line="271" w:lineRule="exact"/>
              <w:rPr>
                <w:sz w:val="20"/>
                <w:szCs w:val="20"/>
                <w:color w:val="auto"/>
              </w:rPr>
            </w:pPr>
            <w:r>
              <w:rPr>
                <w:rFonts w:ascii="Arial" w:cs="Arial" w:eastAsia="Arial" w:hAnsi="Arial"/>
                <w:sz w:val="20"/>
                <w:szCs w:val="20"/>
                <w:color w:val="auto"/>
                <w:w w:val="96"/>
              </w:rPr>
              <w:t>4</w:t>
            </w:r>
            <w:r>
              <w:rPr>
                <w:rFonts w:ascii="Arial" w:cs="Arial" w:eastAsia="Arial" w:hAnsi="Arial"/>
                <w:sz w:val="26"/>
                <w:szCs w:val="26"/>
                <w:color w:val="auto"/>
                <w:w w:val="96"/>
                <w:vertAlign w:val="superscript"/>
              </w:rPr>
              <w:t>TH</w:t>
            </w:r>
            <w:r>
              <w:rPr>
                <w:rFonts w:ascii="Arial" w:cs="Arial" w:eastAsia="Arial" w:hAnsi="Arial"/>
                <w:sz w:val="20"/>
                <w:szCs w:val="20"/>
                <w:color w:val="auto"/>
                <w:w w:val="96"/>
              </w:rPr>
              <w:t xml:space="preserve"> ANNIVERSARY OF GRANT DATE</w:t>
            </w:r>
          </w:p>
        </w:tc>
      </w:tr>
    </w:tbl>
    <w:p>
      <w:pPr>
        <w:spacing w:after="0" w:line="232" w:lineRule="exact"/>
        <w:rPr>
          <w:sz w:val="20"/>
          <w:szCs w:val="20"/>
          <w:color w:val="auto"/>
        </w:rPr>
      </w:pPr>
    </w:p>
    <w:p>
      <w:pPr>
        <w:ind w:left="20" w:right="60" w:hanging="6"/>
        <w:spacing w:after="0" w:line="256" w:lineRule="auto"/>
        <w:tabs>
          <w:tab w:leader="none" w:pos="262" w:val="left"/>
        </w:tabs>
        <w:numPr>
          <w:ilvl w:val="0"/>
          <w:numId w:val="16"/>
        </w:numPr>
        <w:rPr>
          <w:rFonts w:ascii="Arial" w:cs="Arial" w:eastAsia="Arial" w:hAnsi="Arial"/>
          <w:sz w:val="20"/>
          <w:szCs w:val="20"/>
          <w:u w:val="single" w:color="auto"/>
          <w:color w:val="auto"/>
        </w:rPr>
      </w:pPr>
      <w:r>
        <w:rPr>
          <w:rFonts w:ascii="Arial" w:cs="Arial" w:eastAsia="Arial" w:hAnsi="Arial"/>
          <w:sz w:val="20"/>
          <w:szCs w:val="20"/>
          <w:u w:val="single" w:color="auto"/>
          <w:color w:val="auto"/>
        </w:rPr>
        <w:t>Change in Control</w:t>
      </w:r>
      <w:r>
        <w:rPr>
          <w:rFonts w:ascii="Arial" w:cs="Arial" w:eastAsia="Arial" w:hAnsi="Arial"/>
          <w:sz w:val="20"/>
          <w:szCs w:val="20"/>
          <w:color w:val="auto"/>
        </w:rPr>
        <w:t>. (A) Notwithstanding the foregoing, in the event that a “Change in Control” (which for purposes of this Agreement shall have the meaning set forth in the Plan as modified by the language at the end of this Section 3) occurs at a time when any portion of the Awards remain unvested, then effective upon the consummation of the Change in Control, the vesting of the portion of the Awards which is not then fully vested shall accelerate such that any portion of the Awards which would have become vested during the one-year period following the Change in Control shall become vested effective as of the consummation of the Change in Control.</w:t>
      </w:r>
    </w:p>
    <w:p>
      <w:pPr>
        <w:spacing w:after="0" w:line="171" w:lineRule="exact"/>
        <w:rPr>
          <w:rFonts w:ascii="Arial" w:cs="Arial" w:eastAsia="Arial" w:hAnsi="Arial"/>
          <w:sz w:val="20"/>
          <w:szCs w:val="20"/>
          <w:u w:val="single" w:color="auto"/>
          <w:color w:val="auto"/>
        </w:rPr>
      </w:pPr>
    </w:p>
    <w:p>
      <w:pPr>
        <w:ind w:left="20" w:right="100" w:firstLine="1208"/>
        <w:spacing w:after="0" w:line="288" w:lineRule="auto"/>
        <w:tabs>
          <w:tab w:leader="none" w:pos="1554" w:val="left"/>
        </w:tabs>
        <w:numPr>
          <w:ilvl w:val="1"/>
          <w:numId w:val="16"/>
        </w:numPr>
        <w:rPr>
          <w:rFonts w:ascii="Arial" w:cs="Arial" w:eastAsia="Arial" w:hAnsi="Arial"/>
          <w:sz w:val="18"/>
          <w:szCs w:val="18"/>
          <w:color w:val="auto"/>
        </w:rPr>
      </w:pPr>
      <w:r>
        <w:rPr>
          <w:rFonts w:ascii="Arial" w:cs="Arial" w:eastAsia="Arial" w:hAnsi="Arial"/>
          <w:sz w:val="18"/>
          <w:szCs w:val="18"/>
          <w:color w:val="auto"/>
        </w:rPr>
        <w:t>In addition: (1) in the event that Participant’s employment by the Company is terminated by the Company without Cause (as defined in the Plan) (x) at any time following a Change in Control or (y) in specific contemplation of a Change in Control or (2) in the event Participant resigns with “Good Reason” (as defined below) at any time following a Change in Control, Participant shall, upon and subject to the execution within sixty (60) days following termination of employment (and non- revocation during any applicable revocation period) of a standard release of all employment-related claims against the Company and its Affiliates and each of their employees, officers and directors, be entitled to immediate vesting as of the termination date of any portion of the Awards which is unvested as of the termination date.</w:t>
      </w:r>
    </w:p>
    <w:p>
      <w:pPr>
        <w:spacing w:after="0" w:line="346" w:lineRule="exact"/>
        <w:rPr>
          <w:rFonts w:ascii="Arial" w:cs="Arial" w:eastAsia="Arial" w:hAnsi="Arial"/>
          <w:sz w:val="18"/>
          <w:szCs w:val="18"/>
          <w:color w:val="auto"/>
        </w:rPr>
      </w:pPr>
    </w:p>
    <w:p>
      <w:pPr>
        <w:ind w:left="20" w:right="380" w:firstLine="1208"/>
        <w:spacing w:after="0" w:line="285" w:lineRule="auto"/>
        <w:tabs>
          <w:tab w:leader="none" w:pos="1554" w:val="left"/>
        </w:tabs>
        <w:numPr>
          <w:ilvl w:val="1"/>
          <w:numId w:val="16"/>
        </w:numPr>
        <w:rPr>
          <w:rFonts w:ascii="Arial" w:cs="Arial" w:eastAsia="Arial" w:hAnsi="Arial"/>
          <w:sz w:val="19"/>
          <w:szCs w:val="19"/>
          <w:color w:val="auto"/>
        </w:rPr>
      </w:pPr>
      <w:r>
        <w:rPr>
          <w:rFonts w:ascii="Arial" w:cs="Arial" w:eastAsia="Arial" w:hAnsi="Arial"/>
          <w:sz w:val="19"/>
          <w:szCs w:val="19"/>
          <w:color w:val="auto"/>
        </w:rPr>
        <w:t>The term “Good Reason” shall have the meaning set forth in any employment, consulting or other agreement between the Company or an Affiliate and the Participant in effect on the date hereof, or, in the absence of such definition therein, the occurrence, without Participant’s prior written consent, of any of the following events:</w:t>
      </w:r>
    </w:p>
    <w:p>
      <w:pPr>
        <w:spacing w:after="0" w:line="144" w:lineRule="exact"/>
        <w:rPr>
          <w:sz w:val="20"/>
          <w:szCs w:val="20"/>
          <w:color w:val="auto"/>
        </w:rPr>
      </w:pPr>
    </w:p>
    <w:p>
      <w:pPr>
        <w:ind w:left="620" w:firstLine="608"/>
        <w:spacing w:after="0" w:line="285" w:lineRule="auto"/>
        <w:tabs>
          <w:tab w:leader="none" w:pos="2030" w:val="left"/>
        </w:tabs>
        <w:numPr>
          <w:ilvl w:val="0"/>
          <w:numId w:val="17"/>
        </w:numPr>
        <w:rPr>
          <w:rFonts w:ascii="Arial" w:cs="Arial" w:eastAsia="Arial" w:hAnsi="Arial"/>
          <w:sz w:val="15"/>
          <w:szCs w:val="15"/>
          <w:color w:val="auto"/>
        </w:rPr>
      </w:pPr>
      <w:r>
        <w:rPr>
          <w:rFonts w:ascii="Arial" w:cs="Arial" w:eastAsia="Arial" w:hAnsi="Arial"/>
          <w:sz w:val="18"/>
          <w:szCs w:val="18"/>
          <w:color w:val="auto"/>
        </w:rPr>
        <w:t>a substantial reduction of Participant’s duties or responsibilities, or Participant being required to report to any person other than the Board or the Company’s Chief Executive Officer or President; provided that, if there is a Change in Control and Participant retains a similar title and similar duties with the Company or any entity that acquires the Company (or any affiliate or subsidiary of such entity) following such Change in Control, any change in Participant’s title shall not a constitute a significant reduction of Participant’s duties and authorities hereunder;</w:t>
      </w:r>
    </w:p>
    <w:p>
      <w:pPr>
        <w:spacing w:after="0" w:line="2" w:lineRule="exact"/>
        <w:rPr>
          <w:rFonts w:ascii="Arial" w:cs="Arial" w:eastAsia="Arial" w:hAnsi="Arial"/>
          <w:sz w:val="15"/>
          <w:szCs w:val="15"/>
          <w:color w:val="auto"/>
        </w:rPr>
      </w:pPr>
    </w:p>
    <w:p>
      <w:pPr>
        <w:ind w:left="620" w:right="60" w:firstLine="608"/>
        <w:spacing w:after="0" w:line="258" w:lineRule="auto"/>
        <w:tabs>
          <w:tab w:leader="none" w:pos="2030" w:val="left"/>
        </w:tabs>
        <w:numPr>
          <w:ilvl w:val="0"/>
          <w:numId w:val="17"/>
        </w:numPr>
        <w:rPr>
          <w:rFonts w:ascii="Arial" w:cs="Arial" w:eastAsia="Arial" w:hAnsi="Arial"/>
          <w:sz w:val="17"/>
          <w:szCs w:val="17"/>
          <w:color w:val="auto"/>
        </w:rPr>
      </w:pPr>
      <w:r>
        <w:rPr>
          <w:rFonts w:ascii="Arial" w:cs="Arial" w:eastAsia="Arial" w:hAnsi="Arial"/>
          <w:sz w:val="20"/>
          <w:szCs w:val="20"/>
          <w:color w:val="auto"/>
        </w:rPr>
        <w:t>Participant’s job title is adversely changed, provided that if there is a Change in Control and Participant retains a similar title and similar duties with the Company or any entity that acquires the Company (or any affiliate or subsidiary of such entity) following such Change in Control, any change in Participant’s title shall not constitute a significant reduction of Participant’s duties and authorities hereunder;</w:t>
      </w:r>
    </w:p>
    <w:p>
      <w:pPr>
        <w:sectPr>
          <w:pgSz w:w="11900" w:h="16838" w:orient="portrait"/>
          <w:cols w:equalWidth="0" w:num="1">
            <w:col w:w="10220"/>
          </w:cols>
          <w:pgMar w:left="1440" w:top="676" w:right="239" w:bottom="1440" w:gutter="0" w:footer="0" w:header="0"/>
        </w:sectPr>
      </w:pPr>
    </w:p>
    <w:bookmarkStart w:id="45" w:name="page46"/>
    <w:bookmarkEnd w:id="45"/>
    <w:p>
      <w:pPr>
        <w:ind w:left="620" w:right="100" w:firstLine="608"/>
        <w:spacing w:after="0" w:line="296" w:lineRule="auto"/>
        <w:tabs>
          <w:tab w:leader="none" w:pos="2030" w:val="left"/>
        </w:tabs>
        <w:numPr>
          <w:ilvl w:val="0"/>
          <w:numId w:val="18"/>
        </w:numPr>
        <w:rPr>
          <w:rFonts w:ascii="Arial" w:cs="Arial" w:eastAsia="Arial" w:hAnsi="Arial"/>
          <w:sz w:val="15"/>
          <w:szCs w:val="15"/>
          <w:color w:val="auto"/>
        </w:rPr>
      </w:pPr>
      <w:r>
        <w:rPr>
          <w:rFonts w:ascii="Arial" w:cs="Arial" w:eastAsia="Arial" w:hAnsi="Arial"/>
          <w:sz w:val="18"/>
          <w:szCs w:val="18"/>
          <w:color w:val="auto"/>
        </w:rPr>
        <w:t>following a Change in Control, a change in the office or location where Participant is based of more than thirty (30) miles, which new location is more than thirty (30) miles from Participant’s primary residence; or</w:t>
      </w:r>
    </w:p>
    <w:p>
      <w:pPr>
        <w:ind w:left="620" w:right="180" w:firstLine="608"/>
        <w:spacing w:after="0" w:line="257" w:lineRule="auto"/>
        <w:tabs>
          <w:tab w:leader="none" w:pos="2030" w:val="left"/>
        </w:tabs>
        <w:numPr>
          <w:ilvl w:val="0"/>
          <w:numId w:val="18"/>
        </w:numPr>
        <w:rPr>
          <w:rFonts w:ascii="Arial" w:cs="Arial" w:eastAsia="Arial" w:hAnsi="Arial"/>
          <w:sz w:val="17"/>
          <w:szCs w:val="17"/>
          <w:color w:val="auto"/>
        </w:rPr>
      </w:pPr>
      <w:r>
        <w:rPr>
          <w:rFonts w:ascii="Arial" w:cs="Arial" w:eastAsia="Arial" w:hAnsi="Arial"/>
          <w:sz w:val="20"/>
          <w:szCs w:val="20"/>
          <w:color w:val="auto"/>
        </w:rPr>
        <w:t>following a Change in Control, a breach by the Company of any material term of any employment, consulting, or similar agreement between the Company and Participant;</w:t>
      </w:r>
    </w:p>
    <w:p>
      <w:pPr>
        <w:ind w:left="20" w:right="460"/>
        <w:spacing w:after="0" w:line="254" w:lineRule="auto"/>
        <w:rPr>
          <w:sz w:val="20"/>
          <w:szCs w:val="20"/>
          <w:color w:val="auto"/>
        </w:rPr>
      </w:pPr>
      <w:r>
        <w:rPr>
          <w:rFonts w:ascii="Arial" w:cs="Arial" w:eastAsia="Arial" w:hAnsi="Arial"/>
          <w:sz w:val="20"/>
          <w:szCs w:val="20"/>
          <w:color w:val="auto"/>
        </w:rPr>
        <w:t>provided that, a termination by Participant with Good Reason shall be effective only if, within thirty (30) days following Participant’s first becoming aware of the circumstances giving rise to Good Reason, Participant delivers a “notice of termination” for Good Reason to the Company, and the Company within fifteen (15) days following its receipt of such notification has failed to cure the circumstances giving rise to Good Reason.</w:t>
      </w:r>
    </w:p>
    <w:p>
      <w:pPr>
        <w:spacing w:after="0" w:line="171" w:lineRule="exact"/>
        <w:rPr>
          <w:sz w:val="20"/>
          <w:szCs w:val="20"/>
          <w:color w:val="auto"/>
        </w:rPr>
      </w:pPr>
    </w:p>
    <w:p>
      <w:pPr>
        <w:ind w:left="-600" w:right="60" w:firstLine="1828"/>
        <w:spacing w:after="0" w:line="257" w:lineRule="auto"/>
        <w:tabs>
          <w:tab w:leader="none" w:pos="2023" w:val="left"/>
        </w:tabs>
        <w:numPr>
          <w:ilvl w:val="2"/>
          <w:numId w:val="19"/>
        </w:numPr>
        <w:rPr>
          <w:rFonts w:ascii="Arial" w:cs="Arial" w:eastAsia="Arial" w:hAnsi="Arial"/>
          <w:sz w:val="17"/>
          <w:szCs w:val="17"/>
          <w:color w:val="auto"/>
        </w:rPr>
      </w:pPr>
      <w:r>
        <w:rPr>
          <w:rFonts w:ascii="Arial" w:cs="Arial" w:eastAsia="Arial" w:hAnsi="Arial"/>
          <w:sz w:val="20"/>
          <w:szCs w:val="20"/>
          <w:u w:val="single" w:color="auto"/>
          <w:color w:val="auto"/>
        </w:rPr>
        <w:t>Special 409A Rule.</w:t>
      </w:r>
      <w:r>
        <w:rPr>
          <w:rFonts w:ascii="Arial" w:cs="Arial" w:eastAsia="Arial" w:hAnsi="Arial"/>
          <w:sz w:val="20"/>
          <w:szCs w:val="20"/>
          <w:color w:val="auto"/>
        </w:rPr>
        <w:t xml:space="preserve"> Notwithstanding anything to the contrary in this Section 3, to the extent necessary to comply with Section 409A of the Code, a Change in Control hereunder shall not give rise to any acceleration of the vesting of any portion of an Award hereunder unless such event satisfies the definition of a change in the ownership or effective control of a corporation, or a change in the ownership of a substantial portion of the assets of a corporation pursuant to Section 409A of the Code and any Treasury Regulations promulgated thereunder.</w:t>
      </w:r>
    </w:p>
    <w:p>
      <w:pPr>
        <w:ind w:left="740" w:hanging="726"/>
        <w:spacing w:after="0"/>
        <w:tabs>
          <w:tab w:leader="none" w:pos="740" w:val="left"/>
        </w:tabs>
        <w:numPr>
          <w:ilvl w:val="0"/>
          <w:numId w:val="20"/>
        </w:numPr>
        <w:rPr>
          <w:rFonts w:ascii="Arial" w:cs="Arial" w:eastAsia="Arial" w:hAnsi="Arial"/>
          <w:sz w:val="17"/>
          <w:szCs w:val="17"/>
          <w:color w:val="auto"/>
        </w:rPr>
      </w:pPr>
      <w:r>
        <w:rPr>
          <w:rFonts w:ascii="Arial" w:cs="Arial" w:eastAsia="Arial" w:hAnsi="Arial"/>
          <w:sz w:val="20"/>
          <w:szCs w:val="20"/>
          <w:u w:val="single" w:color="auto"/>
          <w:color w:val="auto"/>
        </w:rPr>
        <w:t>Terms</w:t>
      </w:r>
      <w:r>
        <w:rPr>
          <w:rFonts w:ascii="Arial" w:cs="Arial" w:eastAsia="Arial" w:hAnsi="Arial"/>
          <w:sz w:val="20"/>
          <w:szCs w:val="20"/>
          <w:color w:val="auto"/>
        </w:rPr>
        <w:t>.</w:t>
      </w:r>
    </w:p>
    <w:p>
      <w:pPr>
        <w:spacing w:after="0" w:line="10" w:lineRule="exact"/>
        <w:rPr>
          <w:rFonts w:ascii="Arial" w:cs="Arial" w:eastAsia="Arial" w:hAnsi="Arial"/>
          <w:sz w:val="17"/>
          <w:szCs w:val="17"/>
          <w:color w:val="auto"/>
        </w:rPr>
      </w:pPr>
    </w:p>
    <w:p>
      <w:pPr>
        <w:ind w:left="-1200" w:right="60" w:firstLine="1821"/>
        <w:spacing w:after="0" w:line="268" w:lineRule="auto"/>
        <w:tabs>
          <w:tab w:leader="none" w:pos="1413" w:val="left"/>
        </w:tabs>
        <w:numPr>
          <w:ilvl w:val="1"/>
          <w:numId w:val="20"/>
        </w:numPr>
        <w:rPr>
          <w:rFonts w:ascii="Arial" w:cs="Arial" w:eastAsia="Arial" w:hAnsi="Arial"/>
          <w:sz w:val="16"/>
          <w:szCs w:val="16"/>
          <w:color w:val="auto"/>
        </w:rPr>
      </w:pPr>
      <w:r>
        <w:rPr>
          <w:rFonts w:ascii="Arial" w:cs="Arial" w:eastAsia="Arial" w:hAnsi="Arial"/>
          <w:sz w:val="19"/>
          <w:szCs w:val="19"/>
          <w:u w:val="single" w:color="auto"/>
          <w:color w:val="auto"/>
        </w:rPr>
        <w:t>Settlement</w:t>
      </w:r>
      <w:r>
        <w:rPr>
          <w:rFonts w:ascii="Arial" w:cs="Arial" w:eastAsia="Arial" w:hAnsi="Arial"/>
          <w:sz w:val="19"/>
          <w:szCs w:val="19"/>
          <w:color w:val="auto"/>
        </w:rPr>
        <w:t>. As soon as practicable following each applicable Vesting Date (including as applicable the date of consummation of a Change in Control and certain terminations of employment upon or following a Change in Control, as applicable), the Company shall settle the portion of the Award that is vested on such date and shall therefore (i) issue and deliver to the Participant one share of Common Stock for each Restricted Stock Unit subject to the Award that has vested (the “</w:t>
      </w:r>
      <w:r>
        <w:rPr>
          <w:rFonts w:ascii="Arial" w:cs="Arial" w:eastAsia="Arial" w:hAnsi="Arial"/>
          <w:sz w:val="19"/>
          <w:szCs w:val="19"/>
          <w:u w:val="single" w:color="auto"/>
          <w:color w:val="auto"/>
        </w:rPr>
        <w:t>RSU Shares</w:t>
      </w:r>
      <w:r>
        <w:rPr>
          <w:rFonts w:ascii="Arial" w:cs="Arial" w:eastAsia="Arial" w:hAnsi="Arial"/>
          <w:sz w:val="19"/>
          <w:szCs w:val="19"/>
          <w:color w:val="auto"/>
        </w:rPr>
        <w:t>”), with any fractional shares paid out in cash (and, upon such settlement, the Restricted Stock Units shall cease to be credited to the Account) and (ii) enter the Participant’s name as a stockholder of record with respect to the RSU Shares on the books of the Company.</w:t>
      </w:r>
    </w:p>
    <w:p>
      <w:pPr>
        <w:spacing w:after="0" w:line="2" w:lineRule="exact"/>
        <w:rPr>
          <w:rFonts w:ascii="Arial" w:cs="Arial" w:eastAsia="Arial" w:hAnsi="Arial"/>
          <w:sz w:val="16"/>
          <w:szCs w:val="16"/>
          <w:color w:val="auto"/>
        </w:rPr>
      </w:pPr>
    </w:p>
    <w:p>
      <w:pPr>
        <w:ind w:left="-1200" w:right="80" w:firstLine="1821"/>
        <w:spacing w:after="0" w:line="280" w:lineRule="auto"/>
        <w:tabs>
          <w:tab w:leader="none" w:pos="1423" w:val="left"/>
        </w:tabs>
        <w:numPr>
          <w:ilvl w:val="1"/>
          <w:numId w:val="20"/>
        </w:numPr>
        <w:rPr>
          <w:rFonts w:ascii="Arial" w:cs="Arial" w:eastAsia="Arial" w:hAnsi="Arial"/>
          <w:sz w:val="15"/>
          <w:szCs w:val="15"/>
          <w:color w:val="auto"/>
        </w:rPr>
      </w:pPr>
      <w:r>
        <w:rPr>
          <w:rFonts w:ascii="Arial" w:cs="Arial" w:eastAsia="Arial" w:hAnsi="Arial"/>
          <w:sz w:val="18"/>
          <w:szCs w:val="18"/>
          <w:u w:val="single" w:color="auto"/>
          <w:color w:val="auto"/>
        </w:rPr>
        <w:t>Dividend Equivalents</w:t>
      </w:r>
      <w:r>
        <w:rPr>
          <w:rFonts w:ascii="Arial" w:cs="Arial" w:eastAsia="Arial" w:hAnsi="Arial"/>
          <w:sz w:val="18"/>
          <w:szCs w:val="18"/>
          <w:color w:val="auto"/>
        </w:rPr>
        <w:t>. If on any date that Restricted Stock Units remain credited to the Account, dividends are paid by the Company on outstanding shares of its Common Stock (“</w:t>
      </w:r>
      <w:r>
        <w:rPr>
          <w:rFonts w:ascii="Arial" w:cs="Arial" w:eastAsia="Arial" w:hAnsi="Arial"/>
          <w:sz w:val="18"/>
          <w:szCs w:val="18"/>
          <w:u w:val="single" w:color="auto"/>
          <w:color w:val="auto"/>
        </w:rPr>
        <w:t>Shares</w:t>
      </w:r>
      <w:r>
        <w:rPr>
          <w:rFonts w:ascii="Arial" w:cs="Arial" w:eastAsia="Arial" w:hAnsi="Arial"/>
          <w:sz w:val="18"/>
          <w:szCs w:val="18"/>
          <w:color w:val="auto"/>
        </w:rPr>
        <w:t>”) (each, a “</w:t>
      </w:r>
      <w:r>
        <w:rPr>
          <w:rFonts w:ascii="Arial" w:cs="Arial" w:eastAsia="Arial" w:hAnsi="Arial"/>
          <w:sz w:val="18"/>
          <w:szCs w:val="18"/>
          <w:u w:val="single" w:color="auto"/>
          <w:color w:val="auto"/>
        </w:rPr>
        <w:t>Dividend Payment Date</w:t>
      </w:r>
      <w:r>
        <w:rPr>
          <w:rFonts w:ascii="Arial" w:cs="Arial" w:eastAsia="Arial" w:hAnsi="Arial"/>
          <w:sz w:val="18"/>
          <w:szCs w:val="18"/>
          <w:color w:val="auto"/>
        </w:rPr>
        <w:t>”), then the Participant's Account shall, as of each such Dividend Payment Date, be credited with an amount (each such amount, a “</w:t>
      </w:r>
      <w:r>
        <w:rPr>
          <w:rFonts w:ascii="Arial" w:cs="Arial" w:eastAsia="Arial" w:hAnsi="Arial"/>
          <w:sz w:val="18"/>
          <w:szCs w:val="18"/>
          <w:u w:val="single" w:color="auto"/>
          <w:color w:val="auto"/>
        </w:rPr>
        <w:t>Dividend Equivalent Amount</w:t>
      </w:r>
      <w:r>
        <w:rPr>
          <w:rFonts w:ascii="Arial" w:cs="Arial" w:eastAsia="Arial" w:hAnsi="Arial"/>
          <w:sz w:val="18"/>
          <w:szCs w:val="18"/>
          <w:color w:val="auto"/>
        </w:rPr>
        <w:t>”) equal to the product of (i) the number of Restricted Stock Units in the Account as of the Dividend Payment Date and (ii) the per Share cash amount of such dividend (or, in the case of a dividend payable in Shares or other property, the per Share equivalent cash value of such dividend as determined in good faith by the Committee). On each applicable Vesting Date, in connection with the settlement and delivery of RSU Shares as contemplated by Section 4(a), the Participant shall be entitled to receive a payment, without interest, of an amount in cash equal to the accumulated Dividend Equivalent Amounts in respect of the RSU Shares so delivered.</w:t>
      </w:r>
    </w:p>
    <w:p>
      <w:pPr>
        <w:spacing w:after="0" w:line="1" w:lineRule="exact"/>
        <w:rPr>
          <w:rFonts w:ascii="Arial" w:cs="Arial" w:eastAsia="Arial" w:hAnsi="Arial"/>
          <w:sz w:val="15"/>
          <w:szCs w:val="15"/>
          <w:color w:val="auto"/>
        </w:rPr>
      </w:pPr>
    </w:p>
    <w:p>
      <w:pPr>
        <w:ind w:left="-1200" w:firstLine="1821"/>
        <w:spacing w:after="0" w:line="269" w:lineRule="auto"/>
        <w:tabs>
          <w:tab w:leader="none" w:pos="1413" w:val="left"/>
        </w:tabs>
        <w:numPr>
          <w:ilvl w:val="1"/>
          <w:numId w:val="20"/>
        </w:numPr>
        <w:rPr>
          <w:rFonts w:ascii="Arial" w:cs="Arial" w:eastAsia="Arial" w:hAnsi="Arial"/>
          <w:sz w:val="16"/>
          <w:szCs w:val="16"/>
          <w:color w:val="auto"/>
        </w:rPr>
      </w:pPr>
      <w:r>
        <w:rPr>
          <w:rFonts w:ascii="Arial" w:cs="Arial" w:eastAsia="Arial" w:hAnsi="Arial"/>
          <w:sz w:val="19"/>
          <w:szCs w:val="19"/>
          <w:u w:val="single" w:color="auto"/>
          <w:color w:val="auto"/>
        </w:rPr>
        <w:t>Taxes and Withholding</w:t>
      </w:r>
      <w:r>
        <w:rPr>
          <w:rFonts w:ascii="Arial" w:cs="Arial" w:eastAsia="Arial" w:hAnsi="Arial"/>
          <w:sz w:val="19"/>
          <w:szCs w:val="19"/>
          <w:color w:val="auto"/>
        </w:rPr>
        <w:t xml:space="preserve">. Upon the settlement of the Award in accordance with Section 4(a) hereof, the Participant shall recognize taxable income in respect of the Award, and the Company shall report such taxable income to the appropriate taxing authorities in respect of the Award as it determines to be necessary and appropriate. Upon the settlement of the Award in RSU Shares, the Participant shall be required as a condition of such settlement to pay to the Company by check or wire transfer the amount of any income, payroll, or social tax withholding that the Company determines is required;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Participant may elect to satisfy such tax withholding obligation by having the Company withhold from the settlement that number of RSU Shares having a Fair Market Value equal to the amount of such withholding;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the number of RSU Shares that may be so withheld by the Company shall be limited to that number of RSU Shares having an aggregate Fair Market</w:t>
      </w:r>
    </w:p>
    <w:p>
      <w:pPr>
        <w:sectPr>
          <w:pgSz w:w="11900" w:h="16838" w:orient="portrait"/>
          <w:cols w:equalWidth="0" w:num="1">
            <w:col w:w="10220"/>
          </w:cols>
          <w:pgMar w:left="1440" w:top="561" w:right="239" w:bottom="1440" w:gutter="0" w:footer="0" w:header="0"/>
        </w:sectPr>
      </w:pPr>
    </w:p>
    <w:bookmarkStart w:id="46" w:name="page47"/>
    <w:bookmarkEnd w:id="46"/>
    <w:p>
      <w:pPr>
        <w:ind w:right="20"/>
        <w:spacing w:after="0" w:line="260" w:lineRule="auto"/>
        <w:rPr>
          <w:sz w:val="20"/>
          <w:szCs w:val="20"/>
          <w:color w:val="auto"/>
        </w:rPr>
      </w:pPr>
      <w:r>
        <w:rPr>
          <w:rFonts w:ascii="Arial" w:cs="Arial" w:eastAsia="Arial" w:hAnsi="Arial"/>
          <w:sz w:val="20"/>
          <w:szCs w:val="20"/>
          <w:color w:val="auto"/>
        </w:rPr>
        <w:t>Value on the date of such withholding equal to the aggregate amount of the Participant’s income, payroll and social tax liabilities based upon the applicable minimum withholding rates.</w:t>
      </w:r>
    </w:p>
    <w:p>
      <w:pPr>
        <w:ind w:right="500" w:firstLine="1821"/>
        <w:spacing w:after="0" w:line="253" w:lineRule="auto"/>
        <w:tabs>
          <w:tab w:leader="none" w:pos="2623" w:val="left"/>
        </w:tabs>
        <w:numPr>
          <w:ilvl w:val="1"/>
          <w:numId w:val="21"/>
        </w:numPr>
        <w:rPr>
          <w:rFonts w:ascii="Arial" w:cs="Arial" w:eastAsia="Arial" w:hAnsi="Arial"/>
          <w:sz w:val="17"/>
          <w:szCs w:val="17"/>
          <w:color w:val="auto"/>
        </w:rPr>
      </w:pPr>
      <w:r>
        <w:rPr>
          <w:rFonts w:ascii="Arial" w:cs="Arial" w:eastAsia="Arial" w:hAnsi="Arial"/>
          <w:sz w:val="20"/>
          <w:szCs w:val="20"/>
          <w:u w:val="single" w:color="auto"/>
          <w:color w:val="auto"/>
        </w:rPr>
        <w:t>Effect of Termination of Services</w:t>
      </w:r>
      <w:r>
        <w:rPr>
          <w:rFonts w:ascii="Arial" w:cs="Arial" w:eastAsia="Arial" w:hAnsi="Arial"/>
          <w:sz w:val="20"/>
          <w:szCs w:val="20"/>
          <w:color w:val="auto"/>
        </w:rPr>
        <w:t>. Except as otherwise provided in the Plan, or as set forth in any employment, consulting or other agreement between the Company or an Affiliate and the Participant in effect on the date hereof, if the Participant’s employment with the Company terminates prior to any Vesting Date for any reason, all remaining Restricted Stock Units credited to the Account shall be forfeited without further consideration to the Participant.</w:t>
      </w:r>
    </w:p>
    <w:p>
      <w:pPr>
        <w:spacing w:after="0" w:line="3" w:lineRule="exact"/>
        <w:rPr>
          <w:rFonts w:ascii="Arial" w:cs="Arial" w:eastAsia="Arial" w:hAnsi="Arial"/>
          <w:sz w:val="17"/>
          <w:szCs w:val="17"/>
          <w:color w:val="auto"/>
        </w:rPr>
      </w:pPr>
    </w:p>
    <w:p>
      <w:pPr>
        <w:ind w:right="60" w:firstLine="1821"/>
        <w:spacing w:after="0" w:line="282" w:lineRule="auto"/>
        <w:tabs>
          <w:tab w:leader="none" w:pos="2613" w:val="left"/>
        </w:tabs>
        <w:numPr>
          <w:ilvl w:val="1"/>
          <w:numId w:val="21"/>
        </w:numPr>
        <w:rPr>
          <w:rFonts w:ascii="Arial" w:cs="Arial" w:eastAsia="Arial" w:hAnsi="Arial"/>
          <w:sz w:val="15"/>
          <w:szCs w:val="15"/>
          <w:color w:val="auto"/>
        </w:rPr>
      </w:pPr>
      <w:r>
        <w:rPr>
          <w:rFonts w:ascii="Arial" w:cs="Arial" w:eastAsia="Arial" w:hAnsi="Arial"/>
          <w:sz w:val="18"/>
          <w:szCs w:val="18"/>
          <w:u w:val="single" w:color="auto"/>
          <w:color w:val="auto"/>
        </w:rPr>
        <w:t>Restrictions</w:t>
      </w:r>
      <w:r>
        <w:rPr>
          <w:rFonts w:ascii="Arial" w:cs="Arial" w:eastAsia="Arial" w:hAnsi="Arial"/>
          <w:sz w:val="18"/>
          <w:szCs w:val="18"/>
          <w:color w:val="auto"/>
        </w:rPr>
        <w:t>. The Award granted hereunder may not be sold, pledged or otherwise transferred (other than by will or the laws of descent and distribution) and may not be subject to lien, garnishment, attachment or other legal process. The Participant acknowledges and agrees that, with respect to each Restricted Stock Unit credited to his Account, he has no voting rights with respect to the Company unless and until each such Restricted Stock Unit is settled in RSU Shares pursuant to Section 4(a) hereof.</w:t>
      </w:r>
    </w:p>
    <w:p>
      <w:pPr>
        <w:ind w:firstLine="1821"/>
        <w:spacing w:after="0" w:line="253" w:lineRule="auto"/>
        <w:tabs>
          <w:tab w:leader="none" w:pos="2595" w:val="left"/>
        </w:tabs>
        <w:numPr>
          <w:ilvl w:val="1"/>
          <w:numId w:val="21"/>
        </w:numPr>
        <w:rPr>
          <w:rFonts w:ascii="Arial" w:cs="Arial" w:eastAsia="Arial" w:hAnsi="Arial"/>
          <w:sz w:val="17"/>
          <w:szCs w:val="17"/>
          <w:color w:val="auto"/>
        </w:rPr>
      </w:pPr>
      <w:r>
        <w:rPr>
          <w:rFonts w:ascii="Arial" w:cs="Arial" w:eastAsia="Arial" w:hAnsi="Arial"/>
          <w:sz w:val="20"/>
          <w:szCs w:val="20"/>
          <w:u w:val="single" w:color="auto"/>
          <w:color w:val="auto"/>
        </w:rPr>
        <w:t>Rights as a Stockholder</w:t>
      </w:r>
      <w:r>
        <w:rPr>
          <w:rFonts w:ascii="Arial" w:cs="Arial" w:eastAsia="Arial" w:hAnsi="Arial"/>
          <w:sz w:val="20"/>
          <w:szCs w:val="20"/>
          <w:color w:val="auto"/>
        </w:rPr>
        <w:t>. Upon and following each Vesting Date, the Participant shall be the record owner of the RSU Shares settled upon such applicable date unless and until such RSU Shares are sold or otherwise disposed of, and as record owner shall be entitled to all rights of a common stockholder of the Company, including, without limitation, voting rights, if any, with respect to the RSU Shares. Prior to the first Vesting Date, the Participant shall not be deemed for any purpose to be the owner of shares of Common Stock underlying the Restricted Stock Units.</w:t>
      </w:r>
    </w:p>
    <w:p>
      <w:pPr>
        <w:spacing w:after="0" w:line="1" w:lineRule="exact"/>
        <w:rPr>
          <w:rFonts w:ascii="Arial" w:cs="Arial" w:eastAsia="Arial" w:hAnsi="Arial"/>
          <w:sz w:val="17"/>
          <w:szCs w:val="17"/>
          <w:color w:val="auto"/>
        </w:rPr>
      </w:pPr>
    </w:p>
    <w:p>
      <w:pPr>
        <w:ind w:left="1940" w:hanging="726"/>
        <w:spacing w:after="0"/>
        <w:tabs>
          <w:tab w:leader="none" w:pos="1940" w:val="left"/>
        </w:tabs>
        <w:numPr>
          <w:ilvl w:val="0"/>
          <w:numId w:val="22"/>
        </w:numPr>
        <w:rPr>
          <w:rFonts w:ascii="Arial" w:cs="Arial" w:eastAsia="Arial" w:hAnsi="Arial"/>
          <w:sz w:val="17"/>
          <w:szCs w:val="17"/>
          <w:color w:val="auto"/>
        </w:rPr>
      </w:pPr>
      <w:r>
        <w:rPr>
          <w:rFonts w:ascii="Arial" w:cs="Arial" w:eastAsia="Arial" w:hAnsi="Arial"/>
          <w:sz w:val="20"/>
          <w:szCs w:val="20"/>
          <w:u w:val="single" w:color="auto"/>
          <w:color w:val="auto"/>
        </w:rPr>
        <w:t>Miscellaneous</w:t>
      </w:r>
      <w:r>
        <w:rPr>
          <w:rFonts w:ascii="Arial" w:cs="Arial" w:eastAsia="Arial" w:hAnsi="Arial"/>
          <w:sz w:val="20"/>
          <w:szCs w:val="20"/>
          <w:color w:val="auto"/>
        </w:rPr>
        <w:t>.</w:t>
      </w:r>
    </w:p>
    <w:p>
      <w:pPr>
        <w:spacing w:after="0" w:line="10" w:lineRule="exact"/>
        <w:rPr>
          <w:rFonts w:ascii="Arial" w:cs="Arial" w:eastAsia="Arial" w:hAnsi="Arial"/>
          <w:sz w:val="17"/>
          <w:szCs w:val="17"/>
          <w:color w:val="auto"/>
        </w:rPr>
      </w:pPr>
    </w:p>
    <w:p>
      <w:pPr>
        <w:ind w:right="20" w:firstLine="1821"/>
        <w:spacing w:after="0" w:line="259" w:lineRule="auto"/>
        <w:tabs>
          <w:tab w:leader="none" w:pos="2613" w:val="left"/>
        </w:tabs>
        <w:numPr>
          <w:ilvl w:val="1"/>
          <w:numId w:val="22"/>
        </w:numPr>
        <w:rPr>
          <w:rFonts w:ascii="Arial" w:cs="Arial" w:eastAsia="Arial" w:hAnsi="Arial"/>
          <w:sz w:val="17"/>
          <w:szCs w:val="17"/>
          <w:color w:val="auto"/>
        </w:rPr>
      </w:pPr>
      <w:r>
        <w:rPr>
          <w:rFonts w:ascii="Arial" w:cs="Arial" w:eastAsia="Arial" w:hAnsi="Arial"/>
          <w:sz w:val="20"/>
          <w:szCs w:val="20"/>
          <w:u w:val="single" w:color="auto"/>
          <w:color w:val="auto"/>
        </w:rPr>
        <w:t>General Assets</w:t>
      </w:r>
      <w:r>
        <w:rPr>
          <w:rFonts w:ascii="Arial" w:cs="Arial" w:eastAsia="Arial" w:hAnsi="Arial"/>
          <w:sz w:val="20"/>
          <w:szCs w:val="20"/>
          <w:color w:val="auto"/>
        </w:rPr>
        <w:t>. All amounts credited to the Account under this Agreement shall continue for all purposes to be part of the general assets of the Company. The Participant’s interest in the Account shall make the Participant only a general, unsecured creditor of the Company.</w:t>
      </w:r>
    </w:p>
    <w:p>
      <w:pPr>
        <w:spacing w:after="0" w:line="1" w:lineRule="exact"/>
        <w:rPr>
          <w:rFonts w:ascii="Arial" w:cs="Arial" w:eastAsia="Arial" w:hAnsi="Arial"/>
          <w:sz w:val="17"/>
          <w:szCs w:val="17"/>
          <w:color w:val="auto"/>
        </w:rPr>
      </w:pPr>
    </w:p>
    <w:p>
      <w:pPr>
        <w:ind w:left="2620" w:hanging="799"/>
        <w:spacing w:after="0"/>
        <w:tabs>
          <w:tab w:leader="none" w:pos="2620" w:val="left"/>
        </w:tabs>
        <w:numPr>
          <w:ilvl w:val="1"/>
          <w:numId w:val="22"/>
        </w:numPr>
        <w:rPr>
          <w:rFonts w:ascii="Arial" w:cs="Arial" w:eastAsia="Arial" w:hAnsi="Arial"/>
          <w:sz w:val="15"/>
          <w:szCs w:val="15"/>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demands and other communications provided for or permitted hereunder shall be made</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color w:val="auto"/>
        </w:rPr>
        <w:t>in writing and shall be by registered or certified first-class mail, return receipt requested, telecopier, courier service or personal delivery:</w:t>
      </w:r>
    </w:p>
    <w:p>
      <w:pPr>
        <w:spacing w:after="0" w:line="34" w:lineRule="exact"/>
        <w:rPr>
          <w:sz w:val="20"/>
          <w:szCs w:val="20"/>
          <w:color w:val="auto"/>
        </w:rPr>
      </w:pPr>
    </w:p>
    <w:p>
      <w:pPr>
        <w:ind w:left="2420"/>
        <w:spacing w:after="0"/>
        <w:rPr>
          <w:sz w:val="20"/>
          <w:szCs w:val="20"/>
          <w:color w:val="auto"/>
        </w:rPr>
      </w:pPr>
      <w:r>
        <w:rPr>
          <w:rFonts w:ascii="Arial" w:cs="Arial" w:eastAsia="Arial" w:hAnsi="Arial"/>
          <w:sz w:val="20"/>
          <w:szCs w:val="20"/>
          <w:color w:val="auto"/>
        </w:rPr>
        <w:t>if to the Company:</w:t>
      </w:r>
    </w:p>
    <w:p>
      <w:pPr>
        <w:spacing w:after="0" w:line="194" w:lineRule="exact"/>
        <w:rPr>
          <w:sz w:val="20"/>
          <w:szCs w:val="20"/>
          <w:color w:val="auto"/>
        </w:rPr>
      </w:pPr>
    </w:p>
    <w:p>
      <w:pPr>
        <w:ind w:left="2420"/>
        <w:spacing w:after="0"/>
        <w:rPr>
          <w:sz w:val="20"/>
          <w:szCs w:val="20"/>
          <w:color w:val="auto"/>
        </w:rPr>
      </w:pPr>
      <w:r>
        <w:rPr>
          <w:rFonts w:ascii="Arial" w:cs="Arial" w:eastAsia="Arial" w:hAnsi="Arial"/>
          <w:sz w:val="20"/>
          <w:szCs w:val="20"/>
          <w:color w:val="auto"/>
        </w:rPr>
        <w:t>ExlService Holdings, Inc.</w:t>
      </w:r>
    </w:p>
    <w:p>
      <w:pPr>
        <w:spacing w:after="0" w:line="212" w:lineRule="exact"/>
        <w:rPr>
          <w:sz w:val="20"/>
          <w:szCs w:val="20"/>
          <w:color w:val="auto"/>
        </w:rPr>
      </w:pPr>
    </w:p>
    <w:p>
      <w:pPr>
        <w:ind w:left="2420"/>
        <w:spacing w:after="0"/>
        <w:rPr>
          <w:sz w:val="20"/>
          <w:szCs w:val="20"/>
          <w:color w:val="auto"/>
        </w:rPr>
      </w:pPr>
      <w:r>
        <w:rPr>
          <w:rFonts w:ascii="Arial" w:cs="Arial" w:eastAsia="Arial" w:hAnsi="Arial"/>
          <w:sz w:val="20"/>
          <w:szCs w:val="20"/>
          <w:color w:val="auto"/>
        </w:rPr>
        <w:t>280 Park Avenue, 38th Floor</w:t>
      </w:r>
    </w:p>
    <w:p>
      <w:pPr>
        <w:spacing w:after="0" w:line="212" w:lineRule="exact"/>
        <w:rPr>
          <w:sz w:val="20"/>
          <w:szCs w:val="20"/>
          <w:color w:val="auto"/>
        </w:rPr>
      </w:pPr>
    </w:p>
    <w:p>
      <w:pPr>
        <w:ind w:left="2420"/>
        <w:spacing w:after="0"/>
        <w:rPr>
          <w:sz w:val="20"/>
          <w:szCs w:val="20"/>
          <w:color w:val="auto"/>
        </w:rPr>
      </w:pPr>
      <w:r>
        <w:rPr>
          <w:rFonts w:ascii="Arial" w:cs="Arial" w:eastAsia="Arial" w:hAnsi="Arial"/>
          <w:sz w:val="20"/>
          <w:szCs w:val="20"/>
          <w:color w:val="auto"/>
        </w:rPr>
        <w:t>New York, NY 10017</w:t>
      </w:r>
    </w:p>
    <w:p>
      <w:pPr>
        <w:spacing w:after="0" w:line="212" w:lineRule="exact"/>
        <w:rPr>
          <w:sz w:val="20"/>
          <w:szCs w:val="20"/>
          <w:color w:val="auto"/>
        </w:rPr>
      </w:pPr>
    </w:p>
    <w:p>
      <w:pPr>
        <w:ind w:left="2420"/>
        <w:spacing w:after="0"/>
        <w:rPr>
          <w:sz w:val="20"/>
          <w:szCs w:val="20"/>
          <w:color w:val="auto"/>
        </w:rPr>
      </w:pPr>
      <w:r>
        <w:rPr>
          <w:rFonts w:ascii="Arial" w:cs="Arial" w:eastAsia="Arial" w:hAnsi="Arial"/>
          <w:sz w:val="20"/>
          <w:szCs w:val="20"/>
          <w:color w:val="auto"/>
        </w:rPr>
        <w:t>Attention: General Counsel</w:t>
      </w:r>
    </w:p>
    <w:p>
      <w:pPr>
        <w:spacing w:after="0" w:line="212" w:lineRule="exact"/>
        <w:rPr>
          <w:sz w:val="20"/>
          <w:szCs w:val="20"/>
          <w:color w:val="auto"/>
        </w:rPr>
      </w:pPr>
    </w:p>
    <w:p>
      <w:pPr>
        <w:ind w:left="2420"/>
        <w:spacing w:after="0"/>
        <w:rPr>
          <w:sz w:val="20"/>
          <w:szCs w:val="20"/>
          <w:color w:val="auto"/>
        </w:rPr>
      </w:pPr>
      <w:r>
        <w:rPr>
          <w:rFonts w:ascii="Arial" w:cs="Arial" w:eastAsia="Arial" w:hAnsi="Arial"/>
          <w:sz w:val="20"/>
          <w:szCs w:val="20"/>
          <w:color w:val="auto"/>
        </w:rPr>
        <w:t>if to the Participant, at the Participant’s last known address on file with the Company.</w:t>
      </w:r>
    </w:p>
    <w:p>
      <w:pPr>
        <w:spacing w:after="0" w:line="212" w:lineRule="exact"/>
        <w:rPr>
          <w:sz w:val="20"/>
          <w:szCs w:val="20"/>
          <w:color w:val="auto"/>
        </w:rPr>
      </w:pPr>
    </w:p>
    <w:p>
      <w:pPr>
        <w:ind w:right="180" w:firstLine="1213"/>
        <w:spacing w:after="0" w:line="265" w:lineRule="auto"/>
        <w:rPr>
          <w:sz w:val="20"/>
          <w:szCs w:val="20"/>
          <w:color w:val="auto"/>
        </w:rPr>
      </w:pPr>
      <w:r>
        <w:rPr>
          <w:rFonts w:ascii="Arial" w:cs="Arial" w:eastAsia="Arial" w:hAnsi="Arial"/>
          <w:sz w:val="20"/>
          <w:szCs w:val="20"/>
          <w:color w:val="auto"/>
        </w:rPr>
        <w:t>All such notices, demands and other communications shall be deemed to have been duly given when delivered by hand, if personally delivered; when delivered by courier, if delivered by commercial courier service; five business days after being deposited in the mail, postage prepaid, if mailed; and when receipt is mechanically acknowledged, if telecopied.</w:t>
      </w:r>
    </w:p>
    <w:p>
      <w:pPr>
        <w:spacing w:after="0" w:line="161" w:lineRule="exact"/>
        <w:rPr>
          <w:sz w:val="20"/>
          <w:szCs w:val="20"/>
          <w:color w:val="auto"/>
        </w:rPr>
      </w:pPr>
    </w:p>
    <w:p>
      <w:pPr>
        <w:ind w:left="600" w:right="320" w:firstLine="614"/>
        <w:spacing w:after="0" w:line="261" w:lineRule="auto"/>
        <w:tabs>
          <w:tab w:leader="none" w:pos="1940" w:val="left"/>
        </w:tabs>
        <w:numPr>
          <w:ilvl w:val="0"/>
          <w:numId w:val="23"/>
        </w:numPr>
        <w:rPr>
          <w:rFonts w:ascii="Arial" w:cs="Arial" w:eastAsia="Arial" w:hAnsi="Arial"/>
          <w:sz w:val="17"/>
          <w:szCs w:val="17"/>
          <w:color w:val="auto"/>
        </w:rPr>
      </w:pPr>
      <w:r>
        <w:rPr>
          <w:rFonts w:ascii="Arial" w:cs="Arial" w:eastAsia="Arial" w:hAnsi="Arial"/>
          <w:sz w:val="20"/>
          <w:szCs w:val="20"/>
          <w:u w:val="single" w:color="auto"/>
          <w:color w:val="auto"/>
        </w:rPr>
        <w:t>Severability</w:t>
      </w:r>
      <w:r>
        <w:rPr>
          <w:rFonts w:ascii="Arial" w:cs="Arial" w:eastAsia="Arial" w:hAnsi="Arial"/>
          <w:sz w:val="20"/>
          <w:szCs w:val="20"/>
          <w:color w:val="auto"/>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ind w:right="360" w:firstLine="1214"/>
        <w:spacing w:after="0" w:line="274" w:lineRule="auto"/>
        <w:tabs>
          <w:tab w:leader="none" w:pos="1946" w:val="left"/>
        </w:tabs>
        <w:numPr>
          <w:ilvl w:val="0"/>
          <w:numId w:val="23"/>
        </w:numPr>
        <w:rPr>
          <w:rFonts w:ascii="Arial" w:cs="Arial" w:eastAsia="Arial" w:hAnsi="Arial"/>
          <w:sz w:val="17"/>
          <w:szCs w:val="17"/>
          <w:color w:val="auto"/>
        </w:rPr>
      </w:pPr>
      <w:r>
        <w:rPr>
          <w:rFonts w:ascii="Arial" w:cs="Arial" w:eastAsia="Arial" w:hAnsi="Arial"/>
          <w:sz w:val="20"/>
          <w:szCs w:val="20"/>
          <w:u w:val="single" w:color="auto"/>
          <w:color w:val="auto"/>
        </w:rPr>
        <w:t>No Rights to Employment</w:t>
      </w:r>
      <w:r>
        <w:rPr>
          <w:rFonts w:ascii="Arial" w:cs="Arial" w:eastAsia="Arial" w:hAnsi="Arial"/>
          <w:sz w:val="20"/>
          <w:szCs w:val="20"/>
          <w:color w:val="auto"/>
        </w:rPr>
        <w:t>. Nothing contained in this Agreement shall be construed as giving the Participant any right to be retained, in any position, as an employee, consultant or director of</w:t>
      </w:r>
    </w:p>
    <w:p>
      <w:pPr>
        <w:sectPr>
          <w:pgSz w:w="11900" w:h="16838" w:orient="portrait"/>
          <w:cols w:equalWidth="0" w:num="1">
            <w:col w:w="11400"/>
          </w:cols>
          <w:pgMar w:left="240" w:top="561" w:right="259" w:bottom="1440" w:gutter="0" w:footer="0" w:header="0"/>
        </w:sectPr>
      </w:pPr>
    </w:p>
    <w:bookmarkStart w:id="47" w:name="page48"/>
    <w:bookmarkEnd w:id="47"/>
    <w:p>
      <w:pPr>
        <w:ind w:right="640"/>
        <w:spacing w:after="0" w:line="260" w:lineRule="auto"/>
        <w:rPr>
          <w:sz w:val="20"/>
          <w:szCs w:val="20"/>
          <w:color w:val="auto"/>
        </w:rPr>
      </w:pPr>
      <w:r>
        <w:rPr>
          <w:rFonts w:ascii="Arial" w:cs="Arial" w:eastAsia="Arial" w:hAnsi="Arial"/>
          <w:sz w:val="20"/>
          <w:szCs w:val="20"/>
          <w:color w:val="auto"/>
        </w:rPr>
        <w:t>the Company or its Affiliates or shall interfere with or restrict in any way the right of the Company or its Affiliates, which are hereby expressly reserved, to remove, terminate or discharge the Participant at any time for any reason whatsoever.</w:t>
      </w:r>
    </w:p>
    <w:p>
      <w:pPr>
        <w:ind w:firstLine="1214"/>
        <w:spacing w:after="0" w:line="255" w:lineRule="auto"/>
        <w:tabs>
          <w:tab w:leader="none" w:pos="1946" w:val="left"/>
        </w:tabs>
        <w:numPr>
          <w:ilvl w:val="0"/>
          <w:numId w:val="24"/>
        </w:numPr>
        <w:rPr>
          <w:rFonts w:ascii="Arial" w:cs="Arial" w:eastAsia="Arial" w:hAnsi="Arial"/>
          <w:sz w:val="17"/>
          <w:szCs w:val="17"/>
          <w:color w:val="auto"/>
        </w:rPr>
      </w:pPr>
      <w:r>
        <w:rPr>
          <w:rFonts w:ascii="Arial" w:cs="Arial" w:eastAsia="Arial" w:hAnsi="Arial"/>
          <w:sz w:val="20"/>
          <w:szCs w:val="20"/>
          <w:u w:val="single" w:color="auto"/>
          <w:color w:val="auto"/>
        </w:rPr>
        <w:t>Beneficiary</w:t>
      </w:r>
      <w:r>
        <w:rPr>
          <w:rFonts w:ascii="Arial" w:cs="Arial" w:eastAsia="Arial" w:hAnsi="Arial"/>
          <w:sz w:val="20"/>
          <w:szCs w:val="20"/>
          <w:color w:val="auto"/>
        </w:rPr>
        <w:t>. The Participant may file with the Committee a written designation of a beneficiary on such form as may be prescribed by the Committee and may, from time to time, amend or revoke such designation. If no designated beneficiary survives the Participant, the Participant’s estate shall be deemed to be the Participant’s beneficiary.</w:t>
      </w:r>
    </w:p>
    <w:p>
      <w:pPr>
        <w:ind w:right="500" w:firstLine="1214"/>
        <w:spacing w:after="0" w:line="285" w:lineRule="auto"/>
        <w:tabs>
          <w:tab w:leader="none" w:pos="1946" w:val="left"/>
        </w:tabs>
        <w:numPr>
          <w:ilvl w:val="0"/>
          <w:numId w:val="24"/>
        </w:numPr>
        <w:rPr>
          <w:rFonts w:ascii="Arial" w:cs="Arial" w:eastAsia="Arial" w:hAnsi="Arial"/>
          <w:sz w:val="15"/>
          <w:szCs w:val="15"/>
          <w:color w:val="auto"/>
        </w:rPr>
      </w:pPr>
      <w:r>
        <w:rPr>
          <w:rFonts w:ascii="Arial" w:cs="Arial" w:eastAsia="Arial" w:hAnsi="Arial"/>
          <w:sz w:val="18"/>
          <w:szCs w:val="18"/>
          <w:u w:val="single" w:color="auto"/>
          <w:color w:val="auto"/>
        </w:rPr>
        <w:t>Successors</w:t>
      </w:r>
      <w:r>
        <w:rPr>
          <w:rFonts w:ascii="Arial" w:cs="Arial" w:eastAsia="Arial" w:hAnsi="Arial"/>
          <w:sz w:val="18"/>
          <w:szCs w:val="18"/>
          <w:color w:val="auto"/>
        </w:rPr>
        <w:t>. The terms of this Agreement shall be binding upon and inure to the benefit of the Company and its successors and assigns, and to the Participant and the beneficiaries, executors, administrators, heirs and successors of the Participant.</w:t>
      </w:r>
    </w:p>
    <w:p>
      <w:pPr>
        <w:spacing w:after="0" w:line="1" w:lineRule="exact"/>
        <w:rPr>
          <w:rFonts w:ascii="Arial" w:cs="Arial" w:eastAsia="Arial" w:hAnsi="Arial"/>
          <w:sz w:val="15"/>
          <w:szCs w:val="15"/>
          <w:color w:val="auto"/>
        </w:rPr>
      </w:pPr>
    </w:p>
    <w:p>
      <w:pPr>
        <w:ind w:right="20" w:firstLine="1214"/>
        <w:spacing w:after="0" w:line="253" w:lineRule="auto"/>
        <w:tabs>
          <w:tab w:leader="none" w:pos="2030" w:val="left"/>
        </w:tabs>
        <w:numPr>
          <w:ilvl w:val="0"/>
          <w:numId w:val="24"/>
        </w:numPr>
        <w:rPr>
          <w:rFonts w:ascii="Arial" w:cs="Arial" w:eastAsia="Arial" w:hAnsi="Arial"/>
          <w:sz w:val="17"/>
          <w:szCs w:val="17"/>
          <w:color w:val="auto"/>
        </w:rPr>
      </w:pPr>
      <w:r>
        <w:rPr>
          <w:rFonts w:ascii="Arial" w:cs="Arial" w:eastAsia="Arial" w:hAnsi="Arial"/>
          <w:sz w:val="20"/>
          <w:szCs w:val="20"/>
          <w:u w:val="single" w:color="auto"/>
          <w:color w:val="auto"/>
        </w:rPr>
        <w:t>Entire Agreement</w:t>
      </w:r>
      <w:r>
        <w:rPr>
          <w:rFonts w:ascii="Arial" w:cs="Arial" w:eastAsia="Arial" w:hAnsi="Arial"/>
          <w:sz w:val="20"/>
          <w:szCs w:val="20"/>
          <w:color w:val="auto"/>
        </w:rPr>
        <w:t>. This Agreement and the Plan contain the entire agreement and understanding of the parties hereto with respect to the subject matter contained herein and supersede all prior communications, representations and negotiations in respect thereto. No change, modification or waiver of any provision of this Agreement shall be valid unless the same is in writing and signed by the parties hereto.</w:t>
      </w:r>
    </w:p>
    <w:p>
      <w:pPr>
        <w:spacing w:after="0" w:line="3" w:lineRule="exact"/>
        <w:rPr>
          <w:rFonts w:ascii="Arial" w:cs="Arial" w:eastAsia="Arial" w:hAnsi="Arial"/>
          <w:sz w:val="17"/>
          <w:szCs w:val="17"/>
          <w:color w:val="auto"/>
        </w:rPr>
      </w:pPr>
    </w:p>
    <w:p>
      <w:pPr>
        <w:ind w:right="280" w:firstLine="1214"/>
        <w:spacing w:after="0" w:line="257" w:lineRule="auto"/>
        <w:tabs>
          <w:tab w:leader="none" w:pos="2024" w:val="left"/>
        </w:tabs>
        <w:numPr>
          <w:ilvl w:val="0"/>
          <w:numId w:val="24"/>
        </w:numPr>
        <w:rPr>
          <w:rFonts w:ascii="Arial" w:cs="Arial" w:eastAsia="Arial" w:hAnsi="Arial"/>
          <w:sz w:val="17"/>
          <w:szCs w:val="17"/>
          <w:color w:val="auto"/>
        </w:rPr>
      </w:pPr>
      <w:r>
        <w:rPr>
          <w:rFonts w:ascii="Arial" w:cs="Arial" w:eastAsia="Arial" w:hAnsi="Arial"/>
          <w:sz w:val="20"/>
          <w:szCs w:val="20"/>
          <w:u w:val="single" w:color="auto"/>
          <w:color w:val="auto"/>
        </w:rPr>
        <w:t>Bound by Plan</w:t>
      </w:r>
      <w:r>
        <w:rPr>
          <w:rFonts w:ascii="Arial" w:cs="Arial" w:eastAsia="Arial" w:hAnsi="Arial"/>
          <w:sz w:val="20"/>
          <w:szCs w:val="20"/>
          <w:color w:val="auto"/>
        </w:rPr>
        <w:t>. By signing this Agreement, the Participant acknowledges that he has received a copy of the Plan and has had an opportunity to review the Plan and agrees to be bound by all the terms and provisions of the Plan.</w:t>
      </w:r>
    </w:p>
    <w:p>
      <w:pPr>
        <w:jc w:val="both"/>
        <w:ind w:right="440" w:firstLine="1214"/>
        <w:spacing w:after="0" w:line="255" w:lineRule="auto"/>
        <w:tabs>
          <w:tab w:leader="none" w:pos="2030" w:val="left"/>
        </w:tabs>
        <w:numPr>
          <w:ilvl w:val="0"/>
          <w:numId w:val="24"/>
        </w:numPr>
        <w:rPr>
          <w:rFonts w:ascii="Arial" w:cs="Arial" w:eastAsia="Arial" w:hAnsi="Arial"/>
          <w:sz w:val="17"/>
          <w:szCs w:val="17"/>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This Agreement shall be construed and interpreted in accordance with the laws of the State of Delaware without regard to principles of conflicts of law thereof, or principles of conflicts of laws of any other jurisdiction which could cause the application of the laws of any jurisdiction other than the State of Delaware.</w:t>
      </w:r>
    </w:p>
    <w:p>
      <w:pPr>
        <w:ind w:right="220" w:firstLine="1214"/>
        <w:spacing w:after="0" w:line="255" w:lineRule="auto"/>
        <w:tabs>
          <w:tab w:leader="none" w:pos="2030" w:val="left"/>
        </w:tabs>
        <w:numPr>
          <w:ilvl w:val="0"/>
          <w:numId w:val="24"/>
        </w:numPr>
        <w:rPr>
          <w:rFonts w:ascii="Arial" w:cs="Arial" w:eastAsia="Arial" w:hAnsi="Arial"/>
          <w:sz w:val="17"/>
          <w:szCs w:val="17"/>
          <w:color w:val="auto"/>
        </w:rPr>
      </w:pPr>
      <w:r>
        <w:rPr>
          <w:rFonts w:ascii="Arial" w:cs="Arial" w:eastAsia="Arial" w:hAnsi="Arial"/>
          <w:sz w:val="20"/>
          <w:szCs w:val="20"/>
          <w:u w:val="single" w:color="auto"/>
          <w:color w:val="auto"/>
        </w:rPr>
        <w:t>JURY TRIAL WAIVER</w:t>
      </w:r>
      <w:r>
        <w:rPr>
          <w:rFonts w:ascii="Arial" w:cs="Arial" w:eastAsia="Arial" w:hAnsi="Arial"/>
          <w:sz w:val="20"/>
          <w:szCs w:val="20"/>
          <w:color w:val="auto"/>
        </w:rPr>
        <w:t>. THE PARTIES EXPRESSLY AND KNOWINGLY WAIVE ANY RIGHT TO A JURY TRIAL IN THE EVENT ANY ACTION ARISING UNDER OR IN CONNECTION WITH THIS AGREEMENT IS LITIGATED OR HEARD IN ANY COURT.</w:t>
      </w:r>
    </w:p>
    <w:p>
      <w:pPr>
        <w:ind w:right="40" w:firstLine="1214"/>
        <w:spacing w:after="0" w:line="253" w:lineRule="auto"/>
        <w:tabs>
          <w:tab w:leader="none" w:pos="2030" w:val="left"/>
        </w:tabs>
        <w:numPr>
          <w:ilvl w:val="0"/>
          <w:numId w:val="24"/>
        </w:numPr>
        <w:rPr>
          <w:rFonts w:ascii="Arial" w:cs="Arial" w:eastAsia="Arial" w:hAnsi="Arial"/>
          <w:sz w:val="17"/>
          <w:szCs w:val="17"/>
          <w:color w:val="auto"/>
        </w:rPr>
      </w:pPr>
      <w:r>
        <w:rPr>
          <w:rFonts w:ascii="Arial" w:cs="Arial" w:eastAsia="Arial" w:hAnsi="Arial"/>
          <w:sz w:val="20"/>
          <w:szCs w:val="20"/>
          <w:u w:val="single" w:color="auto"/>
          <w:color w:val="auto"/>
        </w:rPr>
        <w:t>Electronic Delivery and Acceptance</w:t>
      </w:r>
      <w:r>
        <w:rPr>
          <w:rFonts w:ascii="Arial" w:cs="Arial" w:eastAsia="Arial" w:hAnsi="Arial"/>
          <w:sz w:val="20"/>
          <w:szCs w:val="20"/>
          <w:color w:val="auto"/>
        </w:rPr>
        <w:t>. The Company has decided to deliver documents related to current or future participation in the Plan by electronic means and to request Participant’s consent to participate in the Plan by electronic means. Participant hereby consents to receive such documents by electronic delivery and agrees to participate in the Plan through the current plan administrator’s on-line system, or any other on-line system or electronic means that the Company may decide, in its sole discretion, to use in the future.</w:t>
      </w:r>
    </w:p>
    <w:p>
      <w:pPr>
        <w:spacing w:after="0" w:line="1" w:lineRule="exact"/>
        <w:rPr>
          <w:rFonts w:ascii="Arial" w:cs="Arial" w:eastAsia="Arial" w:hAnsi="Arial"/>
          <w:sz w:val="17"/>
          <w:szCs w:val="17"/>
          <w:color w:val="auto"/>
        </w:rPr>
      </w:pPr>
    </w:p>
    <w:p>
      <w:pPr>
        <w:ind w:right="60" w:firstLine="1214"/>
        <w:spacing w:after="0" w:line="257" w:lineRule="auto"/>
        <w:tabs>
          <w:tab w:leader="none" w:pos="2030" w:val="left"/>
        </w:tabs>
        <w:numPr>
          <w:ilvl w:val="0"/>
          <w:numId w:val="24"/>
        </w:numPr>
        <w:rPr>
          <w:rFonts w:ascii="Arial" w:cs="Arial" w:eastAsia="Arial" w:hAnsi="Arial"/>
          <w:sz w:val="17"/>
          <w:szCs w:val="17"/>
          <w:color w:val="auto"/>
        </w:rPr>
      </w:pPr>
      <w:r>
        <w:rPr>
          <w:rFonts w:ascii="Arial" w:cs="Arial" w:eastAsia="Arial" w:hAnsi="Arial"/>
          <w:sz w:val="20"/>
          <w:szCs w:val="20"/>
          <w:u w:val="single" w:color="auto"/>
          <w:color w:val="auto"/>
        </w:rPr>
        <w:t>Headings</w:t>
      </w:r>
      <w:r>
        <w:rPr>
          <w:rFonts w:ascii="Arial" w:cs="Arial" w:eastAsia="Arial" w:hAnsi="Arial"/>
          <w:sz w:val="20"/>
          <w:szCs w:val="20"/>
          <w:color w:val="auto"/>
        </w:rPr>
        <w:t>. The headings of the Sections hereof are provided for convenience only and are not to serve as a basis for interpretation or construction, and shall not constitute a part, of this Agreement.</w:t>
      </w:r>
    </w:p>
    <w:p>
      <w:pPr>
        <w:ind w:right="140" w:firstLine="1214"/>
        <w:spacing w:after="0" w:line="257" w:lineRule="auto"/>
        <w:tabs>
          <w:tab w:leader="none" w:pos="2030" w:val="left"/>
        </w:tabs>
        <w:numPr>
          <w:ilvl w:val="0"/>
          <w:numId w:val="24"/>
        </w:numPr>
        <w:rPr>
          <w:rFonts w:ascii="Arial" w:cs="Arial" w:eastAsia="Arial" w:hAnsi="Arial"/>
          <w:sz w:val="17"/>
          <w:szCs w:val="17"/>
          <w:color w:val="auto"/>
        </w:rPr>
      </w:pPr>
      <w:r>
        <w:rPr>
          <w:rFonts w:ascii="Arial" w:cs="Arial" w:eastAsia="Arial" w:hAnsi="Arial"/>
          <w:sz w:val="20"/>
          <w:szCs w:val="20"/>
          <w:u w:val="single" w:color="auto"/>
          <w:color w:val="auto"/>
        </w:rPr>
        <w:t>Signature in Counterparts</w:t>
      </w:r>
      <w:r>
        <w:rPr>
          <w:rFonts w:ascii="Arial" w:cs="Arial" w:eastAsia="Arial" w:hAnsi="Arial"/>
          <w:sz w:val="20"/>
          <w:szCs w:val="20"/>
          <w:color w:val="auto"/>
        </w:rPr>
        <w:t>. This Agreement may be signed in counterparts, each of which shall be an original, with the same effect as if the signatures thereto and hereto were upon the same instrument.</w:t>
      </w:r>
    </w:p>
    <w:p>
      <w:pPr>
        <w:jc w:val="both"/>
        <w:ind w:right="220"/>
        <w:spacing w:after="0" w:line="275" w:lineRule="auto"/>
        <w:rPr>
          <w:rFonts w:ascii="Arial" w:cs="Arial" w:eastAsia="Arial" w:hAnsi="Arial"/>
          <w:sz w:val="17"/>
          <w:szCs w:val="17"/>
          <w:color w:val="auto"/>
        </w:rPr>
      </w:pPr>
      <w:r>
        <w:rPr>
          <w:rFonts w:ascii="Arial" w:cs="Arial" w:eastAsia="Arial" w:hAnsi="Arial"/>
          <w:sz w:val="19"/>
          <w:szCs w:val="19"/>
          <w:b w:val="1"/>
          <w:bCs w:val="1"/>
          <w:i w:val="1"/>
          <w:iCs w:val="1"/>
          <w:u w:val="single" w:color="auto"/>
          <w:color w:val="auto"/>
        </w:rPr>
        <w:t>PLEASE NOTE: Participant’s designation/election via the current plan administrator’s website that Participant has read and accepted the terms of this Agreement and the terms and conditions of the Plan is considered Participant’s electronic signature and Participant’s express consent to this Agreement and the terms and conditions set forth in the Plan.</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i w:val="1"/>
          <w:iCs w:val="1"/>
          <w:color w:val="auto"/>
        </w:rPr>
        <w:t>[Remainder of page intentionally left blank; signature page to follow]</w:t>
      </w:r>
    </w:p>
    <w:p>
      <w:pPr>
        <w:sectPr>
          <w:pgSz w:w="11900" w:h="16838" w:orient="portrait"/>
          <w:cols w:equalWidth="0" w:num="1">
            <w:col w:w="11420"/>
          </w:cols>
          <w:pgMar w:left="240" w:top="561" w:right="239" w:bottom="1440" w:gutter="0" w:footer="0" w:header="0"/>
        </w:sectPr>
      </w:pPr>
    </w:p>
    <w:bookmarkStart w:id="48" w:name="page49"/>
    <w:bookmarkEnd w:id="48"/>
    <w:p>
      <w:pPr>
        <w:ind w:left="20"/>
        <w:spacing w:after="0"/>
        <w:rPr>
          <w:sz w:val="20"/>
          <w:szCs w:val="20"/>
          <w:color w:val="auto"/>
        </w:rPr>
      </w:pPr>
      <w:r>
        <w:rPr>
          <w:rFonts w:ascii="Arial" w:cs="Arial" w:eastAsia="Arial" w:hAnsi="Arial"/>
          <w:sz w:val="18"/>
          <w:szCs w:val="18"/>
          <w:color w:val="auto"/>
        </w:rPr>
        <w:t>IN WITNESS WHEREOF, the parties hereto have executed this Agreement.</w:t>
      </w:r>
    </w:p>
    <w:p>
      <w:pPr>
        <w:spacing w:after="0" w:line="235" w:lineRule="exact"/>
        <w:rPr>
          <w:sz w:val="20"/>
          <w:szCs w:val="20"/>
          <w:color w:val="auto"/>
        </w:rPr>
      </w:pPr>
    </w:p>
    <w:p>
      <w:pPr>
        <w:ind w:left="2440"/>
        <w:spacing w:after="0"/>
        <w:rPr>
          <w:sz w:val="20"/>
          <w:szCs w:val="20"/>
          <w:color w:val="auto"/>
        </w:rPr>
      </w:pPr>
      <w:r>
        <w:rPr>
          <w:rFonts w:ascii="Arial" w:cs="Arial" w:eastAsia="Arial" w:hAnsi="Arial"/>
          <w:sz w:val="20"/>
          <w:szCs w:val="20"/>
          <w:color w:val="auto"/>
        </w:rPr>
        <w:t>ExlService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440"/>
        <w:spacing w:after="0"/>
        <w:rPr>
          <w:sz w:val="20"/>
          <w:szCs w:val="20"/>
          <w:color w:val="auto"/>
        </w:rPr>
      </w:pPr>
      <w:r>
        <w:rPr>
          <w:rFonts w:ascii="Arial" w:cs="Arial" w:eastAsia="Arial" w:hAnsi="Arial"/>
          <w:sz w:val="20"/>
          <w:szCs w:val="20"/>
          <w:color w:val="auto"/>
        </w:rPr>
        <w:t>By:</w:t>
      </w:r>
    </w:p>
    <w:p>
      <w:pPr>
        <w:spacing w:after="0" w:line="200" w:lineRule="exact"/>
        <w:rPr>
          <w:sz w:val="20"/>
          <w:szCs w:val="20"/>
          <w:color w:val="auto"/>
        </w:rPr>
      </w:pPr>
    </w:p>
    <w:p>
      <w:pPr>
        <w:spacing w:after="0" w:line="215" w:lineRule="exact"/>
        <w:rPr>
          <w:sz w:val="20"/>
          <w:szCs w:val="20"/>
          <w:color w:val="auto"/>
        </w:rPr>
      </w:pPr>
    </w:p>
    <w:p>
      <w:pPr>
        <w:ind w:left="244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440"/>
        <w:spacing w:after="0"/>
        <w:rPr>
          <w:sz w:val="20"/>
          <w:szCs w:val="20"/>
          <w:color w:val="auto"/>
        </w:rPr>
      </w:pPr>
      <w:r>
        <w:rPr>
          <w:rFonts w:ascii="Arial" w:cs="Arial" w:eastAsia="Arial" w:hAnsi="Arial"/>
          <w:sz w:val="20"/>
          <w:szCs w:val="20"/>
          <w:color w:val="auto"/>
        </w:rPr>
        <w:t>Participant</w:t>
      </w:r>
    </w:p>
    <w:p>
      <w:pPr>
        <w:sectPr>
          <w:pgSz w:w="11900" w:h="16838" w:orient="portrait"/>
          <w:cols w:equalWidth="0" w:num="1">
            <w:col w:w="9019"/>
          </w:cols>
          <w:pgMar w:left="1440" w:top="561" w:right="1440" w:bottom="1440" w:gutter="0" w:footer="0" w:header="0"/>
        </w:sectPr>
      </w:pPr>
    </w:p>
    <w:bookmarkStart w:id="49" w:name="page50"/>
    <w:bookmarkEnd w:id="49"/>
    <w:p>
      <w:pPr>
        <w:jc w:val="right"/>
        <w:spacing w:after="0"/>
        <w:rPr>
          <w:sz w:val="20"/>
          <w:szCs w:val="20"/>
          <w:color w:val="auto"/>
        </w:rPr>
      </w:pPr>
      <w:r>
        <w:rPr>
          <w:rFonts w:ascii="Arial" w:cs="Arial" w:eastAsia="Arial" w:hAnsi="Arial"/>
          <w:sz w:val="17"/>
          <w:szCs w:val="17"/>
          <w:b w:val="1"/>
          <w:bCs w:val="1"/>
          <w:color w:val="auto"/>
        </w:rPr>
        <w:t>Exhibit 31.1</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SECTION 302 CERTIFICATION</w:t>
      </w:r>
    </w:p>
    <w:p>
      <w:pPr>
        <w:spacing w:after="0" w:line="209" w:lineRule="exact"/>
        <w:rPr>
          <w:sz w:val="20"/>
          <w:szCs w:val="20"/>
          <w:color w:val="auto"/>
        </w:rPr>
      </w:pPr>
    </w:p>
    <w:p>
      <w:pPr>
        <w:ind w:left="400"/>
        <w:spacing w:after="0"/>
        <w:rPr>
          <w:sz w:val="20"/>
          <w:szCs w:val="20"/>
          <w:color w:val="auto"/>
        </w:rPr>
      </w:pPr>
      <w:r>
        <w:rPr>
          <w:rFonts w:ascii="Arial" w:cs="Arial" w:eastAsia="Arial" w:hAnsi="Arial"/>
          <w:sz w:val="17"/>
          <w:szCs w:val="17"/>
          <w:color w:val="auto"/>
        </w:rPr>
        <w:t>I, Rohit Kapoor, certify that:</w:t>
      </w:r>
    </w:p>
    <w:p>
      <w:pPr>
        <w:spacing w:after="0" w:line="209" w:lineRule="exact"/>
        <w:rPr>
          <w:sz w:val="20"/>
          <w:szCs w:val="20"/>
          <w:color w:val="auto"/>
        </w:rPr>
      </w:pPr>
    </w:p>
    <w:p>
      <w:pPr>
        <w:ind w:left="380" w:hanging="379"/>
        <w:spacing w:after="0"/>
        <w:tabs>
          <w:tab w:leader="none" w:pos="3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 have reviewed this Quarterly Report of ExlService Holdings, Inc.;</w:t>
      </w:r>
    </w:p>
    <w:p>
      <w:pPr>
        <w:spacing w:after="0" w:line="208" w:lineRule="exact"/>
        <w:rPr>
          <w:rFonts w:ascii="Arial" w:cs="Arial" w:eastAsia="Arial" w:hAnsi="Arial"/>
          <w:sz w:val="17"/>
          <w:szCs w:val="17"/>
          <w:color w:val="auto"/>
        </w:rPr>
      </w:pPr>
    </w:p>
    <w:p>
      <w:pPr>
        <w:ind w:left="380" w:right="40" w:hanging="379"/>
        <w:spacing w:after="0" w:line="303" w:lineRule="auto"/>
        <w:tabs>
          <w:tab w:leader="none" w:pos="3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2" w:lineRule="exact"/>
        <w:rPr>
          <w:rFonts w:ascii="Arial" w:cs="Arial" w:eastAsia="Arial" w:hAnsi="Arial"/>
          <w:sz w:val="16"/>
          <w:szCs w:val="16"/>
          <w:color w:val="auto"/>
        </w:rPr>
      </w:pPr>
    </w:p>
    <w:p>
      <w:pPr>
        <w:ind w:left="380" w:right="580" w:hanging="379"/>
        <w:spacing w:after="0" w:line="271" w:lineRule="auto"/>
        <w:tabs>
          <w:tab w:leader="none" w:pos="3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5" w:lineRule="exact"/>
        <w:rPr>
          <w:rFonts w:ascii="Arial" w:cs="Arial" w:eastAsia="Arial" w:hAnsi="Arial"/>
          <w:sz w:val="17"/>
          <w:szCs w:val="17"/>
          <w:color w:val="auto"/>
        </w:rPr>
      </w:pPr>
    </w:p>
    <w:p>
      <w:pPr>
        <w:ind w:left="380" w:hanging="379"/>
        <w:spacing w:after="0"/>
        <w:tabs>
          <w:tab w:leader="none" w:pos="380" w:val="left"/>
        </w:tabs>
        <w:numPr>
          <w:ilvl w:val="0"/>
          <w:numId w:val="25"/>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w:t>
      </w:r>
    </w:p>
    <w:p>
      <w:pPr>
        <w:spacing w:after="0" w:line="41" w:lineRule="exact"/>
        <w:rPr>
          <w:rFonts w:ascii="Arial" w:cs="Arial" w:eastAsia="Arial" w:hAnsi="Arial"/>
          <w:sz w:val="15"/>
          <w:szCs w:val="15"/>
          <w:color w:val="auto"/>
        </w:rPr>
      </w:pPr>
    </w:p>
    <w:p>
      <w:pPr>
        <w:ind w:left="380"/>
        <w:spacing w:after="0"/>
        <w:rPr>
          <w:rFonts w:ascii="Arial" w:cs="Arial" w:eastAsia="Arial" w:hAnsi="Arial"/>
          <w:sz w:val="15"/>
          <w:szCs w:val="15"/>
          <w:color w:val="auto"/>
        </w:rPr>
      </w:pPr>
      <w:r>
        <w:rPr>
          <w:rFonts w:ascii="Arial" w:cs="Arial" w:eastAsia="Arial" w:hAnsi="Arial"/>
          <w:sz w:val="15"/>
          <w:szCs w:val="15"/>
          <w:color w:val="auto"/>
        </w:rPr>
        <w:t>13a-15(e) and 15d-15(e)) and internal control over financial reporting (as defined in Exchange Act Rules 13a-15(f) and 15d-15(f)) for the registrant and have:</w:t>
      </w:r>
    </w:p>
    <w:p>
      <w:pPr>
        <w:spacing w:after="0" w:line="220" w:lineRule="exact"/>
        <w:rPr>
          <w:rFonts w:ascii="Arial" w:cs="Arial" w:eastAsia="Arial" w:hAnsi="Arial"/>
          <w:sz w:val="15"/>
          <w:szCs w:val="15"/>
          <w:color w:val="auto"/>
        </w:rPr>
      </w:pPr>
    </w:p>
    <w:p>
      <w:pPr>
        <w:ind w:left="680" w:right="160" w:hanging="300"/>
        <w:spacing w:after="0" w:line="259" w:lineRule="auto"/>
        <w:tabs>
          <w:tab w:leader="none" w:pos="680" w:val="left"/>
        </w:tabs>
        <w:numPr>
          <w:ilvl w:val="1"/>
          <w:numId w:val="2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Arial" w:cs="Arial" w:eastAsia="Arial" w:hAnsi="Arial"/>
          <w:sz w:val="17"/>
          <w:szCs w:val="17"/>
          <w:color w:val="auto"/>
        </w:rPr>
      </w:pPr>
    </w:p>
    <w:p>
      <w:pPr>
        <w:ind w:left="680" w:right="320" w:hanging="300"/>
        <w:spacing w:after="0" w:line="259" w:lineRule="auto"/>
        <w:tabs>
          <w:tab w:leader="none" w:pos="680" w:val="left"/>
        </w:tabs>
        <w:numPr>
          <w:ilvl w:val="1"/>
          <w:numId w:val="2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Arial" w:cs="Arial" w:eastAsia="Arial" w:hAnsi="Arial"/>
          <w:sz w:val="17"/>
          <w:szCs w:val="17"/>
          <w:color w:val="auto"/>
        </w:rPr>
      </w:pPr>
    </w:p>
    <w:p>
      <w:pPr>
        <w:ind w:left="680" w:right="300" w:hanging="300"/>
        <w:spacing w:after="0" w:line="271" w:lineRule="auto"/>
        <w:tabs>
          <w:tab w:leader="none" w:pos="680" w:val="left"/>
        </w:tabs>
        <w:numPr>
          <w:ilvl w:val="1"/>
          <w:numId w:val="2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5" w:lineRule="exact"/>
        <w:rPr>
          <w:rFonts w:ascii="Arial" w:cs="Arial" w:eastAsia="Arial" w:hAnsi="Arial"/>
          <w:sz w:val="17"/>
          <w:szCs w:val="17"/>
          <w:color w:val="auto"/>
        </w:rPr>
      </w:pPr>
    </w:p>
    <w:p>
      <w:pPr>
        <w:ind w:left="680" w:right="240" w:hanging="300"/>
        <w:spacing w:after="0" w:line="259" w:lineRule="auto"/>
        <w:tabs>
          <w:tab w:leader="none" w:pos="680" w:val="left"/>
        </w:tabs>
        <w:numPr>
          <w:ilvl w:val="1"/>
          <w:numId w:val="2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Arial" w:cs="Arial" w:eastAsia="Arial" w:hAnsi="Arial"/>
          <w:sz w:val="17"/>
          <w:szCs w:val="17"/>
          <w:color w:val="auto"/>
        </w:rPr>
      </w:pPr>
    </w:p>
    <w:p>
      <w:pPr>
        <w:ind w:left="380" w:right="340" w:hanging="379"/>
        <w:spacing w:after="0" w:line="271" w:lineRule="auto"/>
        <w:tabs>
          <w:tab w:leader="none" w:pos="3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5" w:lineRule="exact"/>
        <w:rPr>
          <w:rFonts w:ascii="Arial" w:cs="Arial" w:eastAsia="Arial" w:hAnsi="Arial"/>
          <w:sz w:val="17"/>
          <w:szCs w:val="17"/>
          <w:color w:val="auto"/>
        </w:rPr>
      </w:pPr>
    </w:p>
    <w:p>
      <w:pPr>
        <w:ind w:left="680" w:right="480" w:hanging="300"/>
        <w:spacing w:after="0" w:line="271" w:lineRule="auto"/>
        <w:tabs>
          <w:tab w:leader="none" w:pos="680" w:val="left"/>
        </w:tabs>
        <w:numPr>
          <w:ilvl w:val="1"/>
          <w:numId w:val="2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5" w:lineRule="exact"/>
        <w:rPr>
          <w:rFonts w:ascii="Arial" w:cs="Arial" w:eastAsia="Arial" w:hAnsi="Arial"/>
          <w:sz w:val="17"/>
          <w:szCs w:val="17"/>
          <w:color w:val="auto"/>
        </w:rPr>
      </w:pPr>
    </w:p>
    <w:p>
      <w:pPr>
        <w:ind w:left="680" w:right="80" w:hanging="300"/>
        <w:spacing w:after="0" w:line="271" w:lineRule="auto"/>
        <w:tabs>
          <w:tab w:leader="none" w:pos="680" w:val="left"/>
        </w:tabs>
        <w:numPr>
          <w:ilvl w:val="1"/>
          <w:numId w:val="25"/>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0"/>
        <w:spacing w:after="0"/>
        <w:tabs>
          <w:tab w:leader="none" w:pos="6300" w:val="left"/>
        </w:tabs>
        <w:rPr>
          <w:sz w:val="20"/>
          <w:szCs w:val="20"/>
          <w:color w:val="auto"/>
        </w:rPr>
      </w:pPr>
      <w:r>
        <w:rPr>
          <w:rFonts w:ascii="Arial" w:cs="Arial" w:eastAsia="Arial" w:hAnsi="Arial"/>
          <w:sz w:val="17"/>
          <w:szCs w:val="17"/>
          <w:color w:val="auto"/>
        </w:rPr>
        <w:t>Date: October 27, 2016</w:t>
      </w:r>
      <w:r>
        <w:rPr>
          <w:sz w:val="20"/>
          <w:szCs w:val="20"/>
          <w:color w:val="auto"/>
        </w:rPr>
        <w:tab/>
      </w:r>
      <w:r>
        <w:rPr>
          <w:rFonts w:ascii="Arial" w:cs="Arial" w:eastAsia="Arial" w:hAnsi="Arial"/>
          <w:sz w:val="15"/>
          <w:szCs w:val="15"/>
          <w:color w:val="auto"/>
        </w:rPr>
        <w:t>/s/ Rohit Kapoor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3997325</wp:posOffset>
            </wp:positionH>
            <wp:positionV relativeFrom="paragraph">
              <wp:posOffset>27940</wp:posOffset>
            </wp:positionV>
            <wp:extent cx="32581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58185" cy="8255"/>
                    </a:xfrm>
                    <a:prstGeom prst="rect">
                      <a:avLst/>
                    </a:prstGeom>
                    <a:noFill/>
                  </pic:spPr>
                </pic:pic>
              </a:graphicData>
            </a:graphic>
          </wp:anchor>
        </w:drawing>
      </w:r>
    </w:p>
    <w:p>
      <w:pPr>
        <w:spacing w:after="0" w:line="50" w:lineRule="exact"/>
        <w:rPr>
          <w:sz w:val="20"/>
          <w:szCs w:val="20"/>
          <w:color w:val="auto"/>
        </w:rPr>
      </w:pPr>
    </w:p>
    <w:p>
      <w:pPr>
        <w:ind w:left="6320"/>
        <w:spacing w:after="0"/>
        <w:rPr>
          <w:sz w:val="20"/>
          <w:szCs w:val="20"/>
          <w:color w:val="auto"/>
        </w:rPr>
      </w:pPr>
      <w:r>
        <w:rPr>
          <w:rFonts w:ascii="Arial" w:cs="Arial" w:eastAsia="Arial" w:hAnsi="Arial"/>
          <w:sz w:val="17"/>
          <w:szCs w:val="17"/>
          <w:color w:val="auto"/>
        </w:rPr>
        <w:t>Rohit Kapoor</w:t>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7"/>
          <w:szCs w:val="17"/>
          <w:color w:val="auto"/>
        </w:rPr>
        <w:t>Vice-Chairman and Chief Executive Officer</w:t>
      </w:r>
    </w:p>
    <w:p>
      <w:pPr>
        <w:sectPr>
          <w:pgSz w:w="11900" w:h="16838" w:orient="portrait"/>
          <w:cols w:equalWidth="0" w:num="1">
            <w:col w:w="11420"/>
          </w:cols>
          <w:pgMar w:left="240" w:top="553"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7"/>
          <w:szCs w:val="17"/>
          <w:b w:val="1"/>
          <w:bCs w:val="1"/>
          <w:color w:val="auto"/>
        </w:rPr>
        <w:t>Exhibit 31.2</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SECTION 302 CERTIFICATION</w:t>
      </w:r>
    </w:p>
    <w:p>
      <w:pPr>
        <w:spacing w:after="0" w:line="209" w:lineRule="exact"/>
        <w:rPr>
          <w:sz w:val="20"/>
          <w:szCs w:val="20"/>
          <w:color w:val="auto"/>
        </w:rPr>
      </w:pPr>
    </w:p>
    <w:p>
      <w:pPr>
        <w:ind w:left="400"/>
        <w:spacing w:after="0"/>
        <w:rPr>
          <w:sz w:val="20"/>
          <w:szCs w:val="20"/>
          <w:color w:val="auto"/>
        </w:rPr>
      </w:pPr>
      <w:r>
        <w:rPr>
          <w:rFonts w:ascii="Arial" w:cs="Arial" w:eastAsia="Arial" w:hAnsi="Arial"/>
          <w:sz w:val="17"/>
          <w:szCs w:val="17"/>
          <w:color w:val="auto"/>
        </w:rPr>
        <w:t>I, Vishal Chhibbar, certify that:</w:t>
      </w:r>
    </w:p>
    <w:p>
      <w:pPr>
        <w:spacing w:after="0" w:line="323" w:lineRule="exact"/>
        <w:rPr>
          <w:sz w:val="20"/>
          <w:szCs w:val="20"/>
          <w:color w:val="auto"/>
        </w:rPr>
      </w:pPr>
    </w:p>
    <w:p>
      <w:pPr>
        <w:ind w:left="380" w:hanging="379"/>
        <w:spacing w:after="0"/>
        <w:tabs>
          <w:tab w:leader="none" w:pos="3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 have reviewed this Quarterly Report of ExlService Holdings, Inc.;</w:t>
      </w:r>
    </w:p>
    <w:p>
      <w:pPr>
        <w:spacing w:after="0" w:line="208" w:lineRule="exact"/>
        <w:rPr>
          <w:rFonts w:ascii="Arial" w:cs="Arial" w:eastAsia="Arial" w:hAnsi="Arial"/>
          <w:sz w:val="17"/>
          <w:szCs w:val="17"/>
          <w:color w:val="auto"/>
        </w:rPr>
      </w:pPr>
    </w:p>
    <w:p>
      <w:pPr>
        <w:ind w:left="380" w:right="40" w:hanging="379"/>
        <w:spacing w:after="0" w:line="303" w:lineRule="auto"/>
        <w:tabs>
          <w:tab w:leader="none" w:pos="3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2" w:lineRule="exact"/>
        <w:rPr>
          <w:rFonts w:ascii="Arial" w:cs="Arial" w:eastAsia="Arial" w:hAnsi="Arial"/>
          <w:sz w:val="16"/>
          <w:szCs w:val="16"/>
          <w:color w:val="auto"/>
        </w:rPr>
      </w:pPr>
    </w:p>
    <w:p>
      <w:pPr>
        <w:ind w:left="380" w:right="580" w:hanging="379"/>
        <w:spacing w:after="0" w:line="271" w:lineRule="auto"/>
        <w:tabs>
          <w:tab w:leader="none" w:pos="3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5" w:lineRule="exact"/>
        <w:rPr>
          <w:rFonts w:ascii="Arial" w:cs="Arial" w:eastAsia="Arial" w:hAnsi="Arial"/>
          <w:sz w:val="17"/>
          <w:szCs w:val="17"/>
          <w:color w:val="auto"/>
        </w:rPr>
      </w:pPr>
    </w:p>
    <w:p>
      <w:pPr>
        <w:ind w:left="380" w:hanging="379"/>
        <w:spacing w:after="0"/>
        <w:tabs>
          <w:tab w:leader="none" w:pos="380" w:val="left"/>
        </w:tabs>
        <w:numPr>
          <w:ilvl w:val="0"/>
          <w:numId w:val="26"/>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w:t>
      </w:r>
    </w:p>
    <w:p>
      <w:pPr>
        <w:spacing w:after="0" w:line="41" w:lineRule="exact"/>
        <w:rPr>
          <w:rFonts w:ascii="Arial" w:cs="Arial" w:eastAsia="Arial" w:hAnsi="Arial"/>
          <w:sz w:val="15"/>
          <w:szCs w:val="15"/>
          <w:color w:val="auto"/>
        </w:rPr>
      </w:pPr>
    </w:p>
    <w:p>
      <w:pPr>
        <w:ind w:left="380"/>
        <w:spacing w:after="0"/>
        <w:rPr>
          <w:rFonts w:ascii="Arial" w:cs="Arial" w:eastAsia="Arial" w:hAnsi="Arial"/>
          <w:sz w:val="15"/>
          <w:szCs w:val="15"/>
          <w:color w:val="auto"/>
        </w:rPr>
      </w:pPr>
      <w:r>
        <w:rPr>
          <w:rFonts w:ascii="Arial" w:cs="Arial" w:eastAsia="Arial" w:hAnsi="Arial"/>
          <w:sz w:val="15"/>
          <w:szCs w:val="15"/>
          <w:color w:val="auto"/>
        </w:rPr>
        <w:t>13a-15(e) and 15d-15(e)) and internal control over financial reporting (as defined in Exchange Act Rules 13a-15(f) and 15d-15(f)) for the registrant and have:</w:t>
      </w:r>
    </w:p>
    <w:p>
      <w:pPr>
        <w:spacing w:after="0" w:line="220" w:lineRule="exact"/>
        <w:rPr>
          <w:rFonts w:ascii="Arial" w:cs="Arial" w:eastAsia="Arial" w:hAnsi="Arial"/>
          <w:sz w:val="15"/>
          <w:szCs w:val="15"/>
          <w:color w:val="auto"/>
        </w:rPr>
      </w:pPr>
    </w:p>
    <w:p>
      <w:pPr>
        <w:ind w:left="680" w:right="160" w:hanging="300"/>
        <w:spacing w:after="0" w:line="259" w:lineRule="auto"/>
        <w:tabs>
          <w:tab w:leader="none" w:pos="680" w:val="left"/>
        </w:tabs>
        <w:numPr>
          <w:ilvl w:val="1"/>
          <w:numId w:val="2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Arial" w:cs="Arial" w:eastAsia="Arial" w:hAnsi="Arial"/>
          <w:sz w:val="17"/>
          <w:szCs w:val="17"/>
          <w:color w:val="auto"/>
        </w:rPr>
      </w:pPr>
    </w:p>
    <w:p>
      <w:pPr>
        <w:ind w:left="680" w:right="320" w:hanging="300"/>
        <w:spacing w:after="0" w:line="259" w:lineRule="auto"/>
        <w:tabs>
          <w:tab w:leader="none" w:pos="680" w:val="left"/>
        </w:tabs>
        <w:numPr>
          <w:ilvl w:val="1"/>
          <w:numId w:val="2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Arial" w:cs="Arial" w:eastAsia="Arial" w:hAnsi="Arial"/>
          <w:sz w:val="17"/>
          <w:szCs w:val="17"/>
          <w:color w:val="auto"/>
        </w:rPr>
      </w:pPr>
    </w:p>
    <w:p>
      <w:pPr>
        <w:ind w:left="680" w:right="300" w:hanging="300"/>
        <w:spacing w:after="0" w:line="271" w:lineRule="auto"/>
        <w:tabs>
          <w:tab w:leader="none" w:pos="680" w:val="left"/>
        </w:tabs>
        <w:numPr>
          <w:ilvl w:val="1"/>
          <w:numId w:val="2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5" w:lineRule="exact"/>
        <w:rPr>
          <w:rFonts w:ascii="Arial" w:cs="Arial" w:eastAsia="Arial" w:hAnsi="Arial"/>
          <w:sz w:val="17"/>
          <w:szCs w:val="17"/>
          <w:color w:val="auto"/>
        </w:rPr>
      </w:pPr>
    </w:p>
    <w:p>
      <w:pPr>
        <w:ind w:left="680" w:right="240" w:hanging="300"/>
        <w:spacing w:after="0" w:line="259" w:lineRule="auto"/>
        <w:tabs>
          <w:tab w:leader="none" w:pos="680" w:val="left"/>
        </w:tabs>
        <w:numPr>
          <w:ilvl w:val="1"/>
          <w:numId w:val="2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Arial" w:cs="Arial" w:eastAsia="Arial" w:hAnsi="Arial"/>
          <w:sz w:val="17"/>
          <w:szCs w:val="17"/>
          <w:color w:val="auto"/>
        </w:rPr>
      </w:pPr>
    </w:p>
    <w:p>
      <w:pPr>
        <w:ind w:left="380" w:right="340" w:hanging="379"/>
        <w:spacing w:after="0" w:line="271" w:lineRule="auto"/>
        <w:tabs>
          <w:tab w:leader="none" w:pos="3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5" w:lineRule="exact"/>
        <w:rPr>
          <w:rFonts w:ascii="Arial" w:cs="Arial" w:eastAsia="Arial" w:hAnsi="Arial"/>
          <w:sz w:val="17"/>
          <w:szCs w:val="17"/>
          <w:color w:val="auto"/>
        </w:rPr>
      </w:pPr>
    </w:p>
    <w:p>
      <w:pPr>
        <w:ind w:left="680" w:right="480" w:hanging="300"/>
        <w:spacing w:after="0" w:line="271" w:lineRule="auto"/>
        <w:tabs>
          <w:tab w:leader="none" w:pos="680" w:val="left"/>
        </w:tabs>
        <w:numPr>
          <w:ilvl w:val="1"/>
          <w:numId w:val="2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5" w:lineRule="exact"/>
        <w:rPr>
          <w:rFonts w:ascii="Arial" w:cs="Arial" w:eastAsia="Arial" w:hAnsi="Arial"/>
          <w:sz w:val="17"/>
          <w:szCs w:val="17"/>
          <w:color w:val="auto"/>
        </w:rPr>
      </w:pPr>
    </w:p>
    <w:p>
      <w:pPr>
        <w:ind w:left="680" w:right="80" w:hanging="300"/>
        <w:spacing w:after="0" w:line="271" w:lineRule="auto"/>
        <w:tabs>
          <w:tab w:leader="none" w:pos="680" w:val="left"/>
        </w:tabs>
        <w:numPr>
          <w:ilvl w:val="1"/>
          <w:numId w:val="26"/>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317" w:lineRule="exact"/>
        <w:rPr>
          <w:sz w:val="20"/>
          <w:szCs w:val="20"/>
          <w:color w:val="auto"/>
        </w:rPr>
      </w:pPr>
    </w:p>
    <w:p>
      <w:pPr>
        <w:ind w:left="20"/>
        <w:spacing w:after="0"/>
        <w:tabs>
          <w:tab w:leader="none" w:pos="6300" w:val="left"/>
        </w:tabs>
        <w:rPr>
          <w:sz w:val="20"/>
          <w:szCs w:val="20"/>
          <w:color w:val="auto"/>
        </w:rPr>
      </w:pPr>
      <w:r>
        <w:rPr>
          <w:rFonts w:ascii="Arial" w:cs="Arial" w:eastAsia="Arial" w:hAnsi="Arial"/>
          <w:sz w:val="17"/>
          <w:szCs w:val="17"/>
          <w:color w:val="auto"/>
        </w:rPr>
        <w:t>Date: October 27, 2016</w:t>
      </w:r>
      <w:r>
        <w:rPr>
          <w:sz w:val="20"/>
          <w:szCs w:val="20"/>
          <w:color w:val="auto"/>
        </w:rPr>
        <w:tab/>
      </w:r>
      <w:r>
        <w:rPr>
          <w:rFonts w:ascii="Arial" w:cs="Arial" w:eastAsia="Arial" w:hAnsi="Arial"/>
          <w:sz w:val="15"/>
          <w:szCs w:val="15"/>
          <w:color w:val="auto"/>
        </w:rPr>
        <w:t>/s/ Vishal Chhibbar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3997325</wp:posOffset>
            </wp:positionH>
            <wp:positionV relativeFrom="paragraph">
              <wp:posOffset>27940</wp:posOffset>
            </wp:positionV>
            <wp:extent cx="325818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58185" cy="8255"/>
                    </a:xfrm>
                    <a:prstGeom prst="rect">
                      <a:avLst/>
                    </a:prstGeom>
                    <a:noFill/>
                  </pic:spPr>
                </pic:pic>
              </a:graphicData>
            </a:graphic>
          </wp:anchor>
        </w:drawing>
      </w:r>
    </w:p>
    <w:p>
      <w:pPr>
        <w:spacing w:after="0" w:line="50" w:lineRule="exact"/>
        <w:rPr>
          <w:sz w:val="20"/>
          <w:szCs w:val="20"/>
          <w:color w:val="auto"/>
        </w:rPr>
      </w:pPr>
    </w:p>
    <w:p>
      <w:pPr>
        <w:ind w:left="6320"/>
        <w:spacing w:after="0"/>
        <w:rPr>
          <w:sz w:val="20"/>
          <w:szCs w:val="20"/>
          <w:color w:val="auto"/>
        </w:rPr>
      </w:pPr>
      <w:r>
        <w:rPr>
          <w:rFonts w:ascii="Arial" w:cs="Arial" w:eastAsia="Arial" w:hAnsi="Arial"/>
          <w:sz w:val="17"/>
          <w:szCs w:val="17"/>
          <w:color w:val="auto"/>
        </w:rPr>
        <w:t>Vishal Chhibbar</w:t>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7"/>
          <w:szCs w:val="17"/>
          <w:color w:val="auto"/>
        </w:rPr>
        <w:t>Chief Financial Officer</w:t>
      </w:r>
    </w:p>
    <w:p>
      <w:pPr>
        <w:sectPr>
          <w:pgSz w:w="11900" w:h="16838" w:orient="portrait"/>
          <w:cols w:equalWidth="0" w:num="1">
            <w:col w:w="11420"/>
          </w:cols>
          <w:pgMar w:left="240" w:top="553"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7"/>
          <w:szCs w:val="17"/>
          <w:b w:val="1"/>
          <w:bCs w:val="1"/>
          <w:color w:val="auto"/>
        </w:rPr>
        <w:t>Exhibit 32.1</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 PURSUANT TO</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 U.S.C. SECTION 1350,</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AS ADOPTED PURSUANT TO</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SECTION 906 OF THE SARBANES-OXLEY ACT OF 2002</w:t>
      </w:r>
    </w:p>
    <w:p>
      <w:pPr>
        <w:spacing w:after="0" w:line="209" w:lineRule="exact"/>
        <w:rPr>
          <w:sz w:val="20"/>
          <w:szCs w:val="20"/>
          <w:color w:val="auto"/>
        </w:rPr>
      </w:pPr>
    </w:p>
    <w:p>
      <w:pPr>
        <w:ind w:right="120"/>
        <w:spacing w:after="0" w:line="259" w:lineRule="auto"/>
        <w:rPr>
          <w:sz w:val="20"/>
          <w:szCs w:val="20"/>
          <w:color w:val="auto"/>
        </w:rPr>
      </w:pPr>
      <w:r>
        <w:rPr>
          <w:rFonts w:ascii="Arial" w:cs="Arial" w:eastAsia="Arial" w:hAnsi="Arial"/>
          <w:sz w:val="17"/>
          <w:szCs w:val="17"/>
          <w:color w:val="auto"/>
        </w:rPr>
        <w:t>In connection with the Quarterly Report of ExlService Holdings, Inc. (the “Company”) on Form 10-Q for the period ended September 30, 2016 as filed with the Securities and Exchange Commission on the date hereof (the “Report”), I, Rohit Kapoor, Vice-Chairman and Chief Executive Officer of the Company, certify, pursuant to 18 U.S.C. Section 1350, as adopted pursuant to Section 906 of the Sarbanes-Oxley Act of 2002, that:</w:t>
      </w:r>
    </w:p>
    <w:p>
      <w:pPr>
        <w:spacing w:after="0" w:line="214" w:lineRule="exact"/>
        <w:rPr>
          <w:sz w:val="20"/>
          <w:szCs w:val="20"/>
          <w:color w:val="auto"/>
        </w:rPr>
      </w:pPr>
    </w:p>
    <w:p>
      <w:pPr>
        <w:ind w:left="300" w:hanging="299"/>
        <w:spacing w:after="0"/>
        <w:tabs>
          <w:tab w:leader="none" w:pos="3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158" w:lineRule="exact"/>
        <w:rPr>
          <w:rFonts w:ascii="Arial" w:cs="Arial" w:eastAsia="Arial" w:hAnsi="Arial"/>
          <w:sz w:val="17"/>
          <w:szCs w:val="17"/>
          <w:color w:val="auto"/>
        </w:rPr>
      </w:pPr>
    </w:p>
    <w:p>
      <w:pPr>
        <w:ind w:left="300" w:hanging="299"/>
        <w:spacing w:after="0"/>
        <w:tabs>
          <w:tab w:leader="none" w:pos="3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Rohit Kapoor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27940</wp:posOffset>
            </wp:positionV>
            <wp:extent cx="640461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04610" cy="8255"/>
                    </a:xfrm>
                    <a:prstGeom prst="rect">
                      <a:avLst/>
                    </a:prstGeom>
                    <a:noFill/>
                  </pic:spPr>
                </pic:pic>
              </a:graphicData>
            </a:graphic>
          </wp:anchor>
        </w:drawing>
      </w:r>
    </w:p>
    <w:p>
      <w:pPr>
        <w:spacing w:after="0" w:line="50" w:lineRule="exact"/>
        <w:rPr>
          <w:sz w:val="20"/>
          <w:szCs w:val="20"/>
          <w:color w:val="auto"/>
        </w:rPr>
      </w:pPr>
    </w:p>
    <w:p>
      <w:pPr>
        <w:ind w:left="20"/>
        <w:spacing w:after="0"/>
        <w:rPr>
          <w:sz w:val="20"/>
          <w:szCs w:val="20"/>
          <w:color w:val="auto"/>
        </w:rPr>
      </w:pPr>
      <w:r>
        <w:rPr>
          <w:rFonts w:ascii="Arial" w:cs="Arial" w:eastAsia="Arial" w:hAnsi="Arial"/>
          <w:sz w:val="17"/>
          <w:szCs w:val="17"/>
          <w:color w:val="auto"/>
        </w:rPr>
        <w:t>Rohit Kapoor</w:t>
      </w:r>
    </w:p>
    <w:p>
      <w:pPr>
        <w:spacing w:after="0" w:line="57" w:lineRule="exact"/>
        <w:rPr>
          <w:sz w:val="20"/>
          <w:szCs w:val="20"/>
          <w:color w:val="auto"/>
        </w:rPr>
      </w:pPr>
    </w:p>
    <w:p>
      <w:pPr>
        <w:ind w:left="20"/>
        <w:spacing w:after="0"/>
        <w:rPr>
          <w:sz w:val="20"/>
          <w:szCs w:val="20"/>
          <w:color w:val="auto"/>
        </w:rPr>
      </w:pPr>
      <w:r>
        <w:rPr>
          <w:rFonts w:ascii="Arial" w:cs="Arial" w:eastAsia="Arial" w:hAnsi="Arial"/>
          <w:sz w:val="17"/>
          <w:szCs w:val="17"/>
          <w:color w:val="auto"/>
        </w:rPr>
        <w:t>Vice-Chairman and Chief Executive Officer</w:t>
      </w:r>
    </w:p>
    <w:p>
      <w:pPr>
        <w:spacing w:after="0" w:line="361" w:lineRule="exact"/>
        <w:rPr>
          <w:sz w:val="20"/>
          <w:szCs w:val="20"/>
          <w:color w:val="auto"/>
        </w:rPr>
      </w:pPr>
    </w:p>
    <w:p>
      <w:pPr>
        <w:ind w:left="20"/>
        <w:spacing w:after="0"/>
        <w:rPr>
          <w:sz w:val="20"/>
          <w:szCs w:val="20"/>
          <w:color w:val="auto"/>
        </w:rPr>
      </w:pPr>
      <w:r>
        <w:rPr>
          <w:rFonts w:ascii="Arial" w:cs="Arial" w:eastAsia="Arial" w:hAnsi="Arial"/>
          <w:sz w:val="17"/>
          <w:szCs w:val="17"/>
          <w:color w:val="auto"/>
        </w:rPr>
        <w:t>October 27, 2016</w:t>
      </w:r>
    </w:p>
    <w:p>
      <w:pPr>
        <w:sectPr>
          <w:pgSz w:w="11900" w:h="16838" w:orient="portrait"/>
          <w:cols w:equalWidth="0" w:num="1">
            <w:col w:w="11420"/>
          </w:cols>
          <w:pgMar w:left="240" w:top="553"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7"/>
          <w:szCs w:val="17"/>
          <w:b w:val="1"/>
          <w:bCs w:val="1"/>
          <w:color w:val="auto"/>
        </w:rPr>
        <w:t>Exhibit 32.2</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 PURSUANT TO</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 U.S.C. SECTION 1350,</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AS ADOPTED PURSUANT TO</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SECTION 906 OF THE SARBANES-OXLEY ACT OF 2002</w:t>
      </w:r>
    </w:p>
    <w:p>
      <w:pPr>
        <w:spacing w:after="0" w:line="209" w:lineRule="exact"/>
        <w:rPr>
          <w:sz w:val="20"/>
          <w:szCs w:val="20"/>
          <w:color w:val="auto"/>
        </w:rPr>
      </w:pPr>
    </w:p>
    <w:p>
      <w:pPr>
        <w:ind w:right="460"/>
        <w:spacing w:after="0" w:line="259" w:lineRule="auto"/>
        <w:rPr>
          <w:sz w:val="20"/>
          <w:szCs w:val="20"/>
          <w:color w:val="auto"/>
        </w:rPr>
      </w:pPr>
      <w:r>
        <w:rPr>
          <w:rFonts w:ascii="Arial" w:cs="Arial" w:eastAsia="Arial" w:hAnsi="Arial"/>
          <w:sz w:val="17"/>
          <w:szCs w:val="17"/>
          <w:color w:val="auto"/>
        </w:rPr>
        <w:t>In connection with the Quarterly Report of ExlService Holdings, Inc. (the “Company”) on Form 10-Q for the period ended September 30, 2016 as filed with the Securities and Exchange Commission on the date hereof (the “Report”), I, Vishal Chhibbar, Chief Financial Officer of the Company, certify, pursuant to 18 U.S.C. Section 1350, as adopted pursuant to Section 906 of the Sarbanes-Oxley Act of 2002, that:</w:t>
      </w:r>
    </w:p>
    <w:p>
      <w:pPr>
        <w:spacing w:after="0" w:line="176" w:lineRule="exact"/>
        <w:rPr>
          <w:sz w:val="20"/>
          <w:szCs w:val="20"/>
          <w:color w:val="auto"/>
        </w:rPr>
      </w:pPr>
    </w:p>
    <w:p>
      <w:pPr>
        <w:ind w:left="300" w:hanging="299"/>
        <w:spacing w:after="0"/>
        <w:tabs>
          <w:tab w:leader="none" w:pos="3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08" w:lineRule="exact"/>
        <w:rPr>
          <w:rFonts w:ascii="Arial" w:cs="Arial" w:eastAsia="Arial" w:hAnsi="Arial"/>
          <w:sz w:val="17"/>
          <w:szCs w:val="17"/>
          <w:color w:val="auto"/>
        </w:rPr>
      </w:pPr>
    </w:p>
    <w:p>
      <w:pPr>
        <w:ind w:left="300" w:hanging="299"/>
        <w:spacing w:after="0"/>
        <w:tabs>
          <w:tab w:leader="none" w:pos="3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72"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Vishal Chhibbar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27940</wp:posOffset>
            </wp:positionV>
            <wp:extent cx="500824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008245" cy="8255"/>
                    </a:xfrm>
                    <a:prstGeom prst="rect">
                      <a:avLst/>
                    </a:prstGeom>
                    <a:noFill/>
                  </pic:spPr>
                </pic:pic>
              </a:graphicData>
            </a:graphic>
          </wp:anchor>
        </w:drawing>
      </w:r>
    </w:p>
    <w:p>
      <w:pPr>
        <w:spacing w:after="0" w:line="50" w:lineRule="exact"/>
        <w:rPr>
          <w:sz w:val="20"/>
          <w:szCs w:val="20"/>
          <w:color w:val="auto"/>
        </w:rPr>
      </w:pPr>
    </w:p>
    <w:p>
      <w:pPr>
        <w:ind w:left="20"/>
        <w:spacing w:after="0"/>
        <w:rPr>
          <w:sz w:val="20"/>
          <w:szCs w:val="20"/>
          <w:color w:val="auto"/>
        </w:rPr>
      </w:pPr>
      <w:r>
        <w:rPr>
          <w:rFonts w:ascii="Arial" w:cs="Arial" w:eastAsia="Arial" w:hAnsi="Arial"/>
          <w:sz w:val="17"/>
          <w:szCs w:val="17"/>
          <w:color w:val="auto"/>
        </w:rPr>
        <w:t>Vishal Chhibbar</w:t>
      </w:r>
    </w:p>
    <w:p>
      <w:pPr>
        <w:spacing w:after="0" w:line="57" w:lineRule="exact"/>
        <w:rPr>
          <w:sz w:val="20"/>
          <w:szCs w:val="20"/>
          <w:color w:val="auto"/>
        </w:rPr>
      </w:pPr>
    </w:p>
    <w:p>
      <w:pPr>
        <w:ind w:left="20"/>
        <w:spacing w:after="0"/>
        <w:rPr>
          <w:sz w:val="20"/>
          <w:szCs w:val="20"/>
          <w:color w:val="auto"/>
        </w:rPr>
      </w:pPr>
      <w:r>
        <w:rPr>
          <w:rFonts w:ascii="Arial" w:cs="Arial" w:eastAsia="Arial" w:hAnsi="Arial"/>
          <w:sz w:val="17"/>
          <w:szCs w:val="17"/>
          <w:color w:val="auto"/>
        </w:rPr>
        <w:t>Chief Financial Officer</w:t>
      </w:r>
    </w:p>
    <w:p>
      <w:pPr>
        <w:spacing w:after="0" w:line="361" w:lineRule="exact"/>
        <w:rPr>
          <w:sz w:val="20"/>
          <w:szCs w:val="20"/>
          <w:color w:val="auto"/>
        </w:rPr>
      </w:pPr>
    </w:p>
    <w:p>
      <w:pPr>
        <w:ind w:left="20"/>
        <w:spacing w:after="0"/>
        <w:rPr>
          <w:sz w:val="20"/>
          <w:szCs w:val="20"/>
          <w:color w:val="auto"/>
        </w:rPr>
      </w:pPr>
      <w:r>
        <w:rPr>
          <w:rFonts w:ascii="Arial" w:cs="Arial" w:eastAsia="Arial" w:hAnsi="Arial"/>
          <w:sz w:val="17"/>
          <w:szCs w:val="17"/>
          <w:color w:val="auto"/>
        </w:rPr>
        <w:t>October 27, 2016</w:t>
      </w:r>
    </w:p>
    <w:sectPr>
      <w:pgSz w:w="11900" w:h="16838" w:orient="portrait"/>
      <w:cols w:equalWidth="0" w:num="1">
        <w:col w:w="11420"/>
      </w:cols>
      <w:pgMar w:left="240" w:top="55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1)"/>
      <w:numFmt w:val="decimal"/>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
      <w:numFmt w:val="bullet"/>
      <w:start w:val="1"/>
    </w:lvl>
  </w:abstractNum>
  <w:abstractNum w:abstractNumId="5">
    <w:nsid w:val="25E45D32"/>
    <w:multiLevelType w:val="hybridMultilevel"/>
    <w:lvl w:ilvl="0">
      <w:lvlJc w:val="left"/>
      <w:lvlText w:val="**"/>
      <w:numFmt w:val="bullet"/>
      <w:start w:val="1"/>
    </w:lvl>
  </w:abstractNum>
  <w:abstractNum w:abstractNumId="6">
    <w:nsid w:val="519B500D"/>
    <w:multiLevelType w:val="hybridMultilevel"/>
    <w:lvl w:ilvl="0">
      <w:lvlJc w:val="left"/>
      <w:lvlText w:val="(%1)"/>
      <w:numFmt w:val="lowerRoman"/>
      <w:start w:val="2"/>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1)"/>
      <w:numFmt w:val="lowerRoman"/>
      <w:start w:val="1"/>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
      <w:numFmt w:val="bullet"/>
      <w:start w:val="1"/>
    </w:lvl>
    <w:lvl w:ilvl="1">
      <w:lvlJc w:val="left"/>
      <w:lvlText w:val="•"/>
      <w:numFmt w:val="bullet"/>
      <w:start w:val="1"/>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1)"/>
      <w:numFmt w:val="lowerLetter"/>
      <w:start w:val="1"/>
    </w:lvl>
  </w:abstractNum>
  <w:abstractNum w:abstractNumId="13">
    <w:nsid w:val="628C895D"/>
    <w:multiLevelType w:val="hybridMultilevel"/>
    <w:lvl w:ilvl="0">
      <w:lvlJc w:val="left"/>
      <w:lvlText w:val="%1."/>
      <w:numFmt w:val="decimal"/>
      <w:start w:val="1"/>
    </w:lvl>
    <w:lvl w:ilvl="1">
      <w:lvlJc w:val="left"/>
      <w:lvlText w:val="%2."/>
      <w:numFmt w:val="decimal"/>
      <w:start w:val="2"/>
    </w:lvl>
  </w:abstractNum>
  <w:abstractNum w:abstractNumId="14">
    <w:nsid w:val="333AB105"/>
    <w:multiLevelType w:val="hybridMultilevel"/>
    <w:lvl w:ilvl="0">
      <w:lvlJc w:val="left"/>
      <w:lvlText w:val="(%1)"/>
      <w:numFmt w:val="lowerLetter"/>
      <w:start w:val="1"/>
    </w:lvl>
  </w:abstractNum>
  <w:abstractNum w:abstractNumId="15">
    <w:nsid w:val="721DA317"/>
    <w:multiLevelType w:val="hybridMultilevel"/>
    <w:lvl w:ilvl="0">
      <w:lvlJc w:val="left"/>
      <w:lvlText w:val="(%1)"/>
      <w:numFmt w:val="lowerRoman"/>
      <w:start w:val="1"/>
    </w:lvl>
    <w:lvl w:ilvl="1">
      <w:lvlJc w:val="left"/>
      <w:lvlText w:val="(%2)"/>
      <w:numFmt w:val="upperLetter"/>
      <w:start w:val="2"/>
    </w:lvl>
  </w:abstractNum>
  <w:abstractNum w:abstractNumId="16">
    <w:nsid w:val="2443A858"/>
    <w:multiLevelType w:val="hybridMultilevel"/>
    <w:lvl w:ilvl="0">
      <w:lvlJc w:val="left"/>
      <w:lvlText w:val="(%1)"/>
      <w:numFmt w:val="decimal"/>
      <w:start w:val="1"/>
    </w:lvl>
  </w:abstractNum>
  <w:abstractNum w:abstractNumId="17">
    <w:nsid w:val="2D1D5AE9"/>
    <w:multiLevelType w:val="hybridMultilevel"/>
    <w:lvl w:ilvl="0">
      <w:lvlJc w:val="left"/>
      <w:lvlText w:val="(%1)"/>
      <w:numFmt w:val="decimal"/>
      <w:start w:val="3"/>
    </w:lvl>
  </w:abstractNum>
  <w:abstractNum w:abstractNumId="18">
    <w:nsid w:val="6763845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19">
    <w:nsid w:val="75A2A8D4"/>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abstractNum>
  <w:abstractNum w:abstractNumId="20">
    <w:nsid w:val="8EDBDAB"/>
    <w:multiLevelType w:val="hybridMultilevel"/>
    <w:lvl w:ilvl="0">
      <w:lvlJc w:val="left"/>
      <w:lvlText w:val="%1"/>
      <w:numFmt w:val="decimal"/>
      <w:start w:val="1"/>
    </w:lvl>
    <w:lvl w:ilvl="1">
      <w:lvlJc w:val="left"/>
      <w:lvlText w:val="(%2)"/>
      <w:numFmt w:val="lowerLetter"/>
      <w:start w:val="4"/>
    </w:lvl>
  </w:abstractNum>
  <w:abstractNum w:abstractNumId="21">
    <w:nsid w:val="79838CB2"/>
    <w:multiLevelType w:val="hybridMultilevel"/>
    <w:lvl w:ilvl="0">
      <w:lvlJc w:val="left"/>
      <w:lvlText w:val="%1."/>
      <w:numFmt w:val="decimal"/>
      <w:start w:val="5"/>
    </w:lvl>
    <w:lvl w:ilvl="1">
      <w:lvlJc w:val="left"/>
      <w:lvlText w:val="(%2)"/>
      <w:numFmt w:val="lowerLetter"/>
      <w:start w:val="1"/>
    </w:lvl>
  </w:abstractNum>
  <w:abstractNum w:abstractNumId="22">
    <w:nsid w:val="4353D0CD"/>
    <w:multiLevelType w:val="hybridMultilevel"/>
    <w:lvl w:ilvl="0">
      <w:lvlJc w:val="left"/>
      <w:lvlText w:val="%1."/>
      <w:numFmt w:val="decimal"/>
      <w:start w:val="6"/>
    </w:lvl>
  </w:abstractNum>
  <w:abstractNum w:abstractNumId="23">
    <w:nsid w:val="B03E0C6"/>
    <w:multiLevelType w:val="hybridMultilevel"/>
    <w:lvl w:ilvl="0">
      <w:lvlJc w:val="left"/>
      <w:lvlText w:val="%1."/>
      <w:numFmt w:val="decimal"/>
      <w:start w:val="8"/>
    </w:lvl>
  </w:abstractNum>
  <w:abstractNum w:abstractNumId="24">
    <w:nsid w:val="189A769B"/>
    <w:multiLevelType w:val="hybridMultilevel"/>
    <w:lvl w:ilvl="0">
      <w:lvlJc w:val="left"/>
      <w:lvlText w:val="%1."/>
      <w:numFmt w:val="decimal"/>
      <w:start w:val="1"/>
    </w:lvl>
    <w:lvl w:ilvl="1">
      <w:lvlJc w:val="left"/>
      <w:lvlText w:val="(%2)"/>
      <w:numFmt w:val="lowerLetter"/>
      <w:start w:val="1"/>
    </w:lvl>
  </w:abstractNum>
  <w:abstractNum w:abstractNumId="25">
    <w:nsid w:val="54E49EB4"/>
    <w:multiLevelType w:val="hybridMultilevel"/>
    <w:lvl w:ilvl="0">
      <w:lvlJc w:val="left"/>
      <w:lvlText w:val="%1."/>
      <w:numFmt w:val="decimal"/>
      <w:start w:val="1"/>
    </w:lvl>
    <w:lvl w:ilvl="1">
      <w:lvlJc w:val="left"/>
      <w:lvlText w:val="(%2)"/>
      <w:numFmt w:val="lowerLetter"/>
      <w:start w:val="1"/>
    </w:lvl>
  </w:abstractNum>
  <w:abstractNum w:abstractNumId="26">
    <w:nsid w:val="71F32454"/>
    <w:multiLevelType w:val="hybridMultilevel"/>
    <w:lvl w:ilvl="0">
      <w:lvlJc w:val="left"/>
      <w:lvlText w:val="(%1)"/>
      <w:numFmt w:val="lowerLetter"/>
      <w:start w:val="1"/>
    </w:lvl>
  </w:abstractNum>
  <w:abstractNum w:abstractNumId="27">
    <w:nsid w:val="2CA88611"/>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2019-12-29T10:35:44Z</dcterms:created>
  <dcterms:modified xsi:type="dcterms:W3CDTF">2019-12-29T10:35:44Z</dcterms:modified>
</cp:coreProperties>
</file>