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73145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731456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Kini Narasimha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540"/>
        <w:spacing w:after="0" w:line="330" w:lineRule="auto"/>
        <w:rPr>
          <w:sz w:val="20"/>
          <w:szCs w:val="20"/>
          <w:color w:val="auto"/>
        </w:rPr>
      </w:pPr>
      <w:r>
        <w:rPr>
          <w:rFonts w:ascii="Times New Roman" w:cs="Times New Roman" w:eastAsia="Times New Roman" w:hAnsi="Times New Roman"/>
          <w:sz w:val="16"/>
          <w:szCs w:val="16"/>
          <w:color w:val="0000FF"/>
        </w:rPr>
        <w:t>EXLSERVICE HOLDINGS INC 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46"/>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02/18/2025</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474"/>
        <w:spacing w:after="0"/>
        <w:rPr>
          <w:sz w:val="20"/>
          <w:szCs w:val="20"/>
          <w:color w:val="auto"/>
        </w:rPr>
      </w:pPr>
      <w:r>
        <w:rPr>
          <w:rFonts w:ascii="Times New Roman" w:cs="Times New Roman" w:eastAsia="Times New Roman" w:hAnsi="Times New Roman"/>
          <w:sz w:val="17"/>
          <w:szCs w:val="17"/>
          <w:color w:val="0000FF"/>
        </w:rPr>
        <w:t>EVP, Emerging Bus Unit Leader</w:t>
      </w:r>
    </w:p>
    <w:p>
      <w:pPr>
        <w:spacing w:after="0" w:line="441" w:lineRule="exact"/>
        <w:rPr>
          <w:sz w:val="24"/>
          <w:szCs w:val="24"/>
          <w:color w:val="auto"/>
        </w:rPr>
      </w:pPr>
    </w:p>
    <w:p>
      <w:pPr>
        <w:sectPr>
          <w:pgSz w:w="11900" w:h="16838" w:orient="portrait"/>
          <w:cols w:equalWidth="0" w:num="3">
            <w:col w:w="3180" w:space="720"/>
            <w:col w:w="3106" w:space="720"/>
            <w:col w:w="3354"/>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80" w:type="dxa"/>
            <w:vAlign w:val="bottom"/>
            <w:gridSpan w:val="7"/>
          </w:tcPr>
          <w:p>
            <w:pPr>
              <w:jc w:val="center"/>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0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10022</w:t>
            </w: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6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5"/>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4"/>
                <w:szCs w:val="14"/>
                <w:color w:val="auto"/>
              </w:rPr>
            </w:pP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80" w:type="dxa"/>
            <w:vAlign w:val="bottom"/>
            <w:tcBorders>
              <w:bottom w:val="single" w:sz="8" w:color="2C2C2C"/>
            </w:tcBorders>
            <w:gridSpan w:val="6"/>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02/18/2025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3,325</w:t>
            </w:r>
          </w:p>
        </w:tc>
        <w:tc>
          <w:tcPr>
            <w:tcW w:w="680" w:type="dxa"/>
            <w:vAlign w:val="bottom"/>
            <w:tcBorders>
              <w:bottom w:val="single" w:sz="8" w:color="2C2C2C"/>
            </w:tcBorders>
          </w:tcPr>
          <w:p>
            <w:pPr>
              <w:jc w:val="right"/>
              <w:ind w:right="133"/>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178,318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02/18/2025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1,541</w:t>
            </w:r>
          </w:p>
        </w:tc>
        <w:tc>
          <w:tcPr>
            <w:tcW w:w="680" w:type="dxa"/>
            <w:vAlign w:val="bottom"/>
            <w:tcBorders>
              <w:bottom w:val="single" w:sz="8" w:color="2C2C2C"/>
            </w:tcBorders>
          </w:tcPr>
          <w:p>
            <w:pPr>
              <w:jc w:val="right"/>
              <w:ind w:right="133"/>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50.93</w:t>
            </w:r>
            <w:r>
              <w:rPr>
                <w:rFonts w:ascii="Times New Roman" w:cs="Times New Roman" w:eastAsia="Times New Roman" w:hAnsi="Times New Roman"/>
                <w:sz w:val="21"/>
                <w:szCs w:val="21"/>
                <w:color w:val="008000"/>
                <w:w w:val="99"/>
                <w:vertAlign w:val="superscript"/>
              </w:rPr>
              <w:t>(2)</w:t>
            </w:r>
          </w:p>
        </w:tc>
        <w:tc>
          <w:tcPr>
            <w:tcW w:w="11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176,777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02/18/2025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3,300</w:t>
            </w:r>
          </w:p>
        </w:tc>
        <w:tc>
          <w:tcPr>
            <w:tcW w:w="680" w:type="dxa"/>
            <w:vAlign w:val="bottom"/>
            <w:tcBorders>
              <w:bottom w:val="single" w:sz="8" w:color="2C2C2C"/>
            </w:tcBorders>
          </w:tcPr>
          <w:p>
            <w:pPr>
              <w:jc w:val="right"/>
              <w:ind w:right="133"/>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180,077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02/18/2025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1,530</w:t>
            </w:r>
          </w:p>
        </w:tc>
        <w:tc>
          <w:tcPr>
            <w:tcW w:w="680" w:type="dxa"/>
            <w:vAlign w:val="bottom"/>
            <w:tcBorders>
              <w:bottom w:val="single" w:sz="8" w:color="2C2C2C"/>
            </w:tcBorders>
          </w:tcPr>
          <w:p>
            <w:pPr>
              <w:jc w:val="right"/>
              <w:ind w:right="133"/>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50.93</w:t>
            </w:r>
            <w:r>
              <w:rPr>
                <w:rFonts w:ascii="Times New Roman" w:cs="Times New Roman" w:eastAsia="Times New Roman" w:hAnsi="Times New Roman"/>
                <w:sz w:val="21"/>
                <w:szCs w:val="21"/>
                <w:color w:val="008000"/>
                <w:w w:val="99"/>
                <w:vertAlign w:val="superscript"/>
              </w:rPr>
              <w:t>(2)</w:t>
            </w:r>
          </w:p>
        </w:tc>
        <w:tc>
          <w:tcPr>
            <w:tcW w:w="11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178,547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02/18/2025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3,230</w:t>
            </w:r>
          </w:p>
        </w:tc>
        <w:tc>
          <w:tcPr>
            <w:tcW w:w="680" w:type="dxa"/>
            <w:vAlign w:val="bottom"/>
            <w:tcBorders>
              <w:bottom w:val="single" w:sz="8" w:color="2C2C2C"/>
            </w:tcBorders>
          </w:tcPr>
          <w:p>
            <w:pPr>
              <w:jc w:val="right"/>
              <w:ind w:right="133"/>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181,777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02/18/2025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1,497</w:t>
            </w:r>
          </w:p>
        </w:tc>
        <w:tc>
          <w:tcPr>
            <w:tcW w:w="680" w:type="dxa"/>
            <w:vAlign w:val="bottom"/>
            <w:tcBorders>
              <w:bottom w:val="single" w:sz="8" w:color="2C2C2C"/>
            </w:tcBorders>
          </w:tcPr>
          <w:p>
            <w:pPr>
              <w:jc w:val="right"/>
              <w:ind w:right="133"/>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50.93</w:t>
            </w:r>
            <w:r>
              <w:rPr>
                <w:rFonts w:ascii="Times New Roman" w:cs="Times New Roman" w:eastAsia="Times New Roman" w:hAnsi="Times New Roman"/>
                <w:sz w:val="21"/>
                <w:szCs w:val="21"/>
                <w:color w:val="008000"/>
                <w:w w:val="99"/>
                <w:vertAlign w:val="superscript"/>
              </w:rPr>
              <w:t>(2)</w:t>
            </w:r>
          </w:p>
        </w:tc>
        <w:tc>
          <w:tcPr>
            <w:tcW w:w="11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180,280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jc w:val="center"/>
              <w:ind w:left="813"/>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40" w:type="dxa"/>
            <w:vAlign w:val="bottom"/>
            <w:gridSpan w:val="11"/>
          </w:tcPr>
          <w:p>
            <w:pPr>
              <w:jc w:val="center"/>
              <w:ind w:right="8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3"/>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9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restart"/>
          </w:tcPr>
          <w:p>
            <w:pPr>
              <w:ind w:left="40"/>
              <w:spacing w:after="0" w:line="286"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jc w:val="right"/>
              <w:ind w:right="133"/>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3,230</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02/18/2025</w:t>
            </w: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3,230</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center"/>
              <w:ind w:right="17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80"/>
              <w:spacing w:after="0" w:line="143" w:lineRule="exact"/>
              <w:rPr>
                <w:sz w:val="20"/>
                <w:szCs w:val="20"/>
                <w:color w:val="auto"/>
              </w:rPr>
            </w:pPr>
            <w:r>
              <w:rPr>
                <w:rFonts w:ascii="Times New Roman" w:cs="Times New Roman" w:eastAsia="Times New Roman" w:hAnsi="Times New Roman"/>
                <w:sz w:val="13"/>
                <w:szCs w:val="13"/>
                <w:color w:val="0000FF"/>
                <w:w w:val="95"/>
              </w:rPr>
              <w:t>6,460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jc w:val="right"/>
              <w:ind w:right="133"/>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restart"/>
          </w:tcPr>
          <w:p>
            <w:pPr>
              <w:ind w:left="40"/>
              <w:spacing w:after="0" w:line="286"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jc w:val="right"/>
              <w:ind w:right="133"/>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3,300</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02/18/2025</w:t>
            </w: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3,300</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center"/>
              <w:ind w:right="17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80"/>
              <w:spacing w:after="0" w:line="143" w:lineRule="exact"/>
              <w:rPr>
                <w:sz w:val="20"/>
                <w:szCs w:val="20"/>
                <w:color w:val="auto"/>
              </w:rPr>
            </w:pPr>
            <w:r>
              <w:rPr>
                <w:rFonts w:ascii="Times New Roman" w:cs="Times New Roman" w:eastAsia="Times New Roman" w:hAnsi="Times New Roman"/>
                <w:sz w:val="13"/>
                <w:szCs w:val="13"/>
                <w:color w:val="0000FF"/>
                <w:w w:val="95"/>
              </w:rPr>
              <w:t>3,300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jc w:val="right"/>
              <w:ind w:right="133"/>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restart"/>
          </w:tcPr>
          <w:p>
            <w:pPr>
              <w:ind w:left="40"/>
              <w:spacing w:after="0" w:line="286"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tcPr>
          <w:p>
            <w:pPr>
              <w:jc w:val="right"/>
              <w:ind w:right="133"/>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3,325</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02/18/2025</w:t>
            </w: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3,325</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center"/>
              <w:ind w:right="17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60"/>
              <w:spacing w:after="0" w:line="143"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20"/>
        <w:spacing w:after="0"/>
        <w:rPr>
          <w:sz w:val="20"/>
          <w:szCs w:val="20"/>
          <w:color w:val="auto"/>
        </w:rPr>
      </w:pPr>
      <w:r>
        <w:rPr>
          <w:rFonts w:ascii="Times New Roman" w:cs="Times New Roman" w:eastAsia="Times New Roman" w:hAnsi="Times New Roman"/>
          <w:sz w:val="13"/>
          <w:szCs w:val="13"/>
          <w:color w:val="0000FF"/>
        </w:rPr>
        <w:t>per share</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5" w:lineRule="exact"/>
        <w:rPr>
          <w:rFonts w:ascii="Times New Roman" w:cs="Times New Roman" w:eastAsia="Times New Roman" w:hAnsi="Times New Roman"/>
          <w:sz w:val="13"/>
          <w:szCs w:val="13"/>
          <w:color w:val="008000"/>
        </w:rPr>
      </w:pPr>
    </w:p>
    <w:p>
      <w:pPr>
        <w:ind w:left="40" w:right="4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15, 2023, the reporting person was granted 2,584 (pre-split) restricted stock units, vesting in four equal annual installments beginning on the first anniversary of the grant date. 25 percent of the restricted stock units became vested on February 15, 2024, an additional 25 percent of the restricted stock units became vested on February 15, 2025, an additional 25 percent of the restricted stock units will vest on February 15, 2026, and the remaining balance of 25 of the restricted stock units will vest on February 15, 2027.</w:t>
      </w:r>
    </w:p>
    <w:p>
      <w:pPr>
        <w:spacing w:after="0" w:line="2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16, 2022, the reporting person was granted 2,640 (pre-split) restricted stock units, vesting in four equal annual installments beginning on the first anniversary of the grant date. 25 percent of the restricted stock units became vested on February 16, 2023, an additional 25 percent of the restricted stock units became vested on February 16, 2024, an additional 25 percent of the restricted stock units became vested on February 16, 2025, and the remaining balance of 25 of the restricted stock units will vest on February 16, 2026.</w:t>
      </w:r>
    </w:p>
    <w:p>
      <w:pPr>
        <w:spacing w:after="0" w:line="25" w:lineRule="exact"/>
        <w:rPr>
          <w:rFonts w:ascii="Times New Roman" w:cs="Times New Roman" w:eastAsia="Times New Roman" w:hAnsi="Times New Roman"/>
          <w:sz w:val="13"/>
          <w:szCs w:val="13"/>
          <w:color w:val="008000"/>
        </w:rPr>
      </w:pPr>
    </w:p>
    <w:p>
      <w:pPr>
        <w:ind w:left="40" w:right="2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17, 2021, the reporting person was granted 2,660 (pre-split) restricted stock units, vesting in four equal annual installments beginning on the first anniversary of the grant date. 25 percent of the restricted stock units became vested on February 17, 2022, an additional 25 percent of the restricted stock units became vested on February 17, 2023, an additional 25 percent of the restricted stock units</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became vested on February 17, 2024, and the remaining balance of 25 percent of the restricted stock units became vested on February 17, 2025.</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60" w:type="dxa"/>
            <w:vAlign w:val="bottom"/>
          </w:tcPr>
          <w:p>
            <w:pPr>
              <w:spacing w:after="0"/>
              <w:rPr>
                <w:sz w:val="17"/>
                <w:szCs w:val="17"/>
                <w:color w:val="auto"/>
              </w:rPr>
            </w:pPr>
          </w:p>
        </w:tc>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Ajay Ayyappan,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02/20/2025</w:t>
            </w:r>
          </w:p>
        </w:tc>
        <w:tc>
          <w:tcPr>
            <w:tcW w:w="0" w:type="dxa"/>
            <w:vAlign w:val="bottom"/>
          </w:tcPr>
          <w:p>
            <w:pPr>
              <w:spacing w:after="0"/>
              <w:rPr>
                <w:sz w:val="1"/>
                <w:szCs w:val="1"/>
                <w:color w:val="auto"/>
              </w:rPr>
            </w:pPr>
          </w:p>
        </w:tc>
      </w:tr>
      <w:tr>
        <w:trPr>
          <w:trHeight w:val="89"/>
        </w:trPr>
        <w:tc>
          <w:tcPr>
            <w:tcW w:w="6560" w:type="dxa"/>
            <w:vAlign w:val="bottom"/>
          </w:tcPr>
          <w:p>
            <w:pPr>
              <w:spacing w:after="0"/>
              <w:rPr>
                <w:sz w:val="7"/>
                <w:szCs w:val="7"/>
                <w:color w:val="auto"/>
              </w:rPr>
            </w:pPr>
          </w:p>
        </w:tc>
        <w:tc>
          <w:tcPr>
            <w:tcW w:w="48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50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6560" w:type="dxa"/>
            <w:vAlign w:val="bottom"/>
          </w:tcPr>
          <w:p>
            <w:pPr>
              <w:spacing w:after="0"/>
              <w:rPr>
                <w:sz w:val="7"/>
                <w:szCs w:val="7"/>
                <w:color w:val="auto"/>
              </w:rPr>
            </w:pPr>
          </w:p>
        </w:tc>
        <w:tc>
          <w:tcPr>
            <w:tcW w:w="48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5"/>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both"/>
        <w:ind w:right="2459" w:firstLine="3"/>
        <w:spacing w:after="0" w:line="339"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73631"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2025-02-20T17:05:56Z</dcterms:created>
  <dcterms:modified xsi:type="dcterms:W3CDTF">2025-02-20T17:05:56Z</dcterms:modified>
</cp:coreProperties>
</file>