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607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0705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Mahon Anita</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60"/>
        <w:spacing w:after="0" w:line="345" w:lineRule="auto"/>
        <w:rPr>
          <w:sz w:val="20"/>
          <w:szCs w:val="20"/>
          <w:color w:val="auto"/>
        </w:rPr>
      </w:pPr>
      <w:r>
        <w:rPr>
          <w:rFonts w:ascii="Arial" w:cs="Arial" w:eastAsia="Arial" w:hAnsi="Arial"/>
          <w:sz w:val="15"/>
          <w:szCs w:val="15"/>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ExlService Holdings,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EXLS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01"/>
        <w:spacing w:after="0"/>
        <w:rPr>
          <w:sz w:val="20"/>
          <w:szCs w:val="20"/>
          <w:color w:val="auto"/>
        </w:rPr>
      </w:pPr>
      <w:r>
        <w:rPr>
          <w:rFonts w:ascii="Arial" w:cs="Arial" w:eastAsia="Arial" w:hAnsi="Arial"/>
          <w:sz w:val="17"/>
          <w:szCs w:val="17"/>
          <w:color w:val="0000FF"/>
        </w:rPr>
        <w:t>EVP &amp; Chief Growth Officer</w:t>
      </w:r>
    </w:p>
    <w:p>
      <w:pPr>
        <w:spacing w:after="0" w:line="429"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0" w:type="dxa"/>
            <w:vAlign w:val="bottom"/>
            <w:gridSpan w:val="7"/>
          </w:tcPr>
          <w:p>
            <w:pPr>
              <w:jc w:val="center"/>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720" w:type="dxa"/>
            <w:vAlign w:val="bottom"/>
            <w:gridSpan w:val="10"/>
          </w:tcPr>
          <w:p>
            <w:pPr>
              <w:ind w:left="38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gridSpan w:val="3"/>
          </w:tcPr>
          <w:p>
            <w:pPr>
              <w:ind w:left="3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20" w:type="dxa"/>
            <w:vAlign w:val="bottom"/>
            <w:tcBorders>
              <w:bottom w:val="single" w:sz="8" w:color="2C2C2C"/>
            </w:tcBorders>
            <w:gridSpan w:val="9"/>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5"/>
          </w:tcPr>
          <w:p>
            <w:pPr>
              <w:jc w:val="center"/>
              <w:ind w:left="71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6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3"/>
          </w:tcPr>
          <w:p>
            <w:pPr>
              <w:jc w:val="right"/>
              <w:ind w:right="139"/>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2"/>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1,180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right"/>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2,229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3"/>
          </w:tcPr>
          <w:p>
            <w:pPr>
              <w:jc w:val="right"/>
              <w:ind w:right="139"/>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2"/>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408</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119.75</w:t>
            </w:r>
            <w:r>
              <w:rPr>
                <w:rFonts w:ascii="Arial" w:cs="Arial" w:eastAsia="Arial" w:hAnsi="Arial"/>
                <w:sz w:val="21"/>
                <w:szCs w:val="21"/>
                <w:color w:val="008000"/>
                <w:w w:val="91"/>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1,821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6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(4)</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2,640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6"/>
              <w:spacing w:after="0" w:line="141" w:lineRule="exact"/>
              <w:rPr>
                <w:sz w:val="20"/>
                <w:szCs w:val="20"/>
                <w:color w:val="auto"/>
              </w:rPr>
            </w:pPr>
            <w:r>
              <w:rPr>
                <w:rFonts w:ascii="Arial" w:cs="Arial" w:eastAsia="Arial" w:hAnsi="Arial"/>
                <w:sz w:val="13"/>
                <w:szCs w:val="13"/>
                <w:color w:val="0000FF"/>
              </w:rPr>
              <w:t>02/16/2022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279"/>
              <w:spacing w:after="0" w:line="141"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rPr>
              <w:t>2,640</w:t>
            </w: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2,640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(5)</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1,180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6"/>
              <w:spacing w:after="0" w:line="141" w:lineRule="exact"/>
              <w:rPr>
                <w:sz w:val="20"/>
                <w:szCs w:val="20"/>
                <w:color w:val="auto"/>
              </w:rPr>
            </w:pPr>
            <w:r>
              <w:rPr>
                <w:rFonts w:ascii="Arial" w:cs="Arial" w:eastAsia="Arial" w:hAnsi="Arial"/>
                <w:sz w:val="13"/>
                <w:szCs w:val="13"/>
                <w:color w:val="0000FF"/>
              </w:rPr>
              <w:t>02/17/2022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279"/>
              <w:spacing w:after="0" w:line="141"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ind w:left="20"/>
              <w:spacing w:after="0" w:line="141" w:lineRule="exact"/>
              <w:rPr>
                <w:sz w:val="20"/>
                <w:szCs w:val="20"/>
                <w:color w:val="auto"/>
              </w:rPr>
            </w:pPr>
            <w:r>
              <w:rPr>
                <w:rFonts w:ascii="Arial" w:cs="Arial" w:eastAsia="Arial" w:hAnsi="Arial"/>
                <w:sz w:val="13"/>
                <w:szCs w:val="13"/>
                <w:color w:val="0000FF"/>
                <w:w w:val="98"/>
              </w:rPr>
              <w:t>1,180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3,540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-2550160</wp:posOffset>
            </wp:positionV>
            <wp:extent cx="29210" cy="255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2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3" w:lineRule="exact"/>
        <w:rPr>
          <w:rFonts w:ascii="Arial" w:cs="Arial" w:eastAsia="Arial" w:hAnsi="Arial"/>
          <w:sz w:val="13"/>
          <w:szCs w:val="13"/>
          <w:color w:val="008000"/>
        </w:rPr>
      </w:pPr>
    </w:p>
    <w:p>
      <w:pPr>
        <w:ind w:left="40" w:right="260" w:firstLine="1"/>
        <w:spacing w:after="0" w:line="316"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person's restricted stock units reported in this report vested on February 17,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1"/>
          <w:szCs w:val="11"/>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3" w:lineRule="exact"/>
        <w:rPr>
          <w:rFonts w:ascii="Arial" w:cs="Arial" w:eastAsia="Arial" w:hAnsi="Arial"/>
          <w:sz w:val="13"/>
          <w:szCs w:val="13"/>
          <w:color w:val="008000"/>
        </w:rPr>
      </w:pPr>
    </w:p>
    <w:p>
      <w:pPr>
        <w:ind w:left="40" w:right="5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16, 2023. Vesting will be accelerated upon certain termination of employment events and upon a "Change in Control" (as defined in the ExlService Holdings, Inc. 2018 Omnibus Incentive Plan).</w:t>
      </w:r>
    </w:p>
    <w:p>
      <w:pPr>
        <w:spacing w:after="0" w:line="26" w:lineRule="exact"/>
        <w:rPr>
          <w:rFonts w:ascii="Arial" w:cs="Arial" w:eastAsia="Arial" w:hAnsi="Arial"/>
          <w:sz w:val="13"/>
          <w:szCs w:val="13"/>
          <w:color w:val="008000"/>
        </w:rPr>
      </w:pPr>
    </w:p>
    <w:p>
      <w:pPr>
        <w:ind w:left="40" w:right="2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4,720 restricted stock units, vesting in four annual installments beginning on the first anniversary of the grant date. 25 percent of the restricted stock units became vested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4"/>
          <w:szCs w:val="24"/>
          <w:color w:val="auto"/>
        </w:rPr>
      </w:pPr>
    </w:p>
    <w:p>
      <w:pPr>
        <w:ind w:left="40" w:right="220"/>
        <w:spacing w:after="0" w:line="336" w:lineRule="auto"/>
        <w:rPr>
          <w:sz w:val="20"/>
          <w:szCs w:val="20"/>
          <w:color w:val="auto"/>
        </w:rPr>
      </w:pPr>
      <w:r>
        <w:rPr>
          <w:rFonts w:ascii="Arial" w:cs="Arial" w:eastAsia="Arial" w:hAnsi="Arial"/>
          <w:sz w:val="11"/>
          <w:szCs w:val="11"/>
          <w:color w:val="008000"/>
        </w:rPr>
        <w:t>Note: On February 16, 2022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600" w:type="dxa"/>
        <w:tblCellMar>
          <w:top w:w="0" w:type="dxa"/>
          <w:left w:w="0" w:type="dxa"/>
          <w:bottom w:w="0" w:type="dxa"/>
          <w:right w:w="0" w:type="dxa"/>
        </w:tblCellMar>
      </w:tblPr>
      <w:tr>
        <w:trPr>
          <w:trHeight w:val="182"/>
        </w:trPr>
        <w:tc>
          <w:tcPr>
            <w:tcW w:w="20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0000FF"/>
                <w:w w:val="90"/>
              </w:rPr>
              <w:t>/s/ Lazbart Oseni, Attorney-in-</w:t>
            </w:r>
          </w:p>
        </w:tc>
        <w:tc>
          <w:tcPr>
            <w:tcW w:w="140" w:type="dxa"/>
            <w:vAlign w:val="bottom"/>
          </w:tcPr>
          <w:p>
            <w:pPr>
              <w:spacing w:after="0"/>
              <w:rPr>
                <w:sz w:val="15"/>
                <w:szCs w:val="15"/>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2022-02-18T16:12:53Z</dcterms:created>
  <dcterms:modified xsi:type="dcterms:W3CDTF">2022-02-18T16:12:53Z</dcterms:modified>
</cp:coreProperties>
</file>