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8499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499475"/>
                    </a:xfrm>
                    <a:prstGeom prst="rect">
                      <a:avLst/>
                    </a:prstGeom>
                    <a:noFill/>
                  </pic:spPr>
                </pic:pic>
              </a:graphicData>
            </a:graphic>
          </wp:anchor>
        </w:drawing>
      </w:r>
    </w:p>
    <w:p>
      <w:pPr>
        <w:spacing w:after="0" w:line="117" w:lineRule="exact"/>
        <w:rPr>
          <w:sz w:val="24"/>
          <w:szCs w:val="24"/>
          <w:color w:val="auto"/>
        </w:rPr>
      </w:pPr>
    </w:p>
    <w:p>
      <w:pPr>
        <w:sectPr>
          <w:pgSz w:w="11900" w:h="16871" w:orient="portrait"/>
          <w:cols w:equalWidth="0" w:num="2">
            <w:col w:w="2360" w:space="300"/>
            <w:col w:w="8860"/>
          </w:cols>
          <w:pgMar w:left="240" w:top="219"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Bhalla Vikas</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03/29/2012</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6"/>
        <w:spacing w:after="0"/>
        <w:rPr>
          <w:sz w:val="20"/>
          <w:szCs w:val="20"/>
          <w:color w:val="auto"/>
        </w:rPr>
      </w:pPr>
      <w:r>
        <w:rPr>
          <w:rFonts w:ascii="Times New Roman" w:cs="Times New Roman" w:eastAsia="Times New Roman" w:hAnsi="Times New Roman"/>
          <w:sz w:val="17"/>
          <w:szCs w:val="17"/>
          <w:color w:val="0000FF"/>
        </w:rPr>
        <w:t>VP &amp; Head of Outsourcing</w:t>
      </w:r>
    </w:p>
    <w:p>
      <w:pPr>
        <w:spacing w:after="0" w:line="325" w:lineRule="exact"/>
        <w:rPr>
          <w:sz w:val="24"/>
          <w:szCs w:val="24"/>
          <w:color w:val="auto"/>
        </w:rPr>
      </w:pPr>
    </w:p>
    <w:p>
      <w:pPr>
        <w:sectPr>
          <w:pgSz w:w="11900" w:h="16871" w:orient="portrait"/>
          <w:cols w:equalWidth="0" w:num="3">
            <w:col w:w="3360" w:space="720"/>
            <w:col w:w="3254" w:space="720"/>
            <w:col w:w="3466"/>
          </w:cols>
          <w:pgMar w:left="240" w:top="219" w:right="139" w:bottom="0"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71" w:orient="portrait"/>
          <w:cols w:equalWidth="0" w:num="2">
            <w:col w:w="3920" w:space="160"/>
            <w:col w:w="7440"/>
          </w:cols>
          <w:pgMar w:left="240" w:top="219"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ind w:left="500"/>
              <w:spacing w:after="0" w:line="130"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jc w:val="center"/>
              <w:ind w:left="385"/>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40" w:type="dxa"/>
            <w:vAlign w:val="bottom"/>
            <w:gridSpan w:val="2"/>
            <w:vMerge w:val="restart"/>
          </w:tcPr>
          <w:p>
            <w:pPr>
              <w:jc w:val="center"/>
              <w:ind w:left="385"/>
              <w:spacing w:after="0"/>
              <w:rPr>
                <w:sz w:val="20"/>
                <w:szCs w:val="20"/>
                <w:color w:val="auto"/>
              </w:rPr>
            </w:pPr>
            <w:r>
              <w:rPr>
                <w:rFonts w:ascii="Times New Roman" w:cs="Times New Roman" w:eastAsia="Times New Roman" w:hAnsi="Times New Roman"/>
                <w:sz w:val="17"/>
                <w:szCs w:val="17"/>
                <w:color w:val="0000FF"/>
              </w:rPr>
              <w:t>03/29/2012</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3,963</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27.5031</w:t>
            </w:r>
            <w:r>
              <w:rPr>
                <w:rFonts w:ascii="Times New Roman" w:cs="Times New Roman" w:eastAsia="Times New Roman" w:hAnsi="Times New Roman"/>
                <w:sz w:val="22"/>
                <w:szCs w:val="22"/>
                <w:color w:val="008000"/>
                <w:w w:val="97"/>
                <w:vertAlign w:val="superscript"/>
              </w:rPr>
              <w:t>(2)</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16,980</w:t>
            </w:r>
          </w:p>
        </w:tc>
        <w:tc>
          <w:tcPr>
            <w:tcW w:w="260" w:type="dxa"/>
            <w:vAlign w:val="bottom"/>
          </w:tcPr>
          <w:p>
            <w:pPr>
              <w:spacing w:after="0"/>
              <w:rPr>
                <w:sz w:val="22"/>
                <w:szCs w:val="22"/>
                <w:color w:val="auto"/>
              </w:rPr>
            </w:pPr>
          </w:p>
        </w:tc>
        <w:tc>
          <w:tcPr>
            <w:tcW w:w="700" w:type="dxa"/>
            <w:vAlign w:val="bottom"/>
            <w:vMerge w:val="restart"/>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40" w:type="dxa"/>
            <w:vAlign w:val="bottom"/>
            <w:gridSpan w:val="2"/>
            <w:vMerge w:val="restart"/>
          </w:tcPr>
          <w:p>
            <w:pPr>
              <w:jc w:val="center"/>
              <w:ind w:left="385"/>
              <w:spacing w:after="0"/>
              <w:rPr>
                <w:sz w:val="20"/>
                <w:szCs w:val="20"/>
                <w:color w:val="auto"/>
              </w:rPr>
            </w:pPr>
            <w:r>
              <w:rPr>
                <w:rFonts w:ascii="Times New Roman" w:cs="Times New Roman" w:eastAsia="Times New Roman" w:hAnsi="Times New Roman"/>
                <w:sz w:val="17"/>
                <w:szCs w:val="17"/>
                <w:color w:val="0000FF"/>
              </w:rPr>
              <w:t>03/29/2012</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(3)</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5,437</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2"/>
            <w:vMerge w:val="restart"/>
          </w:tcPr>
          <w:p>
            <w:pPr>
              <w:jc w:val="center"/>
              <w:ind w:left="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11.875</w:t>
            </w:r>
          </w:p>
        </w:tc>
        <w:tc>
          <w:tcPr>
            <w:tcW w:w="1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22,417</w:t>
            </w:r>
          </w:p>
        </w:tc>
        <w:tc>
          <w:tcPr>
            <w:tcW w:w="260" w:type="dxa"/>
            <w:vAlign w:val="bottom"/>
          </w:tcPr>
          <w:p>
            <w:pPr>
              <w:spacing w:after="0"/>
              <w:rPr>
                <w:sz w:val="22"/>
                <w:szCs w:val="22"/>
                <w:color w:val="auto"/>
              </w:rPr>
            </w:pPr>
          </w:p>
        </w:tc>
        <w:tc>
          <w:tcPr>
            <w:tcW w:w="700" w:type="dxa"/>
            <w:vAlign w:val="bottom"/>
            <w:vMerge w:val="restart"/>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40" w:type="dxa"/>
            <w:vAlign w:val="bottom"/>
            <w:gridSpan w:val="2"/>
            <w:vMerge w:val="restart"/>
          </w:tcPr>
          <w:p>
            <w:pPr>
              <w:jc w:val="center"/>
              <w:ind w:left="385"/>
              <w:spacing w:after="0"/>
              <w:rPr>
                <w:sz w:val="20"/>
                <w:szCs w:val="20"/>
                <w:color w:val="auto"/>
              </w:rPr>
            </w:pPr>
            <w:r>
              <w:rPr>
                <w:rFonts w:ascii="Times New Roman" w:cs="Times New Roman" w:eastAsia="Times New Roman" w:hAnsi="Times New Roman"/>
                <w:sz w:val="17"/>
                <w:szCs w:val="17"/>
                <w:color w:val="0000FF"/>
              </w:rPr>
              <w:t>03/29/2012</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5,437</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27.5025</w:t>
            </w:r>
            <w:r>
              <w:rPr>
                <w:rFonts w:ascii="Times New Roman" w:cs="Times New Roman" w:eastAsia="Times New Roman" w:hAnsi="Times New Roman"/>
                <w:sz w:val="22"/>
                <w:szCs w:val="22"/>
                <w:color w:val="008000"/>
                <w:w w:val="97"/>
                <w:vertAlign w:val="superscript"/>
              </w:rPr>
              <w:t>(4)</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16,980</w:t>
            </w:r>
          </w:p>
        </w:tc>
        <w:tc>
          <w:tcPr>
            <w:tcW w:w="260" w:type="dxa"/>
            <w:vAlign w:val="bottom"/>
          </w:tcPr>
          <w:p>
            <w:pPr>
              <w:spacing w:after="0"/>
              <w:rPr>
                <w:sz w:val="22"/>
                <w:szCs w:val="22"/>
                <w:color w:val="auto"/>
              </w:rPr>
            </w:pPr>
          </w:p>
        </w:tc>
        <w:tc>
          <w:tcPr>
            <w:tcW w:w="700" w:type="dxa"/>
            <w:vAlign w:val="bottom"/>
            <w:vMerge w:val="restart"/>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40" w:type="dxa"/>
            <w:vAlign w:val="bottom"/>
            <w:gridSpan w:val="2"/>
            <w:vMerge w:val="restart"/>
          </w:tcPr>
          <w:p>
            <w:pPr>
              <w:jc w:val="center"/>
              <w:ind w:left="385"/>
              <w:spacing w:after="0"/>
              <w:rPr>
                <w:sz w:val="20"/>
                <w:szCs w:val="20"/>
                <w:color w:val="auto"/>
              </w:rPr>
            </w:pPr>
            <w:r>
              <w:rPr>
                <w:rFonts w:ascii="Times New Roman" w:cs="Times New Roman" w:eastAsia="Times New Roman" w:hAnsi="Times New Roman"/>
                <w:sz w:val="17"/>
                <w:szCs w:val="17"/>
                <w:color w:val="0000FF"/>
              </w:rPr>
              <w:t>03/30/2012</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9,392</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27.5053</w:t>
            </w:r>
            <w:r>
              <w:rPr>
                <w:rFonts w:ascii="Times New Roman" w:cs="Times New Roman" w:eastAsia="Times New Roman" w:hAnsi="Times New Roman"/>
                <w:sz w:val="22"/>
                <w:szCs w:val="22"/>
                <w:color w:val="008000"/>
                <w:w w:val="97"/>
                <w:vertAlign w:val="superscript"/>
              </w:rPr>
              <w:t>(5)</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7,588</w:t>
            </w:r>
          </w:p>
        </w:tc>
        <w:tc>
          <w:tcPr>
            <w:tcW w:w="260" w:type="dxa"/>
            <w:vAlign w:val="bottom"/>
          </w:tcPr>
          <w:p>
            <w:pPr>
              <w:spacing w:after="0"/>
              <w:rPr>
                <w:sz w:val="22"/>
                <w:szCs w:val="22"/>
                <w:color w:val="auto"/>
              </w:rPr>
            </w:pPr>
          </w:p>
        </w:tc>
        <w:tc>
          <w:tcPr>
            <w:tcW w:w="700" w:type="dxa"/>
            <w:vAlign w:val="bottom"/>
            <w:vMerge w:val="restart"/>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40" w:type="dxa"/>
            <w:vAlign w:val="bottom"/>
            <w:gridSpan w:val="2"/>
            <w:vMerge w:val="restart"/>
          </w:tcPr>
          <w:p>
            <w:pPr>
              <w:jc w:val="center"/>
              <w:ind w:left="385"/>
              <w:spacing w:after="0"/>
              <w:rPr>
                <w:sz w:val="20"/>
                <w:szCs w:val="20"/>
                <w:color w:val="auto"/>
              </w:rPr>
            </w:pPr>
            <w:r>
              <w:rPr>
                <w:rFonts w:ascii="Times New Roman" w:cs="Times New Roman" w:eastAsia="Times New Roman" w:hAnsi="Times New Roman"/>
                <w:sz w:val="17"/>
                <w:szCs w:val="17"/>
                <w:color w:val="0000FF"/>
              </w:rPr>
              <w:t>03/30/2012</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(6)</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2,563</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2"/>
            <w:vMerge w:val="restart"/>
          </w:tcPr>
          <w:p>
            <w:pPr>
              <w:jc w:val="center"/>
              <w:ind w:left="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11.875</w:t>
            </w:r>
          </w:p>
        </w:tc>
        <w:tc>
          <w:tcPr>
            <w:tcW w:w="1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10,151</w:t>
            </w:r>
          </w:p>
        </w:tc>
        <w:tc>
          <w:tcPr>
            <w:tcW w:w="260" w:type="dxa"/>
            <w:vAlign w:val="bottom"/>
          </w:tcPr>
          <w:p>
            <w:pPr>
              <w:spacing w:after="0"/>
              <w:rPr>
                <w:sz w:val="22"/>
                <w:szCs w:val="22"/>
                <w:color w:val="auto"/>
              </w:rPr>
            </w:pPr>
          </w:p>
        </w:tc>
        <w:tc>
          <w:tcPr>
            <w:tcW w:w="700" w:type="dxa"/>
            <w:vAlign w:val="bottom"/>
            <w:vMerge w:val="restart"/>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40" w:type="dxa"/>
            <w:vAlign w:val="bottom"/>
            <w:gridSpan w:val="2"/>
            <w:vMerge w:val="restart"/>
          </w:tcPr>
          <w:p>
            <w:pPr>
              <w:jc w:val="center"/>
              <w:ind w:left="385"/>
              <w:spacing w:after="0"/>
              <w:rPr>
                <w:sz w:val="20"/>
                <w:szCs w:val="20"/>
                <w:color w:val="auto"/>
              </w:rPr>
            </w:pPr>
            <w:r>
              <w:rPr>
                <w:rFonts w:ascii="Times New Roman" w:cs="Times New Roman" w:eastAsia="Times New Roman" w:hAnsi="Times New Roman"/>
                <w:sz w:val="17"/>
                <w:szCs w:val="17"/>
                <w:color w:val="0000FF"/>
              </w:rPr>
              <w:t>03/30/2012</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(6)</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14,400</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vMerge w:val="restart"/>
          </w:tcPr>
          <w:p>
            <w:pPr>
              <w:jc w:val="center"/>
              <w:ind w:left="6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8.75</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24,551</w:t>
            </w:r>
          </w:p>
        </w:tc>
        <w:tc>
          <w:tcPr>
            <w:tcW w:w="260" w:type="dxa"/>
            <w:vAlign w:val="bottom"/>
          </w:tcPr>
          <w:p>
            <w:pPr>
              <w:spacing w:after="0"/>
              <w:rPr>
                <w:sz w:val="22"/>
                <w:szCs w:val="22"/>
                <w:color w:val="auto"/>
              </w:rPr>
            </w:pPr>
          </w:p>
        </w:tc>
        <w:tc>
          <w:tcPr>
            <w:tcW w:w="700" w:type="dxa"/>
            <w:vAlign w:val="bottom"/>
            <w:vMerge w:val="restart"/>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40" w:type="dxa"/>
            <w:vAlign w:val="bottom"/>
            <w:gridSpan w:val="2"/>
            <w:vMerge w:val="restart"/>
          </w:tcPr>
          <w:p>
            <w:pPr>
              <w:jc w:val="center"/>
              <w:ind w:left="385"/>
              <w:spacing w:after="0"/>
              <w:rPr>
                <w:sz w:val="20"/>
                <w:szCs w:val="20"/>
                <w:color w:val="auto"/>
              </w:rPr>
            </w:pPr>
            <w:r>
              <w:rPr>
                <w:rFonts w:ascii="Times New Roman" w:cs="Times New Roman" w:eastAsia="Times New Roman" w:hAnsi="Times New Roman"/>
                <w:sz w:val="17"/>
                <w:szCs w:val="17"/>
                <w:color w:val="0000FF"/>
              </w:rPr>
              <w:t>03/30/2012</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16,963</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27.5051</w:t>
            </w:r>
            <w:r>
              <w:rPr>
                <w:rFonts w:ascii="Times New Roman" w:cs="Times New Roman" w:eastAsia="Times New Roman" w:hAnsi="Times New Roman"/>
                <w:sz w:val="22"/>
                <w:szCs w:val="22"/>
                <w:color w:val="008000"/>
                <w:w w:val="97"/>
                <w:vertAlign w:val="superscript"/>
              </w:rPr>
              <w:t>(7)</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7,588</w:t>
            </w:r>
          </w:p>
        </w:tc>
        <w:tc>
          <w:tcPr>
            <w:tcW w:w="260" w:type="dxa"/>
            <w:vAlign w:val="bottom"/>
          </w:tcPr>
          <w:p>
            <w:pPr>
              <w:spacing w:after="0"/>
              <w:rPr>
                <w:sz w:val="22"/>
                <w:szCs w:val="22"/>
                <w:color w:val="auto"/>
              </w:rPr>
            </w:pPr>
          </w:p>
        </w:tc>
        <w:tc>
          <w:tcPr>
            <w:tcW w:w="700" w:type="dxa"/>
            <w:vAlign w:val="bottom"/>
            <w:vMerge w:val="restart"/>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760" w:type="dxa"/>
            <w:vAlign w:val="bottom"/>
            <w:tcBorders>
              <w:bottom w:val="single" w:sz="8" w:color="2C2C2C"/>
            </w:tcBorders>
            <w:gridSpan w:val="9"/>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2"/>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jc w:val="center"/>
              <w:ind w:right="49"/>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07"/>
              <w:spacing w:after="0"/>
              <w:rPr>
                <w:sz w:val="20"/>
                <w:szCs w:val="20"/>
                <w:color w:val="auto"/>
              </w:rPr>
            </w:pPr>
            <w:r>
              <w:rPr>
                <w:rFonts w:ascii="Arial" w:cs="Arial" w:eastAsia="Arial" w:hAnsi="Arial"/>
                <w:sz w:val="12"/>
                <w:szCs w:val="12"/>
                <w:b w:val="1"/>
                <w:bCs w:val="1"/>
                <w:color w:val="auto"/>
                <w:w w:val="95"/>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jc w:val="center"/>
              <w:ind w:right="49"/>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vMerge w:val="restart"/>
          </w:tcPr>
          <w:p>
            <w:pPr>
              <w:ind w:left="100"/>
              <w:spacing w:after="0" w:line="294" w:lineRule="exact"/>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(3)</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jc w:val="center"/>
              <w:ind w:left="22"/>
              <w:spacing w:after="0"/>
              <w:rPr>
                <w:sz w:val="20"/>
                <w:szCs w:val="20"/>
                <w:color w:val="auto"/>
              </w:rPr>
            </w:pPr>
            <w:r>
              <w:rPr>
                <w:rFonts w:ascii="Times New Roman" w:cs="Times New Roman" w:eastAsia="Times New Roman" w:hAnsi="Times New Roman"/>
                <w:sz w:val="11"/>
                <w:szCs w:val="11"/>
                <w:color w:val="008000"/>
              </w:rPr>
              <w:t>(8)</w:t>
            </w:r>
          </w:p>
        </w:tc>
        <w:tc>
          <w:tcPr>
            <w:tcW w:w="800" w:type="dxa"/>
            <w:vAlign w:val="bottom"/>
          </w:tcPr>
          <w:p>
            <w:pPr>
              <w:spacing w:after="0"/>
              <w:rPr>
                <w:sz w:val="12"/>
                <w:szCs w:val="12"/>
                <w:color w:val="auto"/>
              </w:rPr>
            </w:pPr>
          </w:p>
        </w:tc>
        <w:tc>
          <w:tcPr>
            <w:tcW w:w="56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w w:val="99"/>
              </w:rPr>
              <w:t>5,437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vMerge w:val="restart"/>
          </w:tcPr>
          <w:p>
            <w:pPr>
              <w:jc w:val="center"/>
              <w:ind w:left="138"/>
              <w:spacing w:after="0"/>
              <w:rPr>
                <w:sz w:val="20"/>
                <w:szCs w:val="20"/>
                <w:color w:val="auto"/>
              </w:rPr>
            </w:pPr>
            <w:r>
              <w:rPr>
                <w:rFonts w:ascii="Times New Roman" w:cs="Times New Roman" w:eastAsia="Times New Roman" w:hAnsi="Times New Roman"/>
                <w:sz w:val="13"/>
                <w:szCs w:val="13"/>
                <w:color w:val="0000FF"/>
                <w:w w:val="94"/>
              </w:rPr>
              <w:t>2,563</w:t>
            </w:r>
            <w:r>
              <w:rPr>
                <w:rFonts w:ascii="Times New Roman" w:cs="Times New Roman" w:eastAsia="Times New Roman" w:hAnsi="Times New Roman"/>
                <w:sz w:val="22"/>
                <w:szCs w:val="22"/>
                <w:color w:val="008000"/>
                <w:w w:val="94"/>
                <w:vertAlign w:val="superscript"/>
              </w:rPr>
              <w:t>(9)</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Options</w:t>
            </w:r>
          </w:p>
        </w:tc>
        <w:tc>
          <w:tcPr>
            <w:tcW w:w="800" w:type="dxa"/>
            <w:vAlign w:val="bottom"/>
          </w:tcPr>
          <w:p>
            <w:pPr>
              <w:jc w:val="center"/>
              <w:spacing w:after="0" w:line="147" w:lineRule="exact"/>
              <w:rPr>
                <w:sz w:val="20"/>
                <w:szCs w:val="20"/>
                <w:color w:val="auto"/>
              </w:rPr>
            </w:pPr>
            <w:r>
              <w:rPr>
                <w:rFonts w:ascii="Arial" w:cs="Arial" w:eastAsia="Arial" w:hAnsi="Arial"/>
                <w:sz w:val="12"/>
                <w:szCs w:val="12"/>
                <w:color w:val="auto"/>
                <w:w w:val="98"/>
              </w:rPr>
              <w:t>$</w:t>
            </w:r>
            <w:r>
              <w:rPr>
                <w:rFonts w:ascii="Times New Roman" w:cs="Times New Roman" w:eastAsia="Times New Roman" w:hAnsi="Times New Roman"/>
                <w:sz w:val="13"/>
                <w:szCs w:val="13"/>
                <w:color w:val="0000FF"/>
                <w:w w:val="98"/>
              </w:rPr>
              <w:t>11.875</w:t>
            </w:r>
          </w:p>
        </w:tc>
        <w:tc>
          <w:tcPr>
            <w:tcW w:w="118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color w:val="0000FF"/>
              </w:rPr>
              <w:t>03/29/2012</w:t>
            </w:r>
          </w:p>
        </w:tc>
        <w:tc>
          <w:tcPr>
            <w:tcW w:w="10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ind w:left="238"/>
              <w:spacing w:after="0" w:line="147" w:lineRule="exact"/>
              <w:rPr>
                <w:sz w:val="20"/>
                <w:szCs w:val="20"/>
                <w:color w:val="auto"/>
              </w:rPr>
            </w:pPr>
            <w:r>
              <w:rPr>
                <w:rFonts w:ascii="Times New Roman" w:cs="Times New Roman" w:eastAsia="Times New Roman" w:hAnsi="Times New Roman"/>
                <w:sz w:val="13"/>
                <w:szCs w:val="13"/>
                <w:color w:val="0000FF"/>
              </w:rPr>
              <w:t>5,437</w:t>
            </w:r>
          </w:p>
        </w:tc>
        <w:tc>
          <w:tcPr>
            <w:tcW w:w="820" w:type="dxa"/>
            <w:vAlign w:val="bottom"/>
            <w:vMerge w:val="continue"/>
          </w:tcPr>
          <w:p>
            <w:pPr>
              <w:spacing w:after="0"/>
              <w:rPr>
                <w:sz w:val="12"/>
                <w:szCs w:val="12"/>
                <w:color w:val="auto"/>
              </w:rPr>
            </w:pPr>
          </w:p>
        </w:tc>
        <w:tc>
          <w:tcPr>
            <w:tcW w:w="800" w:type="dxa"/>
            <w:vAlign w:val="bottom"/>
          </w:tcPr>
          <w:p>
            <w:pPr>
              <w:ind w:left="120"/>
              <w:spacing w:after="0" w:line="147" w:lineRule="exact"/>
              <w:rPr>
                <w:sz w:val="20"/>
                <w:szCs w:val="20"/>
                <w:color w:val="auto"/>
              </w:rPr>
            </w:pPr>
            <w:r>
              <w:rPr>
                <w:rFonts w:ascii="Times New Roman" w:cs="Times New Roman" w:eastAsia="Times New Roman" w:hAnsi="Times New Roman"/>
                <w:sz w:val="13"/>
                <w:szCs w:val="13"/>
                <w:color w:val="0000FF"/>
              </w:rPr>
              <w:t>07/26/2016</w:t>
            </w:r>
          </w:p>
        </w:tc>
        <w:tc>
          <w:tcPr>
            <w:tcW w:w="56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w w:val="99"/>
              </w:rPr>
              <w:t>par value</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169"/>
              <w:spacing w:after="0" w:line="147"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$0.001</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7"/>
              </w:rPr>
              <w:t>per share</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vMerge w:val="restart"/>
          </w:tcPr>
          <w:p>
            <w:pPr>
              <w:ind w:left="100"/>
              <w:spacing w:after="0" w:line="294" w:lineRule="exact"/>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(6)</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jc w:val="center"/>
              <w:ind w:left="22"/>
              <w:spacing w:after="0"/>
              <w:rPr>
                <w:sz w:val="20"/>
                <w:szCs w:val="20"/>
                <w:color w:val="auto"/>
              </w:rPr>
            </w:pPr>
            <w:r>
              <w:rPr>
                <w:rFonts w:ascii="Times New Roman" w:cs="Times New Roman" w:eastAsia="Times New Roman" w:hAnsi="Times New Roman"/>
                <w:sz w:val="11"/>
                <w:szCs w:val="11"/>
                <w:color w:val="008000"/>
                <w:w w:val="97"/>
              </w:rPr>
              <w:t>(10)</w:t>
            </w:r>
          </w:p>
        </w:tc>
        <w:tc>
          <w:tcPr>
            <w:tcW w:w="800" w:type="dxa"/>
            <w:vAlign w:val="bottom"/>
          </w:tcPr>
          <w:p>
            <w:pPr>
              <w:spacing w:after="0"/>
              <w:rPr>
                <w:sz w:val="12"/>
                <w:szCs w:val="12"/>
                <w:color w:val="auto"/>
              </w:rPr>
            </w:pPr>
          </w:p>
        </w:tc>
        <w:tc>
          <w:tcPr>
            <w:tcW w:w="56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w w:val="99"/>
              </w:rPr>
              <w:t>2,563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Options</w:t>
            </w:r>
          </w:p>
        </w:tc>
        <w:tc>
          <w:tcPr>
            <w:tcW w:w="800" w:type="dxa"/>
            <w:vAlign w:val="bottom"/>
          </w:tcPr>
          <w:p>
            <w:pPr>
              <w:jc w:val="center"/>
              <w:spacing w:after="0" w:line="147" w:lineRule="exact"/>
              <w:rPr>
                <w:sz w:val="20"/>
                <w:szCs w:val="20"/>
                <w:color w:val="auto"/>
              </w:rPr>
            </w:pPr>
            <w:r>
              <w:rPr>
                <w:rFonts w:ascii="Arial" w:cs="Arial" w:eastAsia="Arial" w:hAnsi="Arial"/>
                <w:sz w:val="12"/>
                <w:szCs w:val="12"/>
                <w:color w:val="auto"/>
                <w:w w:val="98"/>
              </w:rPr>
              <w:t>$</w:t>
            </w:r>
            <w:r>
              <w:rPr>
                <w:rFonts w:ascii="Times New Roman" w:cs="Times New Roman" w:eastAsia="Times New Roman" w:hAnsi="Times New Roman"/>
                <w:sz w:val="13"/>
                <w:szCs w:val="13"/>
                <w:color w:val="0000FF"/>
                <w:w w:val="98"/>
              </w:rPr>
              <w:t>11.875</w:t>
            </w:r>
          </w:p>
        </w:tc>
        <w:tc>
          <w:tcPr>
            <w:tcW w:w="118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color w:val="0000FF"/>
              </w:rPr>
              <w:t>03/30/2012</w:t>
            </w:r>
          </w:p>
        </w:tc>
        <w:tc>
          <w:tcPr>
            <w:tcW w:w="10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ind w:left="238"/>
              <w:spacing w:after="0" w:line="147" w:lineRule="exact"/>
              <w:rPr>
                <w:sz w:val="20"/>
                <w:szCs w:val="20"/>
                <w:color w:val="auto"/>
              </w:rPr>
            </w:pPr>
            <w:r>
              <w:rPr>
                <w:rFonts w:ascii="Times New Roman" w:cs="Times New Roman" w:eastAsia="Times New Roman" w:hAnsi="Times New Roman"/>
                <w:sz w:val="13"/>
                <w:szCs w:val="13"/>
                <w:color w:val="0000FF"/>
              </w:rPr>
              <w:t>2,563</w:t>
            </w:r>
          </w:p>
        </w:tc>
        <w:tc>
          <w:tcPr>
            <w:tcW w:w="820" w:type="dxa"/>
            <w:vAlign w:val="bottom"/>
            <w:vMerge w:val="continue"/>
          </w:tcPr>
          <w:p>
            <w:pPr>
              <w:spacing w:after="0"/>
              <w:rPr>
                <w:sz w:val="12"/>
                <w:szCs w:val="12"/>
                <w:color w:val="auto"/>
              </w:rPr>
            </w:pPr>
          </w:p>
        </w:tc>
        <w:tc>
          <w:tcPr>
            <w:tcW w:w="800" w:type="dxa"/>
            <w:vAlign w:val="bottom"/>
          </w:tcPr>
          <w:p>
            <w:pPr>
              <w:ind w:left="120"/>
              <w:spacing w:after="0" w:line="147" w:lineRule="exact"/>
              <w:rPr>
                <w:sz w:val="20"/>
                <w:szCs w:val="20"/>
                <w:color w:val="auto"/>
              </w:rPr>
            </w:pPr>
            <w:r>
              <w:rPr>
                <w:rFonts w:ascii="Times New Roman" w:cs="Times New Roman" w:eastAsia="Times New Roman" w:hAnsi="Times New Roman"/>
                <w:sz w:val="13"/>
                <w:szCs w:val="13"/>
                <w:color w:val="0000FF"/>
              </w:rPr>
              <w:t>07/26/2016</w:t>
            </w:r>
          </w:p>
        </w:tc>
        <w:tc>
          <w:tcPr>
            <w:tcW w:w="56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w w:val="99"/>
              </w:rPr>
              <w:t>par value</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169"/>
              <w:spacing w:after="0" w:line="147"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640" w:type="dxa"/>
            <w:vAlign w:val="bottom"/>
          </w:tcPr>
          <w:p>
            <w:pPr>
              <w:jc w:val="center"/>
              <w:ind w:left="138"/>
              <w:spacing w:after="0" w:line="147"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$0.001</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7"/>
              </w:rPr>
              <w:t>per share</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vMerge w:val="restart"/>
          </w:tcPr>
          <w:p>
            <w:pPr>
              <w:ind w:left="100"/>
              <w:spacing w:after="0" w:line="294" w:lineRule="exact"/>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(6)</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jc w:val="center"/>
              <w:ind w:left="22"/>
              <w:spacing w:after="0"/>
              <w:rPr>
                <w:sz w:val="20"/>
                <w:szCs w:val="20"/>
                <w:color w:val="auto"/>
              </w:rPr>
            </w:pPr>
            <w:r>
              <w:rPr>
                <w:rFonts w:ascii="Times New Roman" w:cs="Times New Roman" w:eastAsia="Times New Roman" w:hAnsi="Times New Roman"/>
                <w:sz w:val="11"/>
                <w:szCs w:val="11"/>
                <w:color w:val="008000"/>
                <w:w w:val="97"/>
              </w:rPr>
              <w:t>(11)</w:t>
            </w:r>
          </w:p>
        </w:tc>
        <w:tc>
          <w:tcPr>
            <w:tcW w:w="800" w:type="dxa"/>
            <w:vAlign w:val="bottom"/>
          </w:tcPr>
          <w:p>
            <w:pPr>
              <w:spacing w:after="0"/>
              <w:rPr>
                <w:sz w:val="12"/>
                <w:szCs w:val="12"/>
                <w:color w:val="auto"/>
              </w:rPr>
            </w:pPr>
          </w:p>
        </w:tc>
        <w:tc>
          <w:tcPr>
            <w:tcW w:w="56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14,400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Options</w:t>
            </w:r>
          </w:p>
        </w:tc>
        <w:tc>
          <w:tcPr>
            <w:tcW w:w="800" w:type="dxa"/>
            <w:vAlign w:val="bottom"/>
          </w:tcPr>
          <w:p>
            <w:pPr>
              <w:jc w:val="center"/>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8.75</w:t>
            </w:r>
          </w:p>
        </w:tc>
        <w:tc>
          <w:tcPr>
            <w:tcW w:w="118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color w:val="0000FF"/>
              </w:rPr>
              <w:t>03/30/2012</w:t>
            </w:r>
          </w:p>
        </w:tc>
        <w:tc>
          <w:tcPr>
            <w:tcW w:w="10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ind w:left="238"/>
              <w:spacing w:after="0" w:line="147" w:lineRule="exact"/>
              <w:rPr>
                <w:sz w:val="20"/>
                <w:szCs w:val="20"/>
                <w:color w:val="auto"/>
              </w:rPr>
            </w:pPr>
            <w:r>
              <w:rPr>
                <w:rFonts w:ascii="Times New Roman" w:cs="Times New Roman" w:eastAsia="Times New Roman" w:hAnsi="Times New Roman"/>
                <w:sz w:val="13"/>
                <w:szCs w:val="13"/>
                <w:color w:val="0000FF"/>
              </w:rPr>
              <w:t>14,400</w:t>
            </w:r>
          </w:p>
        </w:tc>
        <w:tc>
          <w:tcPr>
            <w:tcW w:w="820" w:type="dxa"/>
            <w:vAlign w:val="bottom"/>
            <w:vMerge w:val="continue"/>
          </w:tcPr>
          <w:p>
            <w:pPr>
              <w:spacing w:after="0"/>
              <w:rPr>
                <w:sz w:val="12"/>
                <w:szCs w:val="12"/>
                <w:color w:val="auto"/>
              </w:rPr>
            </w:pPr>
          </w:p>
        </w:tc>
        <w:tc>
          <w:tcPr>
            <w:tcW w:w="800" w:type="dxa"/>
            <w:vAlign w:val="bottom"/>
          </w:tcPr>
          <w:p>
            <w:pPr>
              <w:ind w:left="120"/>
              <w:spacing w:after="0" w:line="147" w:lineRule="exact"/>
              <w:rPr>
                <w:sz w:val="20"/>
                <w:szCs w:val="20"/>
                <w:color w:val="auto"/>
              </w:rPr>
            </w:pPr>
            <w:r>
              <w:rPr>
                <w:rFonts w:ascii="Times New Roman" w:cs="Times New Roman" w:eastAsia="Times New Roman" w:hAnsi="Times New Roman"/>
                <w:sz w:val="13"/>
                <w:szCs w:val="13"/>
                <w:color w:val="0000FF"/>
              </w:rPr>
              <w:t>02/10/2019</w:t>
            </w:r>
          </w:p>
        </w:tc>
        <w:tc>
          <w:tcPr>
            <w:tcW w:w="56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w w:val="99"/>
              </w:rPr>
              <w:t>par value</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169"/>
              <w:spacing w:after="0" w:line="147"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640" w:type="dxa"/>
            <w:vAlign w:val="bottom"/>
          </w:tcPr>
          <w:p>
            <w:pPr>
              <w:jc w:val="center"/>
              <w:ind w:left="138"/>
              <w:spacing w:after="0" w:line="147"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$0.001</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7"/>
              </w:rPr>
              <w:t>per share</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made pursuant to a 10b5-1 plan previously entered into by the reporting person.</w:t>
      </w:r>
    </w:p>
    <w:p>
      <w:pPr>
        <w:spacing w:after="0" w:line="51" w:lineRule="exact"/>
        <w:rPr>
          <w:rFonts w:ascii="Times New Roman" w:cs="Times New Roman" w:eastAsia="Times New Roman" w:hAnsi="Times New Roman"/>
          <w:sz w:val="13"/>
          <w:szCs w:val="13"/>
          <w:color w:val="008000"/>
        </w:rPr>
      </w:pPr>
    </w:p>
    <w:p>
      <w:pPr>
        <w:jc w:val="both"/>
        <w:ind w:left="40" w:right="26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$27.50 to $27.51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29, 2012, the reporting person exercised previously issued options to purchase an aggregate of 5,437 shares of common stock of ExlService Holdings, Inc.</w:t>
      </w:r>
    </w:p>
    <w:p>
      <w:pPr>
        <w:spacing w:after="0" w:line="51" w:lineRule="exact"/>
        <w:rPr>
          <w:rFonts w:ascii="Times New Roman" w:cs="Times New Roman" w:eastAsia="Times New Roman" w:hAnsi="Times New Roman"/>
          <w:sz w:val="13"/>
          <w:szCs w:val="13"/>
          <w:color w:val="008000"/>
        </w:rPr>
      </w:pPr>
    </w:p>
    <w:p>
      <w:pPr>
        <w:ind w:left="40" w:right="16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$27.50 to $27.5098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ectPr>
          <w:pgSz w:w="11900" w:h="16871" w:orient="portrait"/>
          <w:cols w:equalWidth="0" w:num="1">
            <w:col w:w="11520"/>
          </w:cols>
          <w:pgMar w:left="240" w:top="219" w:right="139" w:bottom="0" w:gutter="0" w:footer="0" w:header="0"/>
          <w:type w:val="continuous"/>
        </w:sectPr>
      </w:pPr>
    </w:p>
    <w:bookmarkStart w:id="1" w:name="page2"/>
    <w:bookmarkEnd w:id="1"/>
    <w:p>
      <w:pPr>
        <w:jc w:val="both"/>
        <w:ind w:right="40" w:firstLine="8"/>
        <w:spacing w:after="0" w:line="275" w:lineRule="auto"/>
        <w:tabs>
          <w:tab w:leader="none" w:pos="134"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$27.50 to $27.52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rFonts w:ascii="Times New Roman" w:cs="Times New Roman" w:eastAsia="Times New Roman" w:hAnsi="Times New Roman"/>
          <w:sz w:val="13"/>
          <w:szCs w:val="13"/>
          <w:color w:val="008000"/>
        </w:rPr>
      </w:pPr>
    </w:p>
    <w:p>
      <w:pPr>
        <w:ind w:left="140" w:hanging="132"/>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2012, the reporting person exercised previously issued options to purchase an aggregate of 16,963 shares of common stock of ExlService Holdings, Inc.</w:t>
      </w:r>
    </w:p>
    <w:p>
      <w:pPr>
        <w:spacing w:after="0" w:line="51" w:lineRule="exact"/>
        <w:rPr>
          <w:rFonts w:ascii="Times New Roman" w:cs="Times New Roman" w:eastAsia="Times New Roman" w:hAnsi="Times New Roman"/>
          <w:sz w:val="13"/>
          <w:szCs w:val="13"/>
          <w:color w:val="008000"/>
        </w:rPr>
      </w:pPr>
    </w:p>
    <w:p>
      <w:pPr>
        <w:jc w:val="both"/>
        <w:ind w:firstLine="8"/>
        <w:spacing w:after="0" w:line="275" w:lineRule="auto"/>
        <w:tabs>
          <w:tab w:leader="none" w:pos="134"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$27.50 to $27.527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rFonts w:ascii="Times New Roman" w:cs="Times New Roman" w:eastAsia="Times New Roman" w:hAnsi="Times New Roman"/>
          <w:sz w:val="13"/>
          <w:szCs w:val="13"/>
          <w:color w:val="008000"/>
        </w:rPr>
      </w:pPr>
    </w:p>
    <w:p>
      <w:pPr>
        <w:ind w:left="140" w:hanging="132"/>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2,563 of these shares are vested and exercisable.</w:t>
      </w:r>
    </w:p>
    <w:p>
      <w:pPr>
        <w:spacing w:after="0" w:line="51" w:lineRule="exact"/>
        <w:rPr>
          <w:rFonts w:ascii="Times New Roman" w:cs="Times New Roman" w:eastAsia="Times New Roman" w:hAnsi="Times New Roman"/>
          <w:sz w:val="13"/>
          <w:szCs w:val="13"/>
          <w:color w:val="008000"/>
        </w:rPr>
      </w:pPr>
    </w:p>
    <w:p>
      <w:pPr>
        <w:ind w:left="140" w:hanging="132"/>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adjustment to shares previously reported on March 27, 2012.</w:t>
      </w:r>
    </w:p>
    <w:p>
      <w:pPr>
        <w:spacing w:after="0" w:line="51" w:lineRule="exact"/>
        <w:rPr>
          <w:rFonts w:ascii="Times New Roman" w:cs="Times New Roman" w:eastAsia="Times New Roman" w:hAnsi="Times New Roman"/>
          <w:sz w:val="13"/>
          <w:szCs w:val="13"/>
          <w:color w:val="008000"/>
        </w:rPr>
      </w:pPr>
    </w:p>
    <w:p>
      <w:pPr>
        <w:ind w:left="200" w:hanging="192"/>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vested in multiple installments, with the final installment vesting on April 20, 2010.</w:t>
      </w:r>
    </w:p>
    <w:p>
      <w:pPr>
        <w:spacing w:after="0" w:line="51" w:lineRule="exact"/>
        <w:rPr>
          <w:rFonts w:ascii="Times New Roman" w:cs="Times New Roman" w:eastAsia="Times New Roman" w:hAnsi="Times New Roman"/>
          <w:sz w:val="13"/>
          <w:szCs w:val="13"/>
          <w:color w:val="008000"/>
        </w:rPr>
      </w:pPr>
    </w:p>
    <w:p>
      <w:pPr>
        <w:ind w:left="200" w:hanging="192"/>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vested in multiple installments, with the final installment vesting on February 13, 2012.</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spacing w:after="0" w:line="50" w:lineRule="exact"/>
        <w:rPr>
          <w:sz w:val="20"/>
          <w:szCs w:val="20"/>
          <w:color w:val="auto"/>
        </w:rPr>
      </w:pPr>
    </w:p>
    <w:tbl>
      <w:tblPr>
        <w:tblLayout w:type="fixed"/>
        <w:tblInd w:w="682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04/02/2012</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520" w:firstLine="8"/>
        <w:spacing w:after="0" w:line="321" w:lineRule="auto"/>
        <w:tabs>
          <w:tab w:leader="none" w:pos="14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60"/>
      </w:cols>
      <w:pgMar w:left="280" w:top="1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2019-12-16T15:06:48Z</dcterms:created>
  <dcterms:modified xsi:type="dcterms:W3CDTF">2019-12-16T15:06:48Z</dcterms:modified>
</cp:coreProperties>
</file>