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382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38289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Nicolelli Maurizio</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40"/>
        <w:spacing w:after="0" w:line="330"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474"/>
        <w:spacing w:after="0"/>
        <w:rPr>
          <w:sz w:val="20"/>
          <w:szCs w:val="20"/>
          <w:color w:val="auto"/>
        </w:rPr>
      </w:pPr>
      <w:r>
        <w:rPr>
          <w:rFonts w:ascii="Times New Roman" w:cs="Times New Roman" w:eastAsia="Times New Roman" w:hAnsi="Times New Roman"/>
          <w:sz w:val="17"/>
          <w:szCs w:val="17"/>
          <w:color w:val="0000FF"/>
        </w:rPr>
        <w:t>Executive Vice President &amp; CFO</w:t>
      </w:r>
    </w:p>
    <w:p>
      <w:pPr>
        <w:spacing w:after="0" w:line="44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7"/>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62"/>
              <w:spacing w:after="0"/>
              <w:rPr>
                <w:sz w:val="20"/>
                <w:szCs w:val="20"/>
                <w:color w:val="auto"/>
              </w:rPr>
            </w:pPr>
            <w:r>
              <w:rPr>
                <w:rFonts w:ascii="Times New Roman" w:cs="Times New Roman" w:eastAsia="Times New Roman" w:hAnsi="Times New Roman"/>
                <w:sz w:val="17"/>
                <w:szCs w:val="17"/>
                <w:color w:val="0000FF"/>
              </w:rPr>
              <w:t>02/27/2025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5,587</w:t>
            </w:r>
          </w:p>
        </w:tc>
        <w:tc>
          <w:tcPr>
            <w:tcW w:w="68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210,709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62"/>
              <w:spacing w:after="0"/>
              <w:rPr>
                <w:sz w:val="20"/>
                <w:szCs w:val="20"/>
                <w:color w:val="auto"/>
              </w:rPr>
            </w:pPr>
            <w:r>
              <w:rPr>
                <w:rFonts w:ascii="Times New Roman" w:cs="Times New Roman" w:eastAsia="Times New Roman" w:hAnsi="Times New Roman"/>
                <w:sz w:val="17"/>
                <w:szCs w:val="17"/>
                <w:color w:val="0000FF"/>
              </w:rPr>
              <w:t>02/27/2025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2,199</w:t>
            </w:r>
          </w:p>
        </w:tc>
        <w:tc>
          <w:tcPr>
            <w:tcW w:w="68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48.63</w:t>
            </w:r>
            <w:r>
              <w:rPr>
                <w:rFonts w:ascii="Times New Roman" w:cs="Times New Roman" w:eastAsia="Times New Roman" w:hAnsi="Times New Roman"/>
                <w:sz w:val="21"/>
                <w:szCs w:val="21"/>
                <w:color w:val="008000"/>
                <w:w w:val="99"/>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208,510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gridSpan w:val="11"/>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ind w:right="136"/>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5,587</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02/27/2025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5,587</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16,761</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18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27, 2024, the reporting person was granted 22,348 restricted stock units, vesting in four equal annual installments beginning on the first anniversary of the grant date. 25 percent of the restricted stock units became vested on February 27, 2025, an additional 25 percent of the restricted stock units will vest on February 27, 2026, an additional 25 percent of the restricted stock units will vest on February 27, 2027, and the remaining balance of 25 percent of the restricted stock units will vest on February 27, 2028.</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03/03/2025</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7265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2025-03-03T17:20:45Z</dcterms:created>
  <dcterms:modified xsi:type="dcterms:W3CDTF">2025-03-03T17:20:45Z</dcterms:modified>
</cp:coreProperties>
</file>