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6243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62433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KELSO DAVID B</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jc w:val="center"/>
        <w:ind w:right="243"/>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12/10/2020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7"/>
        <w:spacing w:after="0"/>
        <w:tabs>
          <w:tab w:leader="none" w:pos="497" w:val="left"/>
          <w:tab w:leader="none" w:pos="207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1"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202565</wp:posOffset>
            </wp:positionV>
            <wp:extent cx="6967220" cy="1311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1275"/>
                    </a:xfrm>
                    <a:prstGeom prst="rect">
                      <a:avLst/>
                    </a:prstGeom>
                    <a:noFill/>
                  </pic:spPr>
                </pic:pic>
              </a:graphicData>
            </a:graphic>
          </wp:anchor>
        </w:drawing>
      </w:r>
    </w:p>
    <w:p>
      <w:pPr>
        <w:spacing w:after="0" w:line="379"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80" w:type="dxa"/>
            <w:vAlign w:val="bottom"/>
            <w:vMerge w:val="restart"/>
          </w:tcPr>
          <w:p>
            <w:pPr>
              <w:jc w:val="center"/>
              <w:ind w:right="16"/>
              <w:spacing w:after="0"/>
              <w:rPr>
                <w:sz w:val="20"/>
                <w:szCs w:val="20"/>
                <w:color w:val="auto"/>
              </w:rPr>
            </w:pPr>
            <w:r>
              <w:rPr>
                <w:rFonts w:ascii="Arial" w:cs="Arial" w:eastAsia="Arial" w:hAnsi="Arial"/>
                <w:sz w:val="12"/>
                <w:szCs w:val="12"/>
                <w:b w:val="1"/>
                <w:bCs w:val="1"/>
                <w:color w:val="auto"/>
                <w:w w:val="95"/>
              </w:rPr>
              <w:t>(D)</w:t>
            </w:r>
          </w:p>
        </w:tc>
        <w:tc>
          <w:tcPr>
            <w:tcW w:w="5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12/10/2020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5,138</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21.5</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01"/>
              <w:spacing w:after="0"/>
              <w:rPr>
                <w:sz w:val="20"/>
                <w:szCs w:val="20"/>
                <w:color w:val="auto"/>
              </w:rPr>
            </w:pPr>
            <w:r>
              <w:rPr>
                <w:rFonts w:ascii="Arial" w:cs="Arial" w:eastAsia="Arial" w:hAnsi="Arial"/>
                <w:sz w:val="17"/>
                <w:szCs w:val="17"/>
                <w:color w:val="0000FF"/>
              </w:rPr>
              <w:t>10,645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par value $0.001 per share</w:t>
            </w:r>
          </w:p>
        </w:tc>
        <w:tc>
          <w:tcPr>
            <w:tcW w:w="116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0000FF"/>
              </w:rPr>
              <w:t>12/10/2020</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Arial" w:cs="Arial" w:eastAsia="Arial" w:hAnsi="Arial"/>
                <w:sz w:val="13"/>
                <w:szCs w:val="13"/>
                <w:color w:val="0000FF"/>
                <w:w w:val="91"/>
              </w:rPr>
              <w:t>S</w:t>
            </w:r>
          </w:p>
        </w:tc>
        <w:tc>
          <w:tcPr>
            <w:tcW w:w="68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8"/>
              </w:rPr>
              <w:t>5,138</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83.71</w:t>
            </w:r>
            <w:r>
              <w:rPr>
                <w:rFonts w:ascii="Arial" w:cs="Arial" w:eastAsia="Arial" w:hAnsi="Arial"/>
                <w:sz w:val="21"/>
                <w:szCs w:val="21"/>
                <w:color w:val="008000"/>
                <w:w w:val="95"/>
                <w:vertAlign w:val="superscript"/>
              </w:rPr>
              <w:t>(2)</w:t>
            </w:r>
          </w:p>
        </w:tc>
        <w:tc>
          <w:tcPr>
            <w:tcW w:w="1160" w:type="dxa"/>
            <w:vAlign w:val="bottom"/>
            <w:tcBorders>
              <w:bottom w:val="single" w:sz="8" w:color="2C2C2C"/>
            </w:tcBorders>
            <w:gridSpan w:val="2"/>
          </w:tcPr>
          <w:p>
            <w:pPr>
              <w:jc w:val="right"/>
              <w:ind w:right="341"/>
              <w:spacing w:after="0"/>
              <w:rPr>
                <w:sz w:val="20"/>
                <w:szCs w:val="20"/>
                <w:color w:val="auto"/>
              </w:rPr>
            </w:pPr>
            <w:r>
              <w:rPr>
                <w:rFonts w:ascii="Arial" w:cs="Arial" w:eastAsia="Arial" w:hAnsi="Arial"/>
                <w:sz w:val="17"/>
                <w:szCs w:val="17"/>
                <w:color w:val="0000FF"/>
              </w:rPr>
              <w:t>5,507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14"/>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vMerge w:val="restart"/>
          </w:tcPr>
          <w:p>
            <w:pPr>
              <w:ind w:left="100"/>
              <w:spacing w:after="0" w:line="286"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88"/>
              </w:rPr>
              <w:t>Stock,</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5,138</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Options</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21.5</w:t>
            </w:r>
          </w:p>
        </w:tc>
        <w:tc>
          <w:tcPr>
            <w:tcW w:w="1080" w:type="dxa"/>
            <w:vAlign w:val="bottom"/>
          </w:tcPr>
          <w:p>
            <w:pPr>
              <w:jc w:val="right"/>
              <w:ind w:right="175"/>
              <w:spacing w:after="0" w:line="143" w:lineRule="exact"/>
              <w:rPr>
                <w:sz w:val="20"/>
                <w:szCs w:val="20"/>
                <w:color w:val="auto"/>
              </w:rPr>
            </w:pPr>
            <w:r>
              <w:rPr>
                <w:rFonts w:ascii="Arial" w:cs="Arial" w:eastAsia="Arial" w:hAnsi="Arial"/>
                <w:sz w:val="13"/>
                <w:szCs w:val="13"/>
                <w:color w:val="0000FF"/>
              </w:rPr>
              <w:t>12/10/2020</w:t>
            </w: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380"/>
              <w:spacing w:after="0" w:line="143" w:lineRule="exact"/>
              <w:rPr>
                <w:sz w:val="20"/>
                <w:szCs w:val="20"/>
                <w:color w:val="auto"/>
              </w:rPr>
            </w:pPr>
            <w:r>
              <w:rPr>
                <w:rFonts w:ascii="Arial" w:cs="Arial" w:eastAsia="Arial" w:hAnsi="Arial"/>
                <w:sz w:val="13"/>
                <w:szCs w:val="13"/>
                <w:color w:val="0000FF"/>
              </w:rPr>
              <w:t>5,138</w:t>
            </w:r>
          </w:p>
        </w:tc>
        <w:tc>
          <w:tcPr>
            <w:tcW w:w="800" w:type="dxa"/>
            <w:vAlign w:val="bottom"/>
            <w:gridSpan w:val="2"/>
            <w:vMerge w:val="continue"/>
          </w:tcPr>
          <w:p>
            <w:pPr>
              <w:spacing w:after="0"/>
              <w:rPr>
                <w:sz w:val="12"/>
                <w:szCs w:val="12"/>
                <w:color w:val="auto"/>
              </w:rPr>
            </w:pPr>
          </w:p>
        </w:tc>
        <w:tc>
          <w:tcPr>
            <w:tcW w:w="680" w:type="dxa"/>
            <w:vAlign w:val="bottom"/>
          </w:tcPr>
          <w:p>
            <w:pPr>
              <w:ind w:left="20"/>
              <w:spacing w:after="0" w:line="143" w:lineRule="exact"/>
              <w:rPr>
                <w:sz w:val="20"/>
                <w:szCs w:val="20"/>
                <w:color w:val="auto"/>
              </w:rPr>
            </w:pPr>
            <w:r>
              <w:rPr>
                <w:rFonts w:ascii="Arial" w:cs="Arial" w:eastAsia="Arial" w:hAnsi="Arial"/>
                <w:sz w:val="13"/>
                <w:szCs w:val="13"/>
                <w:color w:val="0000FF"/>
                <w:w w:val="98"/>
              </w:rPr>
              <w:t>01/03/2021</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par value</w:t>
            </w: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tcPr>
          <w:p>
            <w:pPr>
              <w:ind w:left="36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jc w:val="center"/>
              <w:spacing w:after="0" w:line="143" w:lineRule="exact"/>
              <w:rPr>
                <w:sz w:val="20"/>
                <w:szCs w:val="20"/>
                <w:color w:val="auto"/>
              </w:rPr>
            </w:pPr>
            <w:r>
              <w:rPr>
                <w:rFonts w:ascii="Arial" w:cs="Arial" w:eastAsia="Arial" w:hAnsi="Arial"/>
                <w:sz w:val="13"/>
                <w:szCs w:val="13"/>
                <w:color w:val="0000FF"/>
                <w:w w:val="90"/>
              </w:rPr>
              <w:t>$0.001</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3"/>
                <w:szCs w:val="13"/>
                <w:color w:val="0000FF"/>
              </w:rPr>
              <w:t>per 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-2241550</wp:posOffset>
            </wp:positionV>
            <wp:extent cx="7033260" cy="2284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28409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December 10, 2020, the reporting person exercised previously issued options to purchase an aggregate of 5,138 shares of common stock of ExlService Holdings, Inc.</w:t>
      </w:r>
    </w:p>
    <w:p>
      <w:pPr>
        <w:spacing w:after="0" w:line="45" w:lineRule="exact"/>
        <w:rPr>
          <w:rFonts w:ascii="Arial" w:cs="Arial" w:eastAsia="Arial" w:hAnsi="Arial"/>
          <w:sz w:val="13"/>
          <w:szCs w:val="13"/>
          <w:color w:val="008000"/>
        </w:rPr>
      </w:pPr>
    </w:p>
    <w:p>
      <w:pPr>
        <w:ind w:left="40" w:right="22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$83.65 to $83.79 per share. The price reported above reflects the weighted average purchase price on the date indicated. The reporting person hereby undertakes to provide upon request to the SEC staff, the issuer or a security holder of the issuer full information regarding the number of shares</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3, 2011, the reporting person was granted 7,258 stock options. 100 percent of these options became vested and exercisable on December 31, 2011.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5"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12/14/2020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21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84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780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2020-12-14T16:03:17Z</dcterms:created>
  <dcterms:modified xsi:type="dcterms:W3CDTF">2020-12-14T16:03:17Z</dcterms:modified>
</cp:coreProperties>
</file>