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 of the</w:t>
      </w: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 Results of Operations and Financial Condition.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30, 2015, ExlService Holdings, Inc. (the “Company”) reported its results of operations for the three months ended June 30, 2015.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68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680" w:type="dxa"/>
            <w:vAlign w:val="bottom"/>
            <w:gridSpan w:val="3"/>
          </w:tcPr>
          <w:p>
            <w:pPr>
              <w:ind w:left="780"/>
              <w:spacing w:after="0"/>
              <w:rPr>
                <w:sz w:val="20"/>
                <w:szCs w:val="20"/>
                <w:color w:val="auto"/>
              </w:rPr>
            </w:pPr>
            <w:r>
              <w:rPr>
                <w:rFonts w:ascii="Arial" w:cs="Arial" w:eastAsia="Arial" w:hAnsi="Arial"/>
                <w:sz w:val="18"/>
                <w:szCs w:val="18"/>
                <w:color w:val="auto"/>
                <w:w w:val="88"/>
              </w:rPr>
              <w:t>Press Release, dated July 30, 2015 (furnished pursuant to Item 2.02)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color w:val="auto"/>
              </w:rPr>
              <w:t>(Registrant)</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 July 30, 2015</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540" w:type="dxa"/>
            <w:vAlign w:val="bottom"/>
          </w:tcPr>
          <w:p>
            <w:pPr>
              <w:spacing w:after="0"/>
              <w:rPr>
                <w:sz w:val="24"/>
                <w:szCs w:val="24"/>
                <w:color w:val="auto"/>
              </w:rPr>
            </w:pPr>
          </w:p>
        </w:tc>
        <w:tc>
          <w:tcPr>
            <w:tcW w:w="2860" w:type="dxa"/>
            <w:vAlign w:val="bottom"/>
          </w:tcPr>
          <w:p>
            <w:pPr>
              <w:ind w:left="2120"/>
              <w:spacing w:after="0"/>
              <w:rPr>
                <w:sz w:val="20"/>
                <w:szCs w:val="20"/>
                <w:color w:val="auto"/>
              </w:rPr>
            </w:pPr>
            <w:r>
              <w:rPr>
                <w:rFonts w:ascii="Arial" w:cs="Arial" w:eastAsia="Arial" w:hAnsi="Arial"/>
                <w:sz w:val="18"/>
                <w:szCs w:val="18"/>
                <w:color w:val="auto"/>
              </w:rPr>
              <w:t>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EXHIBIT INDEX</w:t>
            </w:r>
          </w:p>
        </w:tc>
      </w:tr>
      <w:tr>
        <w:trPr>
          <w:trHeight w:val="513"/>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00" w:type="dxa"/>
            <w:vAlign w:val="bottom"/>
            <w:gridSpan w:val="3"/>
          </w:tcPr>
          <w:p>
            <w:pPr>
              <w:jc w:val="right"/>
              <w:ind w:right="413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jc w:val="right"/>
              <w:spacing w:after="0"/>
              <w:rPr>
                <w:sz w:val="20"/>
                <w:szCs w:val="20"/>
                <w:color w:val="auto"/>
              </w:rPr>
            </w:pPr>
            <w:r>
              <w:rPr>
                <w:rFonts w:ascii="Arial" w:cs="Arial" w:eastAsia="Arial" w:hAnsi="Arial"/>
                <w:sz w:val="18"/>
                <w:szCs w:val="18"/>
                <w:color w:val="auto"/>
              </w:rPr>
              <w:t>Press Release, dated July 30, 2015 (furnished pursuant to Item 2.02)</w:t>
            </w:r>
          </w:p>
        </w:tc>
      </w:tr>
      <w:tr>
        <w:trPr>
          <w:trHeight w:val="365"/>
        </w:trPr>
        <w:tc>
          <w:tcPr>
            <w:tcW w:w="720" w:type="dxa"/>
            <w:vAlign w:val="bottom"/>
          </w:tcPr>
          <w:p>
            <w:pPr>
              <w:spacing w:after="0"/>
              <w:rPr>
                <w:sz w:val="24"/>
                <w:szCs w:val="24"/>
                <w:color w:val="auto"/>
              </w:rPr>
            </w:pPr>
          </w:p>
        </w:tc>
        <w:tc>
          <w:tcPr>
            <w:tcW w:w="5700" w:type="dxa"/>
            <w:vAlign w:val="bottom"/>
            <w:gridSpan w:val="3"/>
          </w:tcPr>
          <w:p>
            <w:pPr>
              <w:jc w:val="right"/>
              <w:ind w:right="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2015 SECOND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2015 Second Quarter Revenues of $155.6 Million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Diluted EPS (GAAP) of $0.35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Diluted EPS (Non-GAAP) of $0.48</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New York, NY – July 30, 2015 – ExlService Holdings, Inc. (NASDAQ: EXLS), a leading provider of Operations Management and Analytics &amp; Business Transformation services, today announced its financial results for the second quarter of 2015.</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Rohit Kapoor, Vice Chairman and CEO, commented: “We are pleased with EXL’s strong second quarter and first half of 2015 financial and operating results. We made good progress on the execution of our key priorities by winning new strategic deals, strengthening our leadership position in analytics and improving our profitability. Operations Management had strong revenue momentum driven by expansion in major client relationships and contribution from our acquisition of Overland Solutions. In addition, our pipeline for Operations Management services remains robust due to differentiated capabilities, as well as leveraging Business EXLerator and BPaaS solutions.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Analytics &amp; Business Transformation revenue grew by 69% year-over-year reflecting strong organic growth for our analytics services and the impact of acquisitions. The demand for our analytics products and services remains strong across our chosen verticals.”</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Vishal Chhibbar, EXL’s CFO, commented: “In the second quarter, EXL had revenues of $155.6 million, up 24% from second quarter 2014 revenues which excludes the reimbursement of disentanglement costs. During the quarter we expanded our margins, increased operating leverage and delivered an adjusted diluted EPS of $0.48, up $0.07 both year over year and sequentially.</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Based on our strong year-to-date performance and continued growth momentum in the second half of 2015, EXL is raising its revenue guidance to $610 million - $625 million from $600 million - $620 million, representing an annual growth of 16% to 19%, despite a currency headwind. EXL is raising its adjusted diluted earnings per share guidance to $1.88 - $1.98 from $1.85 - $1.95.”</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is divided into two reporting segments: Operations Management and Analytics &amp; Business Transformation.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2015 were $155.6 million compared to $119.7 million for the quarter ended June 30, 2014 and $143.5 million for the quarter ended March 31, 2015. Revenues for the quarter ended June 30, 2014 were reduced by $5.7 million due to the reimbursement of disentanglement costs. Operations Management revenues for the quarter ended June 30, 2015 were $112.6 million compared to $94.3 million for the quarter ended June 30, 2014 and $110.7 million for the quarter ended March 31, 2015. Analytics &amp; Business Transformation revenues for the quarter ended June 30, 2015 were $43.0 million compared to $25.4 million for the quarter ended June 30, 2014 and $32.8 million for the quarter ended March 31, 2015.</w:t>
      </w:r>
    </w:p>
    <w:p>
      <w:pPr>
        <w:spacing w:after="0" w:line="98"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2015 was 35.4% compared to 32.1% for the quarter ended June 30, 2014 and 35.1% for the quarter ended March 31, 2015. Operations Management gross margin for the quarter ended June 30, 2015 was 36.5% compared to 33.7% for the quarter ended June 30, 2014 and 36.3% for the quarter ended March 31, 2015. Analytics &amp; Business Transformation gross margin for the quarter ended June 30, 2015 was 32.7% compared to 26.2% for the quarter ended June 30, 2014 and 31.0% for the quarter ended March 31, 2015.</w:t>
      </w:r>
    </w:p>
    <w:p>
      <w:pPr>
        <w:spacing w:after="0" w:line="59"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June 30, 2015 was 9.8% compared to 5.1% for the quarter ended June 30, 2014 and 9.4% for the quarter ended March 31, 2015.</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June 30, 2015 was $12.1 million compared to $7.8 million for the quarter ended June 30, 2014 and $9.6 million for the quarter ended March 31, 2015.</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operating margin for the quarter ended June 30, 2015 was 13.9% compared to 12.2% for the quarter ended June 30, 2014 and 13.8% for the quarter ended March 31, 2015. Adjusted EBITDA for the quarter ended June 30, 2015 was $26.9 million compared to $20.5 million for the quarter ended June 30, 2014 and $24.8 million for the quarter ended March 31, 2015.</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2015 was $0.35 compared to $0.23 for the quarter ended June 30, 2014 and $0.28 for the quarter ended March 31, 2015. Adjusted diluted earnings per share for the quarter ended June 30, 2015 was $0.48 compared to $0.41 for each of the quarters ended June 30, 2014 and March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six new clients in Operations Management and one new client in Analytics &amp; Business Transformation.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34 new processes in the second quarter of 2015.</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definitive agreement with Carvajal Tecnologia y Servicios S.A.S. of Colombia that will allow EXL to address the growing demand for Spanish and bilingual Operations Management solutions from Bogota and Cali.</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Opened a delivery center in Cape Town, South Africa to provide English language customer service for UK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among “The 100 Most Trustworthy Companies in America” for the year 2015 by Forbes.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with four industry innovation awards by the consultancy firm Aecus for technology and analytics-driven high business impact solutions in the Utilities, Insurance and Travel, Transportation and Logistics industries.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Positioned as a Leader in the Gartner “Magic Quadrant for Finance &amp; Accounting BPO, 2015” </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Positioned as a Leader in the “IDC MarketScape: Worldwide Finance and Accounting (F&amp;A) BPO Services 2015 Vendor Assessment Report.”</w:t>
      </w:r>
    </w:p>
    <w:p>
      <w:pPr>
        <w:spacing w:after="0" w:line="153"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an award for excellence for our Analytics solution on “Preventive Hospitalization” at the June 2015 NASSCOM Big Data &amp; Analytics Summit for excellence for analytics service.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Released Version 18 of LifePRO</w:t>
      </w:r>
      <w:r>
        <w:rPr>
          <w:rFonts w:ascii="Arial" w:cs="Arial" w:eastAsia="Arial" w:hAnsi="Arial"/>
          <w:sz w:val="15"/>
          <w:szCs w:val="15"/>
          <w:color w:val="auto"/>
        </w:rPr>
        <w:t>®</w:t>
      </w:r>
      <w:r>
        <w:rPr>
          <w:rFonts w:ascii="Arial" w:cs="Arial" w:eastAsia="Arial" w:hAnsi="Arial"/>
          <w:sz w:val="18"/>
          <w:szCs w:val="18"/>
          <w:color w:val="auto"/>
        </w:rPr>
        <w:t xml:space="preserve"> with 60 significant business and technology enhancements.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headcount as of June 30, 2015 of 22,684 compared to 22,618 as of March 31, 2015 and 23,071 (including employees under managed services) as of June 30, 2014.</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June 30, 2015 of 34.9%, compared with 33.6% for the quarter ended March 31, 2015 and 34.1% for the quarter ended June 30,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Outlook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Based on current visibility and an Indian rupee to U.S. dollar exchange rate of 64, the Company is updating its guidance for the calendar year 2015:</w:t>
      </w:r>
    </w:p>
    <w:p>
      <w:pPr>
        <w:spacing w:after="0" w:line="14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$610 million to $625 million.</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$1.88 to $1.98.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Thursday, July 30, 2015 at 8:00 a.m. U.S. eastern time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auto"/>
        </w:rPr>
        <w:t>ir.exlservice.com</w:t>
      </w:r>
      <w:r>
        <w:rPr>
          <w:rFonts w:ascii="Arial" w:cs="Arial" w:eastAsia="Arial" w:hAnsi="Arial"/>
          <w:sz w:val="18"/>
          <w:szCs w:val="18"/>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To listen to the conference call via phone, please dial 1-877-303-6384 or if dialing in internationally,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76" w:lineRule="exact"/>
        <w:rPr>
          <w:sz w:val="20"/>
          <w:szCs w:val="20"/>
          <w:color w:val="auto"/>
        </w:rPr>
      </w:pPr>
    </w:p>
    <w:p>
      <w:pPr>
        <w:ind w:left="460" w:right="60" w:hanging="452"/>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Gartner, Magic Quadrant for Finance and Accounting BPO, Cathy Tornbohm, Chris Pang, 18 June 2015.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23,000 professionals in locations throughout the U.S., Europe and Asia.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81,259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193,603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156,181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91"/>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9,463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23,087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39,895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32,382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76,812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63,770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income / (loss)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expense / (benefit)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11,744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33,417,079</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32,812,155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33,327,169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32,668,620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34,207,973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33,673,669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34,130,472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33,551,904</w:t>
            </w: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94,651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77,880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94,216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13,687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301,608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48,152</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170,129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23,975</w:t>
            </w: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613,718</w:t>
            </w:r>
          </w:p>
        </w:tc>
        <w:tc>
          <w:tcPr>
            <w:tcW w:w="4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28,834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37,571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94,892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90,968</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Long term borrowings</w:t>
            </w:r>
          </w:p>
        </w:tc>
        <w:tc>
          <w:tcPr>
            <w:tcW w:w="1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14,041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169,256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154,398</w:t>
            </w: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100,000,000 shares authorized, 34,658,876 shares issued and 33,213,549 shares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outstanding as of June 30, 2015 and 34,203,352 shares issued and 32,905,467 shares outstanding as of December 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243,348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291,065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(56,917)</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477,531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w w:val="99"/>
              </w:rPr>
              <w:t>Less: 1,445,327 shares as of June 30, 2015 and 1,297,885 shares as of December 31, 2014, held in treasury, at cost</w:t>
            </w:r>
          </w:p>
        </w:tc>
        <w:tc>
          <w:tcPr>
            <w:tcW w:w="12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(33,069)</w:t>
            </w:r>
          </w:p>
        </w:tc>
        <w:tc>
          <w:tcPr>
            <w:tcW w:w="1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444,462</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613,718</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573,556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and the amortization of intangibles associated with further acquisitions, and the uncertainty around the reimbursement of transition and disentanglement costs for a disclosed client issue. EXL also incurs significant non-cash charges for depreciation that may not be indicative of the Company’s ability to generate cash flow.</w:t>
      </w:r>
    </w:p>
    <w:p>
      <w:pPr>
        <w:spacing w:after="0" w:line="1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months ended June 30, 2015 and 2014 and for the three months ended March 31,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155,621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119,738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add: Reimbursement of transition and disentanglement costs (a)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5,718</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w w:val="95"/>
              </w:rPr>
              <w:t>155,621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125,456</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subtract: Cost of revenues (GAAP)</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8"/>
              <w:spacing w:after="0"/>
              <w:rPr>
                <w:sz w:val="20"/>
                <w:szCs w:val="20"/>
                <w:color w:val="auto"/>
              </w:rPr>
            </w:pPr>
            <w:r>
              <w:rPr>
                <w:rFonts w:ascii="Arial" w:cs="Arial" w:eastAsia="Arial" w:hAnsi="Arial"/>
                <w:sz w:val="18"/>
                <w:szCs w:val="18"/>
                <w:color w:val="auto"/>
                <w:w w:val="88"/>
              </w:rPr>
              <w:t>(100,478)</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(81,259)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Operating expenses (GAAP)</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(39,895)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(32,382)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(Non- GAAP)</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15,248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11,815</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(b)</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add: Amortization of acquisition-related intangibles (c)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21,609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15,271</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19,782</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Adjusted operating income margin as a % of Revenues (Non-GAAP)</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28"/>
              <w:spacing w:after="0"/>
              <w:rPr>
                <w:sz w:val="20"/>
                <w:szCs w:val="20"/>
                <w:color w:val="auto"/>
              </w:rPr>
            </w:pPr>
            <w:r>
              <w:rPr>
                <w:rFonts w:ascii="Arial" w:cs="Arial" w:eastAsia="Arial" w:hAnsi="Arial"/>
                <w:sz w:val="18"/>
                <w:szCs w:val="18"/>
                <w:i w:val="1"/>
                <w:iCs w:val="1"/>
                <w:color w:val="auto"/>
              </w:rPr>
              <w:t>13.9%</w:t>
            </w:r>
          </w:p>
        </w:tc>
        <w:tc>
          <w:tcPr>
            <w:tcW w:w="10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12.2%</w:t>
            </w:r>
          </w:p>
        </w:tc>
        <w:tc>
          <w:tcPr>
            <w:tcW w:w="2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Depreciation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26,862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20,461</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i w:val="1"/>
                <w:iCs w:val="1"/>
                <w:color w:val="auto"/>
              </w:rPr>
              <w:t>17.3%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16.3%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12,074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add: Stock-based compensation expense (a)</w:t>
            </w: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1,967</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Amortization of acquisition-related intangibles (b)</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add: reimbursement of transition and disentanglement costs (c)</w:t>
            </w: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5,718</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Tax impact on stock-based compensation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Tax impact on reimbursement of transition and disentanglement costs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(2,173)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(Non-GAAP)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0"/>
              </w:rPr>
              <w:t>16,399</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7"/>
              </w:rPr>
              <w:t>13,842</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0.48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0.41</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reimbursement of transition and disentanglement costs for a disclosed client issue.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2019-12-08T12:17:39Z</dcterms:created>
  <dcterms:modified xsi:type="dcterms:W3CDTF">2019-12-08T12:17:39Z</dcterms:modified>
</cp:coreProperties>
</file>