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AYYAPPAN AJAY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12/13/2021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54"/>
        <w:spacing w:after="0"/>
        <w:rPr>
          <w:sz w:val="20"/>
          <w:szCs w:val="20"/>
          <w:color w:val="auto"/>
        </w:rPr>
      </w:pPr>
      <w:r>
        <w:rPr>
          <w:rFonts w:ascii="Arial" w:cs="Arial" w:eastAsia="Arial" w:hAnsi="Arial"/>
          <w:sz w:val="16"/>
          <w:szCs w:val="16"/>
          <w:color w:val="0000FF"/>
        </w:rPr>
        <w:t>SVP &amp; Gen Counsel/Corp. Sec'y.</w:t>
      </w:r>
    </w:p>
    <w:p>
      <w:pPr>
        <w:spacing w:after="0" w:line="324"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12/13/2021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1,123</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2,233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12/13/2021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(2)</w:t>
            </w:r>
          </w:p>
        </w:tc>
        <w:tc>
          <w:tcPr>
            <w:tcW w:w="68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622</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135.55</w:t>
            </w:r>
          </w:p>
        </w:tc>
        <w:tc>
          <w:tcPr>
            <w:tcW w:w="118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1,611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0" w:type="dxa"/>
            <w:vAlign w:val="bottom"/>
            <w:gridSpan w:val="10"/>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1,123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12/13/2021</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Arial" w:cs="Arial" w:eastAsia="Arial" w:hAnsi="Arial"/>
                <w:sz w:val="13"/>
                <w:szCs w:val="13"/>
                <w:color w:val="0000FF"/>
              </w:rPr>
              <w:t>1,123</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43" w:lineRule="exact"/>
              <w:rPr>
                <w:sz w:val="20"/>
                <w:szCs w:val="20"/>
                <w:color w:val="auto"/>
              </w:rPr>
            </w:pPr>
            <w:r>
              <w:rPr>
                <w:rFonts w:ascii="Arial" w:cs="Arial" w:eastAsia="Arial" w:hAnsi="Arial"/>
                <w:sz w:val="13"/>
                <w:szCs w:val="13"/>
                <w:color w:val="0000FF"/>
                <w:w w:val="92"/>
              </w:rPr>
              <w:t>1,123</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0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December 13,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13, 2018, the reporting person was granted 4,492 restricted stock units, 25 percent of the restricted stock units became vested on December 13, 2019, an additional 25 percent of the restricted stock units vested on December 13, 2020, an additional 25 percent of the restricted stock vested on December 13, 2021, and the remaining balance 25 percent of the restricted stock units will vest on December 13,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12/15/2021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2021-12-15T16:35:47Z</dcterms:created>
  <dcterms:modified xsi:type="dcterms:W3CDTF">2021-12-15T16:35:47Z</dcterms:modified>
</cp:coreProperties>
</file>