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44" w:type="dxa"/>
        <w:tblCellMar>
          <w:top w:w="0" w:type="dxa"/>
          <w:left w:w="0" w:type="dxa"/>
          <w:bottom w:w="0" w:type="dxa"/>
          <w:right w:w="0" w:type="dxa"/>
        </w:tblCellMar>
      </w:tblPr>
      <w:tr>
        <w:trPr>
          <w:trHeight w:val="214"/>
        </w:trPr>
        <w:tc>
          <w:tcPr>
            <w:tcW w:w="390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001-33089</w:t>
            </w:r>
          </w:p>
        </w:tc>
        <w:tc>
          <w:tcPr>
            <w:tcW w:w="2840" w:type="dxa"/>
            <w:vAlign w:val="bottom"/>
          </w:tcPr>
          <w:p>
            <w:pPr>
              <w:jc w:val="center"/>
              <w:ind w:left="1617"/>
              <w:spacing w:after="0"/>
              <w:rPr>
                <w:sz w:val="20"/>
                <w:szCs w:val="20"/>
                <w:color w:val="auto"/>
              </w:rPr>
            </w:pPr>
            <w:r>
              <w:rPr>
                <w:rFonts w:ascii="Times New Roman" w:cs="Times New Roman" w:eastAsia="Times New Roman" w:hAnsi="Times New Roman"/>
                <w:sz w:val="18"/>
                <w:szCs w:val="18"/>
                <w:b w:val="1"/>
                <w:bCs w:val="1"/>
                <w:color w:val="auto"/>
                <w:w w:val="98"/>
              </w:rPr>
              <w:t>82-0572194</w:t>
            </w:r>
          </w:p>
        </w:tc>
      </w:tr>
      <w:tr>
        <w:trPr>
          <w:trHeight w:val="148"/>
        </w:trPr>
        <w:tc>
          <w:tcPr>
            <w:tcW w:w="3900" w:type="dxa"/>
            <w:vAlign w:val="bottom"/>
          </w:tcPr>
          <w:p>
            <w:pPr>
              <w:jc w:val="center"/>
              <w:ind w:right="177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40" w:type="dxa"/>
            <w:vAlign w:val="bottom"/>
          </w:tcPr>
          <w:p>
            <w:pPr>
              <w:jc w:val="center"/>
              <w:ind w:left="16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77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40" w:type="dxa"/>
            <w:vAlign w:val="bottom"/>
          </w:tcPr>
          <w:p>
            <w:pPr>
              <w:jc w:val="center"/>
              <w:ind w:left="16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320 Park Avenue, 29</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c>
          <w:tcPr>
            <w:tcW w:w="22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9"/>
                <w:szCs w:val="19"/>
                <w:color w:val="auto"/>
              </w:rPr>
            </w:pPr>
          </w:p>
        </w:tc>
        <w:tc>
          <w:tcPr>
            <w:tcW w:w="2840" w:type="dxa"/>
            <w:vAlign w:val="bottom"/>
          </w:tcPr>
          <w:p>
            <w:pPr>
              <w:jc w:val="right"/>
              <w:ind w:right="1177"/>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tcPr>
          <w:p>
            <w:pPr>
              <w:spacing w:after="0"/>
              <w:rPr>
                <w:sz w:val="20"/>
                <w:szCs w:val="20"/>
                <w:color w:val="auto"/>
              </w:rPr>
            </w:pPr>
          </w:p>
        </w:tc>
        <w:tc>
          <w:tcPr>
            <w:tcW w:w="284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277-7100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24" w:right="18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EXLS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ind w:left="1200" w:right="92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10, 2022, Samuel Meckey, Executive Vice President of ExlService Holdings, Inc. (the “Company”), provided notice to the Company that he will be resigning. Mr. Meckey’s resignation will be effective as of July 9, 2022, until which time he will, among his regular duties, assist with transition activities for his role.</w:t>
      </w:r>
    </w:p>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2022</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2022-05-12T05:34:48Z</dcterms:created>
  <dcterms:modified xsi:type="dcterms:W3CDTF">2022-05-12T05:34:48Z</dcterms:modified>
</cp:coreProperties>
</file>