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Date of Report (Date of earliest event reported):  July 28, 2026</w:t>
      </w:r>
      <w:r>
        <w:rPr>
          <w:color w:val="000000"/>
        </w:rPr>
        <w:t xml:space="preserve"> </w:t>
      </w:r>
    </w:p>
    <w:p>
      <w:pPr>
        <w:pStyle w:val="TextBody"/>
        <w:bidi w:val="0"/>
        <w:spacing w:lineRule="auto" w:line="288" w:before="0" w:after="0"/>
        <w:jc w:val="center"/>
        <w:rPr/>
      </w:pPr>
      <w:r>
        <w:rPr>
          <w:color w:val="000000"/>
        </w:rPr>
        <w:t> </w:t>
      </w: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EXLSERVICE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left"/>
        <w:rPr/>
      </w:pPr>
      <w:r>
        <w:rPr/>
      </w:r>
    </w:p>
    <w:tbl>
      <w:tblPr>
        <w:tblW w:w="4136" w:type="dxa"/>
        <w:jc w:val="center"/>
        <w:tblInd w:w="0" w:type="dxa"/>
        <w:tblLayout w:type="fixed"/>
        <w:tblCellMar>
          <w:top w:w="28" w:type="dxa"/>
          <w:left w:w="28" w:type="dxa"/>
          <w:bottom w:w="28" w:type="dxa"/>
          <w:right w:w="28" w:type="dxa"/>
        </w:tblCellMar>
      </w:tblPr>
      <w:tblGrid>
        <w:gridCol w:w="124"/>
        <w:gridCol w:w="109"/>
        <w:gridCol w:w="109"/>
        <w:gridCol w:w="608"/>
        <w:gridCol w:w="608"/>
        <w:gridCol w:w="610"/>
        <w:gridCol w:w="360"/>
        <w:gridCol w:w="360"/>
        <w:gridCol w:w="363"/>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320 Park Avenue,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29</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18"/>
        </w:rPr>
        <w:t>Registrant’s telephone number, including area code:</w:t>
      </w:r>
      <w:r>
        <w:rPr>
          <w:color w:val="000000"/>
        </w:rPr>
        <w:t>  </w:t>
      </w:r>
      <w:r>
        <w:rPr>
          <w:rFonts w:ascii="Times New Roman;serif" w:hAnsi="Times New Roman;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color w:val="000000"/>
          <w:sz w:val="20"/>
        </w:rPr>
        <w:t xml:space="preserve">Item 2.02. </w:t>
      </w:r>
      <w:r>
        <w:rPr>
          <w:rFonts w:ascii="Times New Roman;serif" w:hAnsi="Times New Roman;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28, 2026, ExlService Holdings, Inc. (the “Company”) reported its results of operations for the three months ended June 30, 2026. A copy of the press release issued by the Company concerning the foregoing is furnished herewith as Exhibit 99.1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provided in Item 2.02 of this report,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8"/>
        <w:gridCol w:w="538"/>
        <w:gridCol w:w="538"/>
        <w:gridCol w:w="538"/>
        <w:gridCol w:w="538"/>
        <w:gridCol w:w="538"/>
        <w:gridCol w:w="769"/>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q226pressrelease.htm">
              <w:r>
                <w:rPr>
                  <w:rStyle w:val="InternetLink"/>
                  <w:rFonts w:ascii="Times New Roman;serif" w:hAnsi="Times New Roman;serif"/>
                  <w:b w:val="false"/>
                  <w:color w:val="0000FF"/>
                  <w:sz w:val="20"/>
                  <w:u w:val="single"/>
                </w:rPr>
                <w:t>Press Release, dated July 28, 2026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28" w:type="dxa"/>
        <w:jc w:val="left"/>
        <w:tblInd w:w="0" w:type="dxa"/>
        <w:tblLayout w:type="fixed"/>
        <w:tblCellMar>
          <w:top w:w="28" w:type="dxa"/>
          <w:left w:w="28" w:type="dxa"/>
          <w:bottom w:w="28" w:type="dxa"/>
          <w:right w:w="28" w:type="dxa"/>
        </w:tblCellMar>
      </w:tblPr>
      <w:tblGrid>
        <w:gridCol w:w="443"/>
        <w:gridCol w:w="390"/>
        <w:gridCol w:w="396"/>
        <w:gridCol w:w="463"/>
        <w:gridCol w:w="463"/>
        <w:gridCol w:w="463"/>
        <w:gridCol w:w="589"/>
        <w:gridCol w:w="589"/>
        <w:gridCol w:w="8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EXLSERVICE HOLDINGS,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40" w:after="283"/>
        <w:jc w:val="left"/>
        <w:rPr/>
      </w:pPr>
      <w:r>
        <w:rPr/>
      </w:r>
    </w:p>
    <w:p>
      <w:pPr>
        <w:pStyle w:val="TextBody"/>
        <w:bidi w:val="0"/>
        <w:spacing w:before="14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EXL REPORTS 2026 SECOND QUARTER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2026 Second Quarter Revenue of $594.8 Million, up 15.6% year-over-year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Q2 Diluted EPS (GAAP) of $0.42, up 4.9% from $0.40 in Q2 of 2025</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4"/>
        </w:rPr>
        <w:t xml:space="preserve">Q2 Adjusted Diluted EPS (Non-GAAP) </w:t>
      </w:r>
      <w:r>
        <w:rPr>
          <w:rFonts w:ascii="Times New Roman;serif" w:hAnsi="Times New Roman;serif"/>
          <w:b/>
          <w:i/>
          <w:color w:val="000000"/>
          <w:sz w:val="16"/>
        </w:rPr>
        <w:t>(1)</w:t>
      </w:r>
      <w:r>
        <w:rPr>
          <w:color w:val="000000"/>
        </w:rPr>
        <w:t xml:space="preserve"> </w:t>
      </w:r>
      <w:r>
        <w:rPr>
          <w:rFonts w:ascii="Times New Roman;serif" w:hAnsi="Times New Roman;serif"/>
          <w:b/>
          <w:i/>
          <w:color w:val="000000"/>
          <w:sz w:val="24"/>
        </w:rPr>
        <w:t>of $0.59, up 22.3% from $0.49 in Q2 of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0"/>
        </w:rPr>
        <w:t>New York</w:t>
      </w:r>
      <w:r>
        <w:rPr>
          <w:color w:val="000000"/>
        </w:rPr>
        <w:t xml:space="preserve"> – </w:t>
      </w:r>
      <w:r>
        <w:rPr>
          <w:rFonts w:ascii="Times New Roman;serif" w:hAnsi="Times New Roman;serif"/>
          <w:b/>
          <w:color w:val="000000"/>
          <w:sz w:val="20"/>
        </w:rPr>
        <w:t>July 28, 2026</w:t>
      </w:r>
      <w:r>
        <w:rPr>
          <w:color w:val="000000"/>
        </w:rPr>
        <w:t xml:space="preserve"> </w:t>
      </w:r>
      <w:r>
        <w:rPr>
          <w:rFonts w:ascii="Times New Roman;serif" w:hAnsi="Times New Roman;serif"/>
          <w:b w:val="false"/>
          <w:color w:val="000000"/>
          <w:sz w:val="20"/>
        </w:rPr>
        <w:t>(GLOBE NEWSWIRE) - ExlService Holdings, Inc. (NASDAQ: EXLS), a global data and AI company, today announced its financial results for the quarter ended June 30, 2026.</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 Rohit Kapoor said, “We entered 2026 with strong momentum that accelerated through the first half, delivering second quarter revenue growth of 16% year-on-year and adjusted diluted EPS of 22% year-on-year. Our sustained double-digit growth reflects continued execution of our data and AI strategy and our differentiated position which helps clients effectively adopt AI across the enterprise. We have very good visibility into the balance of the year and look forward to a solid finish to 2026.”</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Maurizio Nicolelli said, “Our strong second quarter performance, sustained growth momentum and healthy pipeline give us the confidence to increase our organic full-year revenue growth guidance to 13% to 14%, up from 10% to 12%. In addition, we are also updating our guidance to include $28.0 million to $32.0 million of anticipated revenue from the iMerit acquisition, which is expected to close on July 31, 2026. We now expect full-year 2026 total revenue to be in the range of $2.390 billion to $2.415 billion, up from our prior guidance of $2.30 billion to $2.33 billion, reflecting 14% to 16% year-over-year growth on a reported basis. We now expect adjusted diluted earnings per share of $2.25 to $2.29, a 16% to 18% increase over 2025, up from our prior guidance of $2.18 to $2.23.”</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lineRule="auto" w:line="336" w:before="100" w:after="100"/>
        <w:jc w:val="both"/>
        <w:rPr>
          <w:rFonts w:ascii="Times New Roman;serif" w:hAnsi="Times New Roman;serif"/>
          <w:b/>
          <w:i/>
          <w:color w:val="000000"/>
          <w:sz w:val="20"/>
        </w:rPr>
      </w:pPr>
      <w:r>
        <w:rPr>
          <w:rFonts w:ascii="Times New Roman;serif" w:hAnsi="Times New Roman;serif"/>
          <w:b/>
          <w:i/>
          <w:color w:val="000000"/>
          <w:sz w:val="20"/>
        </w:rPr>
        <w:t>__________________________________________________________</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00" w:after="283"/>
        <w:jc w:val="both"/>
        <w:rPr>
          <w:rFonts w:ascii="Times New Roman;serif" w:hAnsi="Times New Roman;serif"/>
          <w:b/>
          <w:color w:val="000000"/>
          <w:sz w:val="20"/>
        </w:rPr>
      </w:pPr>
      <w:r>
        <w:rPr>
          <w:rFonts w:ascii="Times New Roman;serif" w:hAnsi="Times New Roman;serif"/>
          <w:b/>
          <w:color w:val="000000"/>
          <w:sz w:val="20"/>
        </w:rPr>
        <w:t>Financial Highlights: Second Quarter 2026</w:t>
      </w:r>
    </w:p>
    <w:p>
      <w:pPr>
        <w:pStyle w:val="TextBody"/>
        <w:bidi w:val="0"/>
        <w:spacing w:before="100" w:after="283"/>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Revenue for the quarter ended June 30, 2026, increased to $594.8 million compared to $514.5 million for the second quarter of 2025, an increase of 15.6% on a reported basis and 15.9% on a constant currency basis. Revenue increased by 4.3% sequentially on a reported basis and 4.4% on a constant currency basis, from the first quarter of 2026.</w:t>
      </w:r>
    </w:p>
    <w:tbl>
      <w:tblPr>
        <w:tblW w:w="10205" w:type="dxa"/>
        <w:jc w:val="left"/>
        <w:tblInd w:w="0" w:type="dxa"/>
        <w:tblLayout w:type="fixed"/>
        <w:tblCellMar>
          <w:top w:w="28" w:type="dxa"/>
          <w:left w:w="28" w:type="dxa"/>
          <w:bottom w:w="28" w:type="dxa"/>
          <w:right w:w="28" w:type="dxa"/>
        </w:tblCellMar>
      </w:tblPr>
      <w:tblGrid>
        <w:gridCol w:w="823"/>
        <w:gridCol w:w="710"/>
        <w:gridCol w:w="713"/>
        <w:gridCol w:w="109"/>
        <w:gridCol w:w="109"/>
        <w:gridCol w:w="109"/>
        <w:gridCol w:w="222"/>
        <w:gridCol w:w="649"/>
        <w:gridCol w:w="123"/>
        <w:gridCol w:w="109"/>
        <w:gridCol w:w="109"/>
        <w:gridCol w:w="109"/>
        <w:gridCol w:w="222"/>
        <w:gridCol w:w="649"/>
        <w:gridCol w:w="123"/>
        <w:gridCol w:w="109"/>
        <w:gridCol w:w="109"/>
        <w:gridCol w:w="109"/>
        <w:gridCol w:w="235"/>
        <w:gridCol w:w="688"/>
        <w:gridCol w:w="131"/>
        <w:gridCol w:w="109"/>
        <w:gridCol w:w="109"/>
        <w:gridCol w:w="109"/>
        <w:gridCol w:w="250"/>
        <w:gridCol w:w="239"/>
        <w:gridCol w:w="445"/>
        <w:gridCol w:w="109"/>
        <w:gridCol w:w="109"/>
        <w:gridCol w:w="109"/>
        <w:gridCol w:w="250"/>
        <w:gridCol w:w="239"/>
        <w:gridCol w:w="445"/>
        <w:gridCol w:w="109"/>
        <w:gridCol w:w="109"/>
        <w:gridCol w:w="109"/>
        <w:gridCol w:w="264"/>
        <w:gridCol w:w="237"/>
        <w:gridCol w:w="586"/>
      </w:tblGrid>
      <w:tr>
        <w:trPr/>
        <w:tc>
          <w:tcPr>
            <w:tcW w:w="82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Margin</w:t>
            </w:r>
          </w:p>
        </w:tc>
      </w:tr>
      <w:tr>
        <w:trPr/>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Banking, Capital Markets and Diversified Industries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Growth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594.8</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514.5</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570.4</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38.0</w:t>
            </w:r>
            <w:r>
              <w:rPr>
                <w:color w:val="000000"/>
              </w:rPr>
              <w:t>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w:t>
            </w:r>
            <w:r>
              <w:rPr>
                <w:color w:val="000000"/>
              </w:rPr>
              <w:t> </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38.9</w:t>
            </w:r>
            <w:r>
              <w:rPr>
                <w:color w:val="000000"/>
              </w:rPr>
              <w:t>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Operating income margin for the quarter ended June 30, 2026 was 14.7%, compared to 15.8% for the second quarter of 2025 and 16.1% for the first quarter of 2026. Adjusted operating income margin for the quarter ended June 30, 2026 was 19.7%, compared to 19.6% for the second quarter of 2025 and 20.5% for the first quarter of 2026.</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Diluted earnings per share for the quarter ended June 30, 2026 was $0.42, compared to $0.40 for the second quarter of 2025 and $0.43 for the first quarter of 2026. Adjusted diluted earnings per share for the quarter ended June 30, 2026 was $0.59, compared to $0.49 for the second quarter of 2025 and $0.58 for the first quarter of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Business Highlights: Second Quarter 2026</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Won 17 new clients in the second quarter of 2026.</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agreed to acquire iMerit, advancing its leadership in enterprise AI by adding foundation model expertise and technology.</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achieved gold status with Databricks and deepened its collaboration to help enterprises build trusted data foundations for AI at scale.</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became an OpenAI Services Partner, expanding its AI delivery capabilities through OpenAI’s enterprise capabilities.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joined the Claude Partner Network, further strengthening its AI ecosystem with Anthropic’s frontier AI models.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achieved Snowflake Premier Partner status, reinforcing its commitment to delivering strategic data and AI solutions for clients.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integrated with NVIDIA Transaction Foundation Model, bringing next-generation fraud detection and risk intelligence to financial institutions.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named a Horizon 3 - Market Leader in the HFS Horizons Data Modernization and AI, 2026 report for EXL’s ability to operationalize AI through semantic data foundations, agentic workflow orchestration, and proven enterprise-scale transformation outcomes.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Appointed Bhupender Singh as president and head of international growth markets.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visibility, and a U.S. dollar to Indian rupee exchange rate of 95.0, U.K. pound sterling to U.S. dollar exchange rate of 1.33, U.S. dollar to the Philippine peso exchange rate of 61.0 and all other currencies at current exchange rates, we are providing the following guidance for the full year 2026:</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Revenue of $2.390 billion to $2.415 billion, representing an increase of 14% to 16% on a reported basis, which includes $28.0 million to $32.0 million of anticipated revenue from the iMerit acquisition, which is expected to close on July 31, 2026, and 13% to 14% on an organic constant currency basis from 2025.</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Adjusted diluted earnings per share of $2.25 to $2.29, representing an increase of 16% to 18% from 2025.</w:t>
      </w:r>
    </w:p>
    <w:p>
      <w:pPr>
        <w:pStyle w:val="TextBody"/>
        <w:bidi w:val="0"/>
        <w:spacing w:before="0" w:after="0"/>
        <w:ind w:left="0" w:right="0" w:firstLine="135"/>
        <w:jc w:val="both"/>
        <w:rPr/>
      </w:pPr>
      <w:r>
        <w:rPr/>
      </w:r>
    </w:p>
    <w:p>
      <w:pPr>
        <w:pStyle w:val="TextBody"/>
        <w:bidi w:val="0"/>
        <w:spacing w:lineRule="auto" w:line="345"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erif" w:hAnsi="Times New Roman;serif"/>
          <w:b w:val="false"/>
          <w:color w:val="000000"/>
          <w:sz w:val="20"/>
        </w:rPr>
        <w:t xml:space="preserve">ExlService Holdings, Inc. will host a conference call on Wednesday, July 29, 2026, at 10:00 A.M. ET to discuss the Company’s second quarter operating and financial results. The conference call will be available live via the internet by accessing the investor relations section of EXL’s website at </w:t>
      </w:r>
      <w:r>
        <w:rPr>
          <w:rFonts w:ascii="Times New Roman;serif" w:hAnsi="Times New Roman;serif"/>
          <w:b w:val="false"/>
          <w:color w:val="0000FF"/>
          <w:sz w:val="20"/>
          <w:u w:val="single"/>
        </w:rPr>
        <w:t>ir.exlservice.com</w:t>
      </w:r>
      <w:r>
        <w:rPr>
          <w:rFonts w:ascii="Times New Roman;serif" w:hAnsi="Times New Roman;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erif" w:hAnsi="Times New Roman;serif"/>
          <w:b w:val="false"/>
          <w:color w:val="000000"/>
          <w:sz w:val="20"/>
        </w:rPr>
        <w:t xml:space="preserve">To join the live call, please register </w:t>
      </w:r>
      <w:r>
        <w:rPr>
          <w:rFonts w:ascii="Times New Roman;serif" w:hAnsi="Times New Roman;serif"/>
          <w:b w:val="false"/>
          <w:color w:val="0000FF"/>
          <w:sz w:val="20"/>
          <w:u w:val="single"/>
        </w:rPr>
        <w:t>here</w:t>
      </w:r>
      <w:r>
        <w:rPr>
          <w:rFonts w:ascii="Times New Roman;serif" w:hAnsi="Times New Roman;serif"/>
          <w:b w:val="false"/>
          <w:color w:val="0000FF"/>
          <w:sz w:val="20"/>
        </w:rPr>
        <w:t xml:space="preserve">. </w:t>
      </w:r>
      <w:r>
        <w:rPr>
          <w:rFonts w:ascii="Times New Roman;serif" w:hAnsi="Times New Roman;serif"/>
          <w:b w:val="false"/>
          <w:color w:val="000000"/>
          <w:sz w:val="20"/>
        </w:rPr>
        <w:t xml:space="preserve">A dial-in and unique PIN will be provided to join the call. For those who cannot access the live broadcast, a replay will be available on the EXL website </w:t>
      </w:r>
      <w:r>
        <w:rPr>
          <w:rFonts w:ascii="Times New Roman;serif" w:hAnsi="Times New Roman;serif"/>
          <w:b w:val="false"/>
          <w:color w:val="0000FF"/>
          <w:sz w:val="20"/>
          <w:u w:val="single"/>
        </w:rPr>
        <w:t>ir.exlservice.com</w:t>
      </w:r>
      <w:r>
        <w:rPr>
          <w:color w:val="000000"/>
        </w:rPr>
        <w:t xml:space="preserve"> </w:t>
      </w:r>
      <w:r>
        <w:rPr>
          <w:rFonts w:ascii="Times New Roman;serif" w:hAnsi="Times New Roman;serif"/>
          <w:b w:val="false"/>
          <w:color w:val="000000"/>
          <w:sz w:val="20"/>
        </w:rPr>
        <w:t>for a period of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About ExlService Holdings, Inc.</w:t>
      </w:r>
    </w:p>
    <w:p>
      <w:pPr>
        <w:pStyle w:val="TextBody"/>
        <w:bidi w:val="0"/>
        <w:spacing w:lineRule="auto" w:line="417" w:before="120" w:after="283"/>
        <w:jc w:val="both"/>
        <w:rPr/>
      </w:pPr>
      <w:r>
        <w:rPr>
          <w:rFonts w:ascii="Times New Roman;serif" w:hAnsi="Times New Roman;serif"/>
          <w:b w:val="false"/>
          <w:color w:val="000000"/>
          <w:sz w:val="20"/>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and life sciences, banking and capital markets, retail, communications and media, and energy and infrastructure, among others. EXL was founded in 1999 with the core values of innovation, collaboration, excellence, integrity and respect. We are headquartered in New York and have over 68,000 employees spanning six continents. For more information, visit </w:t>
      </w:r>
      <w:r>
        <w:rPr>
          <w:rFonts w:ascii="Times New Roman;serif" w:hAnsi="Times New Roman;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erif" w:hAnsi="Times New Roman;serif"/>
          <w:b/>
          <w:color w:val="000000"/>
          <w:sz w:val="20"/>
        </w:rPr>
        <w:t>Cautionary Statement Regarding Forward-Looking Statements</w:t>
      </w:r>
      <w:r>
        <w:rPr>
          <w:color w:val="000000"/>
        </w:rPr>
        <w:t xml:space="preserve"> </w:t>
      </w:r>
      <w:r>
        <w:rPr>
          <w:rFonts w:ascii="Times New Roman;serif" w:hAnsi="Times New Roman;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the satisfaction or waiver of applicable closing conditions to the consummation of the iMerit acquisition and the expected timing thereof, our ability to successfully integrate announced or future strategic acquisitions or achieve anticipated synergies, our ability to maintain and grow client demand, risks related to the use of AI technology, impact on client demands by our selling cycles, our ability to hire and retain sufficiently trained employees, and our ability to accurately estimate and/or manage costs, and risks related to the international nature of our business and other factors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672"/>
        <w:gridCol w:w="1413"/>
        <w:gridCol w:w="1421"/>
        <w:gridCol w:w="221"/>
        <w:gridCol w:w="830"/>
        <w:gridCol w:w="109"/>
        <w:gridCol w:w="109"/>
        <w:gridCol w:w="109"/>
        <w:gridCol w:w="109"/>
        <w:gridCol w:w="221"/>
        <w:gridCol w:w="830"/>
        <w:gridCol w:w="109"/>
        <w:gridCol w:w="109"/>
        <w:gridCol w:w="109"/>
        <w:gridCol w:w="109"/>
        <w:gridCol w:w="196"/>
        <w:gridCol w:w="871"/>
        <w:gridCol w:w="109"/>
        <w:gridCol w:w="109"/>
        <w:gridCol w:w="109"/>
        <w:gridCol w:w="109"/>
        <w:gridCol w:w="196"/>
        <w:gridCol w:w="871"/>
        <w:gridCol w:w="155"/>
      </w:tblGrid>
      <w:tr>
        <w:trPr/>
        <w:tc>
          <w:tcPr>
            <w:tcW w:w="167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net</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1,015,479 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revenues</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Gross profit</w:t>
            </w:r>
            <w:r>
              <w:rPr>
                <w:rFonts w:ascii="Times New Roman;serif" w:hAnsi="Times New Roman;serif"/>
                <w:b/>
                <w:color w:val="000000"/>
                <w:sz w:val="12"/>
              </w:rPr>
              <w:t>(1)</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194,188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448,044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387,502</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 expenses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227,949 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81,138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179,121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159,553</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gain,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 expense and earnings from equity affiliates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83,966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84,738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175,367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164,904</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earnings from equity affiliates</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66,192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132,862</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equity-method investment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131,592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132,612</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used in computing earnings per share:</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152,554,401 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154,292,120 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162,709,034 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152,831,994 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164,193,258 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154,858,444 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164,376,498 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270"/>
        <w:jc w:val="left"/>
        <w:rPr/>
      </w:pPr>
      <w:r>
        <w:rPr/>
      </w:r>
    </w:p>
    <w:p>
      <w:pPr>
        <w:pStyle w:val="TextBody"/>
        <w:bidi w:val="0"/>
        <w:spacing w:lineRule="auto" w:line="288" w:before="20" w:after="120"/>
        <w:ind w:left="0" w:right="0" w:firstLine="270"/>
        <w:jc w:val="left"/>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705"/>
        <w:gridCol w:w="2128"/>
        <w:gridCol w:w="2162"/>
        <w:gridCol w:w="109"/>
        <w:gridCol w:w="109"/>
        <w:gridCol w:w="109"/>
        <w:gridCol w:w="196"/>
        <w:gridCol w:w="886"/>
        <w:gridCol w:w="109"/>
        <w:gridCol w:w="109"/>
        <w:gridCol w:w="109"/>
        <w:gridCol w:w="109"/>
        <w:gridCol w:w="216"/>
        <w:gridCol w:w="976"/>
        <w:gridCol w:w="173"/>
      </w:tblGrid>
      <w:tr>
        <w:trPr/>
        <w:tc>
          <w:tcPr>
            <w:tcW w:w="2705"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146,093 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875,282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829,957</w:t>
            </w: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1,747,887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1,702,235</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146,775 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703,646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324,125</w:t>
            </w:r>
            <w:r>
              <w:rPr>
                <w:color w:val="000000"/>
              </w:rPr>
              <w:t>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881,645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789,530</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15,000,000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400,000,000 shares authorized, 210,101,885 shares issued and 151,745,072 shares outstanding as of June 30, 2026 and 208,855,566 shares issued and 156,430,028 shares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1,532,979 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(180,727)</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including shares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2,165,531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2,030,023</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58,356,813 shares as of June 30, 2026 and 52,425,538 shares as of December 31, 2025, held in treasury,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(1,117,318)</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866,242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912,705</w:t>
            </w: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1,747,887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1,702,235</w:t>
            </w:r>
            <w:r>
              <w:rPr>
                <w:color w:val="000000"/>
              </w:rPr>
              <w:t>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4"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44" w:after="283"/>
        <w:jc w:val="center"/>
        <w:rPr>
          <w:rFonts w:ascii="Times New Roman;serif" w:hAnsi="Times New Roman;serif"/>
          <w:b/>
          <w:color w:val="000000"/>
          <w:sz w:val="20"/>
        </w:rPr>
      </w:pPr>
      <w:r>
        <w:rPr>
          <w:rFonts w:ascii="Times New Roman;serif" w:hAnsi="Times New Roman;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(iv)Revenue growth on a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 non-GAAP financial measures exclude, where applicable, stock-based compensation expense, amortization of acquisition-related intangible assets, amortization of prior service cost arising from implementation of new Labor Codes in India,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 provides information about revenues on a constant currency basis so that the revenues may be viewed without the impact of foreign currency exchange rate fluctuations compared to prior fiscal periods, thereby facilitating period-to-period comparisons of the Company's underlying business performance. Revenue growth on a constant currency basis is calculated by restating current-period activity using the prior fiscal period's foreign currency exchange rates adjusted for hedging gains/losses in such period. Foreign currency translation impacted revenue growth, primarily driven by movements in the U.S. dollar against the Indian rupee (INR), the U.K. pound sterling (GBP), and Australian dollar (AUD).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ind w:left="0" w:right="0" w:firstLine="45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these non-GAAP financial measures for the three months ended June 30, 2026 and June 30, 2025, and the three months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Operating Income and Adjusted EBITDA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22"/>
        <w:gridCol w:w="1769"/>
        <w:gridCol w:w="1777"/>
        <w:gridCol w:w="109"/>
        <w:gridCol w:w="109"/>
        <w:gridCol w:w="109"/>
        <w:gridCol w:w="196"/>
        <w:gridCol w:w="751"/>
        <w:gridCol w:w="256"/>
        <w:gridCol w:w="109"/>
        <w:gridCol w:w="109"/>
        <w:gridCol w:w="109"/>
        <w:gridCol w:w="196"/>
        <w:gridCol w:w="751"/>
        <w:gridCol w:w="256"/>
        <w:gridCol w:w="109"/>
        <w:gridCol w:w="109"/>
        <w:gridCol w:w="109"/>
        <w:gridCol w:w="196"/>
        <w:gridCol w:w="751"/>
        <w:gridCol w:w="303"/>
      </w:tblGrid>
      <w:tr>
        <w:trPr/>
        <w:tc>
          <w:tcPr>
            <w:tcW w:w="2022"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64,511</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66,051</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67,081</w:t>
            </w: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add/(subtract): Foreign exchange gain/(loss), net, interest expense, gain/(loss) </w:t>
              <w:br/>
              <w:t>from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87,295</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81,138</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91,826</w:t>
            </w: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Acquisition-related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5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117,078</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100,807</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117,153</w:t>
            </w:r>
            <w:r>
              <w:rPr>
                <w:color w:val="000000"/>
              </w:rPr>
              <w:t>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19.7 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19.6 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20.5 </w:t>
            </w:r>
          </w:p>
        </w:tc>
        <w:tc>
          <w:tcPr>
            <w:tcW w:w="3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Depreciation on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128,424</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111,585</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127,930</w:t>
            </w:r>
            <w:r>
              <w:rPr>
                <w:color w:val="000000"/>
              </w:rPr>
              <w:t>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21.6 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21.7 </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22.4 </w:t>
            </w:r>
          </w:p>
        </w:tc>
        <w:tc>
          <w:tcPr>
            <w:tcW w:w="3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before="0" w:after="0"/>
        <w:jc w:val="both"/>
        <w:rPr/>
      </w:pPr>
      <w:r>
        <w:rPr/>
      </w:r>
    </w:p>
    <w:p>
      <w:pPr>
        <w:pStyle w:val="TextBody"/>
        <w:bidi w:val="0"/>
        <w:spacing w:lineRule="auto" w:line="276" w:before="0" w:after="0"/>
        <w:ind w:left="0" w:right="0" w:hanging="270"/>
        <w:jc w:val="left"/>
        <w:rPr/>
      </w:pPr>
      <w:r>
        <w:rPr>
          <w:rFonts w:ascii="Times New Roman;serif" w:hAnsi="Times New Roman;serif"/>
          <w:b w:val="false"/>
          <w:color w:val="000000"/>
          <w:sz w:val="18"/>
        </w:rPr>
        <w:t>(a)</w:t>
      </w:r>
      <w:r>
        <w:rPr>
          <w:color w:val="000000"/>
        </w:rPr>
        <w:t xml:space="preserve"> </w:t>
      </w:r>
      <w:r>
        <w:rPr>
          <w:rFonts w:ascii="Times New Roman;serif" w:hAnsi="Times New Roman;serif"/>
          <w:b w:val="false"/>
          <w:color w:val="000000"/>
          <w:sz w:val="18"/>
        </w:rPr>
        <w:t>To exclude acquisition-related expenses incurred for the announced acquisition of I Merit Inc. (“iMerit”) during the three months ended June 30, 2026.</w:t>
      </w:r>
    </w:p>
    <w:p>
      <w:pPr>
        <w:pStyle w:val="TextBody"/>
        <w:bidi w:val="0"/>
        <w:spacing w:before="0" w:after="0"/>
        <w:ind w:left="0" w:right="0" w:hanging="27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w:t>
      </w:r>
    </w:p>
    <w:p>
      <w:pPr>
        <w:pStyle w:val="TextBody"/>
        <w:bidi w:val="0"/>
        <w:spacing w:before="0" w:after="0"/>
        <w:jc w:val="center"/>
        <w:rPr/>
      </w:pPr>
      <w:r>
        <w:rPr/>
      </w:r>
    </w:p>
    <w:tbl>
      <w:tblPr>
        <w:tblW w:w="8949" w:type="dxa"/>
        <w:jc w:val="center"/>
        <w:tblInd w:w="0" w:type="dxa"/>
        <w:tblLayout w:type="fixed"/>
        <w:tblCellMar>
          <w:top w:w="28" w:type="dxa"/>
          <w:left w:w="28" w:type="dxa"/>
          <w:bottom w:w="28" w:type="dxa"/>
          <w:right w:w="28" w:type="dxa"/>
        </w:tblCellMar>
      </w:tblPr>
      <w:tblGrid>
        <w:gridCol w:w="1817"/>
        <w:gridCol w:w="1600"/>
        <w:gridCol w:w="1608"/>
        <w:gridCol w:w="109"/>
        <w:gridCol w:w="109"/>
        <w:gridCol w:w="109"/>
        <w:gridCol w:w="196"/>
        <w:gridCol w:w="661"/>
        <w:gridCol w:w="109"/>
        <w:gridCol w:w="109"/>
        <w:gridCol w:w="109"/>
        <w:gridCol w:w="109"/>
        <w:gridCol w:w="196"/>
        <w:gridCol w:w="661"/>
        <w:gridCol w:w="109"/>
        <w:gridCol w:w="109"/>
        <w:gridCol w:w="109"/>
        <w:gridCol w:w="109"/>
        <w:gridCol w:w="196"/>
        <w:gridCol w:w="661"/>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64,511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67,081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Changes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Acquisition-related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prior service cost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Acquisition-related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Tax impact on stock-based compensation expense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Tax impact on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subtract: Tax impact on 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90,798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90,668</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0.49</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0.58</w:t>
            </w: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To exclude acquisition-related expenses incurred for the announced acquisition of iMerit during the three months ended June 30, 2026.</w:t>
      </w:r>
    </w:p>
    <w:p>
      <w:pPr>
        <w:pStyle w:val="TextBody"/>
        <w:bidi w:val="0"/>
        <w:spacing w:lineRule="auto" w:line="288" w:before="12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(b) To exclude amortization of prior service cost arising from the implementation of the new Labor Codes in India.</w:t>
      </w:r>
    </w:p>
    <w:p>
      <w:pPr>
        <w:pStyle w:val="TextBody"/>
        <w:bidi w:val="0"/>
        <w:spacing w:lineRule="auto" w:line="288" w:before="12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(c) Tax impact includes ($17) and $203 during the three months ended June 30, 2026 and 2025 respectively, and $1,280 during the three months ended March 31, 2026, related to discrete benefits recognized in income tax expense in accordance with ASU No. 2016-09, Compensation - Stock Compensation.</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Andrew Thut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+1 617 413 0069</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 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Little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Assistant Vice President, Media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+1 703 598 0980</w:t>
      </w:r>
    </w:p>
    <w:p>
      <w:pPr>
        <w:pStyle w:val="TextBody"/>
        <w:bidi w:val="0"/>
        <w:spacing w:lineRule="auto" w:line="288"/>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media.relations@exlservice.com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3615</Words>
  <Characters>21080</Characters>
  <CharactersWithSpaces>24378</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