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4)</w:t>
      </w:r>
      <w:r>
        <w:rPr>
          <w:rFonts w:ascii="Arial" w:cs="Arial" w:eastAsia="Arial" w:hAnsi="Arial"/>
          <w:sz w:val="18"/>
          <w:szCs w:val="18"/>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u w:val="single" w:color="auto"/>
          <w:color w:val="auto"/>
        </w:rPr>
        <w:t>Exlservice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Common Stock, $0.001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302081104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December 31,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302081104</w:t>
      </w:r>
    </w:p>
    <w:p>
      <w:pPr>
        <w:spacing w:after="0" w:line="14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694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69404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I.R.S. Identification Nos. of Above Persons (Entities Only)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960" w:type="dxa"/>
            <w:vAlign w:val="bottom"/>
            <w:gridSpan w:val="4"/>
          </w:tcPr>
          <w:p>
            <w:pPr>
              <w:ind w:left="80"/>
              <w:spacing w:after="0"/>
              <w:rPr>
                <w:sz w:val="20"/>
                <w:szCs w:val="20"/>
                <w:color w:val="auto"/>
              </w:rPr>
            </w:pPr>
            <w:r>
              <w:rPr>
                <w:rFonts w:ascii="Arial" w:cs="Arial" w:eastAsia="Arial" w:hAnsi="Arial"/>
                <w:sz w:val="22"/>
                <w:szCs w:val="22"/>
                <w:color w:val="auto"/>
              </w:rPr>
              <w:t>TimesSquare Capital Management, LLC</w:t>
            </w:r>
          </w:p>
        </w:tc>
        <w:tc>
          <w:tcPr>
            <w:tcW w:w="0" w:type="dxa"/>
            <w:vAlign w:val="bottom"/>
          </w:tcPr>
          <w:p>
            <w:pPr>
              <w:spacing w:after="0"/>
              <w:rPr>
                <w:sz w:val="1"/>
                <w:szCs w:val="1"/>
                <w:color w:val="auto"/>
              </w:rPr>
            </w:pPr>
          </w:p>
        </w:tc>
      </w:tr>
      <w:tr>
        <w:trPr>
          <w:trHeight w:val="276"/>
        </w:trPr>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22"/>
                <w:szCs w:val="22"/>
                <w:color w:val="auto"/>
                <w:w w:val="88"/>
              </w:rPr>
              <w:t>20-1665304</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96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(b)</w:t>
            </w:r>
          </w:p>
        </w:tc>
        <w:tc>
          <w:tcPr>
            <w:tcW w:w="98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color w:val="auto"/>
                <w:w w:val="89"/>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9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1,779,831</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84"/>
              </w:rPr>
              <w:t>Shares</w:t>
            </w:r>
          </w:p>
        </w:tc>
        <w:tc>
          <w:tcPr>
            <w:tcW w:w="3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Owned By</w:t>
            </w: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2"/>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8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3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20" w:type="dxa"/>
            <w:vAlign w:val="bottom"/>
          </w:tcPr>
          <w:p>
            <w:pPr>
              <w:spacing w:after="0" w:line="244" w:lineRule="exact"/>
              <w:rPr>
                <w:sz w:val="20"/>
                <w:szCs w:val="20"/>
                <w:color w:val="auto"/>
              </w:rPr>
            </w:pPr>
            <w:r>
              <w:rPr>
                <w:rFonts w:ascii="Arial" w:cs="Arial" w:eastAsia="Arial" w:hAnsi="Arial"/>
                <w:sz w:val="22"/>
                <w:szCs w:val="22"/>
                <w:color w:val="auto"/>
              </w:rPr>
              <w:t>1,816,231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4"/>
              </w:rPr>
              <w:t>With</w:t>
            </w:r>
          </w:p>
        </w:tc>
        <w:tc>
          <w:tcPr>
            <w:tcW w:w="3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3"/>
              </w:rPr>
              <w:t>1,816,231</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ind w:left="5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Item 1(b)</w:t>
      </w:r>
    </w:p>
    <w:p>
      <w:pPr>
        <w:sectPr>
          <w:pgSz w:w="11900" w:h="16838" w:orient="portrait"/>
          <w:cols w:equalWidth="0" w:num="1">
            <w:col w:w="10800"/>
          </w:cols>
          <w:pgMar w:left="240" w:top="270" w:right="85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280 Park Avenue, 38</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3980" w:space="720"/>
            <w:col w:w="6100"/>
          </w:cols>
          <w:pgMar w:left="240" w:top="270" w:right="859" w:bottom="1440" w:gutter="0" w:footer="0" w:header="0"/>
          <w:type w:val="continuous"/>
        </w:sectPr>
      </w:pPr>
    </w:p>
    <w:p>
      <w:pPr>
        <w:spacing w:after="0" w:line="115"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Item 2(a)</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Name of Persons Filing: TimesSquare Capital Management, LLC (“TimesSquare”)</w:t>
      </w:r>
    </w:p>
    <w:p>
      <w:pPr>
        <w:spacing w:after="0" w:line="352"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Item 2(b)</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ectPr>
          <w:pgSz w:w="11900" w:h="16838" w:orient="portrait"/>
          <w:cols w:equalWidth="0" w:num="1">
            <w:col w:w="10800"/>
          </w:cols>
          <w:pgMar w:left="240" w:top="270" w:right="8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TimesSquare: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7 Times Square, 42nd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ectPr>
          <w:pgSz w:w="11900" w:h="16838" w:orient="portrait"/>
          <w:cols w:equalWidth="0" w:num="2">
            <w:col w:w="1000" w:space="500"/>
            <w:col w:w="9300"/>
          </w:cols>
          <w:pgMar w:left="240" w:top="270" w:right="859" w:bottom="1440" w:gutter="0" w:footer="0" w:header="0"/>
          <w:type w:val="continuous"/>
        </w:sectPr>
      </w:pPr>
    </w:p>
    <w:p>
      <w:pPr>
        <w:spacing w:after="0" w:line="11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Citizenship: TimesSquare is a Delaware limited liability company.</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 Common Stock, $0.001 par value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Item 2(e)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statement is filed by TimesSquare pursuant to §§240.l3d-l(b), or 240.13d-2(b) or (c), on the basis that TimesSquare is an investment adviser in accordance with §240.13d-1(b)(1)(ii)(E).</w:t>
      </w:r>
    </w:p>
    <w:p>
      <w:pPr>
        <w:spacing w:after="0" w:line="27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Item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The following ownership information is as of December 31, 2015.</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1,816,231</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5.5%</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Percent of class is based on 33,083,617 shares of Common Stock outstanding as of December 31, 2015 as reported to us by FT Interactive Data Corporation.</w:t>
      </w:r>
    </w:p>
    <w:p>
      <w:pPr>
        <w:sectPr>
          <w:pgSz w:w="11900" w:h="16838" w:orient="portrait"/>
          <w:cols w:equalWidth="0" w:num="1">
            <w:col w:w="10800"/>
          </w:cols>
          <w:pgMar w:left="240" w:top="270" w:right="859" w:bottom="1440" w:gutter="0" w:footer="0" w:header="0"/>
          <w:type w:val="continuous"/>
        </w:sectPr>
      </w:pPr>
    </w:p>
    <w:bookmarkStart w:id="3" w:name="page4"/>
    <w:bookmarkEnd w:id="3"/>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1,779,831*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1,816,231*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31" w:lineRule="exact"/>
        <w:rPr>
          <w:sz w:val="20"/>
          <w:szCs w:val="20"/>
          <w:color w:val="auto"/>
        </w:rPr>
      </w:pPr>
    </w:p>
    <w:p>
      <w:pPr>
        <w:ind w:left="900" w:right="6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shares reported on in this statement are owned by investment advisory clients of TimesSquare. In its role as investment adviser, TimesSquare has voting and dispositive power with respect to these shares.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Five Percent or Less of a Class.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and Classification of the Subsidiary Which Acquired the Security Being Reported on By the Parent Holding Company or Control Person.</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and Classification of Members of the Group.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 of Dissolution of Group.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J. Aaron</w:t>
            </w:r>
          </w:p>
        </w:tc>
      </w:tr>
      <w:tr>
        <w:trPr>
          <w:trHeight w:val="195"/>
        </w:trPr>
        <w:tc>
          <w:tcPr>
            <w:tcW w:w="1060" w:type="dxa"/>
            <w:vAlign w:val="bottom"/>
          </w:tcPr>
          <w:p>
            <w:pPr>
              <w:spacing w:after="0" w:line="195" w:lineRule="exact"/>
              <w:rPr>
                <w:sz w:val="20"/>
                <w:szCs w:val="20"/>
                <w:color w:val="auto"/>
              </w:rPr>
            </w:pPr>
            <w:r>
              <w:rPr>
                <w:rFonts w:ascii="Arial" w:cs="Arial" w:eastAsia="Arial" w:hAnsi="Arial"/>
                <w:sz w:val="18"/>
                <w:szCs w:val="18"/>
                <w:color w:val="auto"/>
              </w:rPr>
              <w:t>Name/Title:</w:t>
            </w:r>
          </w:p>
        </w:tc>
        <w:tc>
          <w:tcPr>
            <w:tcW w:w="3520" w:type="dxa"/>
            <w:vAlign w:val="bottom"/>
          </w:tcPr>
          <w:p>
            <w:pPr>
              <w:ind w:left="100"/>
              <w:spacing w:after="0" w:line="195" w:lineRule="exact"/>
              <w:rPr>
                <w:sz w:val="20"/>
                <w:szCs w:val="20"/>
                <w:color w:val="auto"/>
              </w:rPr>
            </w:pPr>
            <w:r>
              <w:rPr>
                <w:rFonts w:ascii="Arial" w:cs="Arial" w:eastAsia="Arial" w:hAnsi="Arial"/>
                <w:sz w:val="18"/>
                <w:szCs w:val="18"/>
                <w:color w:val="auto"/>
              </w:rPr>
              <w:t>Mark J. Aaron</w:t>
            </w:r>
          </w:p>
        </w:tc>
      </w:tr>
      <w:tr>
        <w:trPr>
          <w:trHeight w:val="216"/>
        </w:trPr>
        <w:tc>
          <w:tcPr>
            <w:tcW w:w="106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Chief Operating Officer and Chief Compliance</w:t>
            </w:r>
          </w:p>
        </w:tc>
      </w:tr>
      <w:tr>
        <w:trPr>
          <w:trHeight w:val="230"/>
        </w:trPr>
        <w:tc>
          <w:tcPr>
            <w:tcW w:w="106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2019-12-08T02:20:15Z</dcterms:created>
  <dcterms:modified xsi:type="dcterms:W3CDTF">2019-12-08T02:20:15Z</dcterms:modified>
</cp:coreProperties>
</file>