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2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27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2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Villa Rembert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7" w:lineRule="exact"/>
        <w:rPr>
          <w:sz w:val="24"/>
          <w:szCs w:val="24"/>
          <w:color w:val="auto"/>
        </w:rPr>
      </w:pPr>
    </w:p>
    <w:p>
      <w:pPr>
        <w:sectPr>
          <w:pgSz w:w="11900" w:h="16838" w:orient="portrait"/>
          <w:cols w:equalWidth="0" w:num="3">
            <w:col w:w="3360" w:space="720"/>
            <w:col w:w="3254" w:space="720"/>
            <w:col w:w="3466"/>
          </w:cols>
          <w:pgMar w:left="240" w:top="225" w:right="139" w:bottom="20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20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80" w:type="dxa"/>
            <w:vAlign w:val="bottom"/>
          </w:tcPr>
          <w:p>
            <w:pPr>
              <w:jc w:val="center"/>
              <w:ind w:left="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18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1"/>
              </w:rPr>
              <w:t>09/22/2017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6,370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23.82</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17,067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18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1"/>
              </w:rPr>
              <w:t>09/22/2017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42,067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18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1"/>
              </w:rPr>
              <w:t>09/22/2017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18,658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57.1</w:t>
            </w:r>
            <w:r>
              <w:rPr>
                <w:rFonts w:ascii="Arial" w:cs="Arial" w:eastAsia="Arial" w:hAnsi="Arial"/>
                <w:sz w:val="22"/>
                <w:szCs w:val="22"/>
                <w:color w:val="008000"/>
                <w:w w:val="89"/>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23,409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18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1"/>
              </w:rPr>
              <w:t>09/22/2017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12,712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57.38</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10,697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6,370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ind w:righ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23.82</w:t>
            </w:r>
          </w:p>
        </w:tc>
        <w:tc>
          <w:tcPr>
            <w:tcW w:w="114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09/22/2017</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jc w:val="right"/>
              <w:ind w:right="39"/>
              <w:spacing w:after="0" w:line="148" w:lineRule="exact"/>
              <w:rPr>
                <w:sz w:val="20"/>
                <w:szCs w:val="20"/>
                <w:color w:val="auto"/>
              </w:rPr>
            </w:pPr>
            <w:r>
              <w:rPr>
                <w:rFonts w:ascii="Arial" w:cs="Arial" w:eastAsia="Arial" w:hAnsi="Arial"/>
                <w:sz w:val="13"/>
                <w:szCs w:val="13"/>
                <w:color w:val="0000FF"/>
              </w:rPr>
              <w:t>6,370</w:t>
            </w: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04/24/2018</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line="148" w:lineRule="exact"/>
              <w:rPr>
                <w:sz w:val="20"/>
                <w:szCs w:val="20"/>
                <w:color w:val="auto"/>
              </w:rPr>
            </w:pPr>
            <w:r>
              <w:rPr>
                <w:rFonts w:ascii="Arial" w:cs="Arial" w:eastAsia="Arial" w:hAnsi="Arial"/>
                <w:sz w:val="13"/>
                <w:szCs w:val="13"/>
                <w:color w:val="0000FF"/>
              </w:rPr>
              <w:t>33,630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25,000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ind w:righ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4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09/22/2017</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0000FF"/>
              </w:rPr>
              <w:t>25,000</w:t>
            </w: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378"/>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22, 2017 the reporting person exercised previously issued options to purchase an aggregate of 31,370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$56.30 to $57.29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$57.30 to $57.50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24, 2008, the reporting person was granted 40,000 stock options. 10 percent of these options became vested and exercisable on April 24, 2009, an additional 20 percent became vested and exercisable on April 24, 2010, an additional 30 percent became vested and exercisable on April 24, 2011, and the balance of 40 percent became vested and exercisable on April 24, 2012.</w:t>
      </w:r>
    </w:p>
    <w:p>
      <w:pPr>
        <w:spacing w:after="0" w:line="9" w:lineRule="exact"/>
        <w:rPr>
          <w:rFonts w:ascii="Arial" w:cs="Arial" w:eastAsia="Arial" w:hAnsi="Arial"/>
          <w:sz w:val="13"/>
          <w:szCs w:val="13"/>
          <w:color w:val="008000"/>
        </w:rPr>
      </w:pPr>
    </w:p>
    <w:p>
      <w:pPr>
        <w:ind w:left="40" w:right="40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25,000 stock options. 10 percent of these options became vested and exercisable on February 10, 2010, an additional 20 percent became vested and exercisable on February 10, 2011, an additional 30 percent became vested and exercisable on February 10, 2012, and the balance of 40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2019-12-04T00:59:48Z</dcterms:created>
  <dcterms:modified xsi:type="dcterms:W3CDTF">2019-12-04T00:59:48Z</dcterms:modified>
</cp:coreProperties>
</file>