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302081104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2160" w:hanging="207"/>
        <w:spacing w:after="0"/>
        <w:tabs>
          <w:tab w:leader="none" w:pos="21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2160" w:hanging="207"/>
        <w:spacing w:after="0"/>
        <w:tabs>
          <w:tab w:leader="none" w:pos="21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ind w:left="660" w:right="220" w:hanging="648"/>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29"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Rohit Kapoor</w:t>
      </w:r>
    </w:p>
    <w:p>
      <w:pPr>
        <w:spacing w:after="0" w:line="239" w:lineRule="exact"/>
        <w:rPr>
          <w:sz w:val="20"/>
          <w:szCs w:val="20"/>
          <w:color w:val="auto"/>
        </w:rPr>
      </w:pPr>
    </w:p>
    <w:p>
      <w:pPr>
        <w:ind w:left="920" w:hanging="815"/>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right"/>
        <w:ind w:right="100"/>
        <w:spacing w:after="0" w:line="205"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spacing w:after="0" w:line="9" w:lineRule="exact"/>
        <w:rPr>
          <w:sz w:val="20"/>
          <w:szCs w:val="20"/>
          <w:color w:val="auto"/>
        </w:rPr>
      </w:pPr>
    </w:p>
    <w:p>
      <w:pPr>
        <w:jc w:val="right"/>
        <w:ind w:righ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 w:lineRule="exact"/>
        <w:rPr>
          <w:sz w:val="20"/>
          <w:szCs w:val="20"/>
          <w:color w:val="auto"/>
        </w:rPr>
      </w:pPr>
    </w:p>
    <w:p>
      <w:pPr>
        <w:ind w:left="920" w:hanging="81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3" w:lineRule="exact"/>
        <w:rPr>
          <w:sz w:val="20"/>
          <w:szCs w:val="20"/>
          <w:color w:val="auto"/>
        </w:rPr>
      </w:pPr>
    </w:p>
    <w:p>
      <w:pPr>
        <w:ind w:left="920" w:right="6840" w:hanging="815"/>
        <w:spacing w:after="0" w:line="384" w:lineRule="auto"/>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ind w:left="3200" w:hanging="907"/>
        <w:spacing w:after="0"/>
        <w:tabs>
          <w:tab w:leader="none" w:pos="3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-551180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210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62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1,204,938</w:t>
            </w:r>
          </w:p>
        </w:tc>
        <w:tc>
          <w:tcPr>
            <w:tcW w:w="0" w:type="dxa"/>
            <w:vAlign w:val="bottom"/>
          </w:tcPr>
          <w:p>
            <w:pPr>
              <w:spacing w:after="0"/>
              <w:rPr>
                <w:sz w:val="1"/>
                <w:szCs w:val="1"/>
                <w:color w:val="auto"/>
              </w:rPr>
            </w:pPr>
          </w:p>
        </w:tc>
      </w:tr>
      <w:tr>
        <w:trPr>
          <w:trHeight w:val="195"/>
        </w:trPr>
        <w:tc>
          <w:tcPr>
            <w:tcW w:w="2100" w:type="dxa"/>
            <w:vAlign w:val="bottom"/>
            <w:vMerge w:val="continue"/>
          </w:tcPr>
          <w:p>
            <w:pPr>
              <w:spacing w:after="0"/>
              <w:rPr>
                <w:sz w:val="16"/>
                <w:szCs w:val="16"/>
                <w:color w:val="auto"/>
              </w:rPr>
            </w:pPr>
          </w:p>
        </w:tc>
        <w:tc>
          <w:tcPr>
            <w:tcW w:w="620" w:type="dxa"/>
            <w:vAlign w:val="bottom"/>
          </w:tcPr>
          <w:p>
            <w:pPr>
              <w:jc w:val="right"/>
              <w:ind w:right="310"/>
              <w:spacing w:after="0" w:line="195" w:lineRule="exact"/>
              <w:rPr>
                <w:sz w:val="20"/>
                <w:szCs w:val="20"/>
                <w:color w:val="auto"/>
              </w:rPr>
            </w:pPr>
            <w:r>
              <w:rPr>
                <w:rFonts w:ascii="Arial" w:cs="Arial" w:eastAsia="Arial" w:hAnsi="Arial"/>
                <w:sz w:val="18"/>
                <w:szCs w:val="18"/>
                <w:color w:val="auto"/>
              </w:rPr>
              <w:t>6.</w:t>
            </w:r>
          </w:p>
        </w:tc>
        <w:tc>
          <w:tcPr>
            <w:tcW w:w="8600" w:type="dxa"/>
            <w:vAlign w:val="bottom"/>
          </w:tcPr>
          <w:p>
            <w:pPr>
              <w:ind w:left="380"/>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99"/>
              </w:rPr>
              <w:t>BENEFICIALLY OWNED</w:t>
            </w: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99"/>
              </w:rPr>
              <w:t>BY</w:t>
            </w:r>
          </w:p>
        </w:tc>
        <w:tc>
          <w:tcPr>
            <w:tcW w:w="620" w:type="dxa"/>
            <w:vAlign w:val="bottom"/>
            <w:tcBorders>
              <w:bottom w:val="single" w:sz="8" w:color="auto"/>
            </w:tcBorders>
          </w:tcPr>
          <w:p>
            <w:pPr>
              <w:spacing w:after="0"/>
              <w:rPr>
                <w:sz w:val="20"/>
                <w:szCs w:val="20"/>
                <w:color w:val="auto"/>
              </w:rPr>
            </w:pPr>
          </w:p>
        </w:tc>
        <w:tc>
          <w:tcPr>
            <w:tcW w:w="860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501,185</w:t>
            </w:r>
          </w:p>
        </w:tc>
        <w:tc>
          <w:tcPr>
            <w:tcW w:w="0" w:type="dxa"/>
            <w:vAlign w:val="bottom"/>
          </w:tcPr>
          <w:p>
            <w:pPr>
              <w:spacing w:after="0"/>
              <w:rPr>
                <w:sz w:val="1"/>
                <w:szCs w:val="1"/>
                <w:color w:val="auto"/>
              </w:rPr>
            </w:pPr>
          </w:p>
        </w:tc>
      </w:tr>
      <w:tr>
        <w:trPr>
          <w:trHeight w:val="182"/>
        </w:trPr>
        <w:tc>
          <w:tcPr>
            <w:tcW w:w="2100" w:type="dxa"/>
            <w:vAlign w:val="bottom"/>
          </w:tcPr>
          <w:p>
            <w:pPr>
              <w:jc w:val="center"/>
              <w:ind w:right="10"/>
              <w:spacing w:after="0" w:line="182" w:lineRule="exact"/>
              <w:rPr>
                <w:sz w:val="20"/>
                <w:szCs w:val="20"/>
                <w:color w:val="auto"/>
              </w:rPr>
            </w:pPr>
            <w:r>
              <w:rPr>
                <w:rFonts w:ascii="Arial" w:cs="Arial" w:eastAsia="Arial" w:hAnsi="Arial"/>
                <w:sz w:val="18"/>
                <w:szCs w:val="18"/>
                <w:color w:val="auto"/>
                <w:w w:val="93"/>
              </w:rPr>
              <w:t>EACH REPORTING</w:t>
            </w:r>
          </w:p>
        </w:tc>
        <w:tc>
          <w:tcPr>
            <w:tcW w:w="62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7.</w:t>
            </w:r>
          </w:p>
        </w:tc>
        <w:tc>
          <w:tcPr>
            <w:tcW w:w="8600" w:type="dxa"/>
            <w:vAlign w:val="bottom"/>
          </w:tcPr>
          <w:p>
            <w:pPr>
              <w:ind w:left="3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2100" w:type="dxa"/>
            <w:vAlign w:val="bottom"/>
          </w:tcPr>
          <w:p>
            <w:pPr>
              <w:jc w:val="center"/>
              <w:ind w:right="10"/>
              <w:spacing w:after="0"/>
              <w:rPr>
                <w:sz w:val="20"/>
                <w:szCs w:val="20"/>
                <w:color w:val="auto"/>
              </w:rPr>
            </w:pPr>
            <w:r>
              <w:rPr>
                <w:rFonts w:ascii="Arial" w:cs="Arial" w:eastAsia="Arial" w:hAnsi="Arial"/>
                <w:sz w:val="18"/>
                <w:szCs w:val="18"/>
                <w:color w:val="auto"/>
                <w:w w:val="89"/>
              </w:rPr>
              <w:t>PERSON</w:t>
            </w:r>
          </w:p>
        </w:tc>
        <w:tc>
          <w:tcPr>
            <w:tcW w:w="6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100" w:type="dxa"/>
            <w:vAlign w:val="bottom"/>
          </w:tcPr>
          <w:p>
            <w:pPr>
              <w:jc w:val="center"/>
              <w:ind w:right="10"/>
              <w:spacing w:after="0"/>
              <w:rPr>
                <w:sz w:val="20"/>
                <w:szCs w:val="20"/>
                <w:color w:val="auto"/>
              </w:rPr>
            </w:pPr>
            <w:r>
              <w:rPr>
                <w:rFonts w:ascii="Arial" w:cs="Arial" w:eastAsia="Arial" w:hAnsi="Arial"/>
                <w:sz w:val="18"/>
                <w:szCs w:val="18"/>
                <w:color w:val="auto"/>
              </w:rPr>
              <w:t>WITH</w:t>
            </w:r>
          </w:p>
        </w:tc>
        <w:tc>
          <w:tcPr>
            <w:tcW w:w="620" w:type="dxa"/>
            <w:vAlign w:val="bottom"/>
          </w:tcPr>
          <w:p>
            <w:pPr>
              <w:spacing w:after="0"/>
              <w:rPr>
                <w:sz w:val="21"/>
                <w:szCs w:val="21"/>
                <w:color w:val="auto"/>
              </w:rPr>
            </w:pPr>
          </w:p>
        </w:tc>
        <w:tc>
          <w:tcPr>
            <w:tcW w:w="8600" w:type="dxa"/>
            <w:vAlign w:val="bottom"/>
          </w:tcPr>
          <w:p>
            <w:pPr>
              <w:ind w:left="380"/>
              <w:spacing w:after="0"/>
              <w:rPr>
                <w:sz w:val="20"/>
                <w:szCs w:val="20"/>
                <w:color w:val="auto"/>
              </w:rPr>
            </w:pPr>
            <w:r>
              <w:rPr>
                <w:rFonts w:ascii="Arial" w:cs="Arial" w:eastAsia="Arial" w:hAnsi="Arial"/>
                <w:sz w:val="18"/>
                <w:szCs w:val="18"/>
                <w:color w:val="auto"/>
              </w:rPr>
              <w:t>1,204,938</w:t>
            </w:r>
          </w:p>
        </w:tc>
        <w:tc>
          <w:tcPr>
            <w:tcW w:w="0" w:type="dxa"/>
            <w:vAlign w:val="bottom"/>
          </w:tcPr>
          <w:p>
            <w:pPr>
              <w:spacing w:after="0"/>
              <w:rPr>
                <w:sz w:val="1"/>
                <w:szCs w:val="1"/>
                <w:color w:val="auto"/>
              </w:rPr>
            </w:pPr>
          </w:p>
        </w:tc>
      </w:tr>
    </w:tbl>
    <w:p>
      <w:pPr>
        <w:ind w:left="3200" w:right="5700" w:hanging="907"/>
        <w:spacing w:after="0" w:line="383" w:lineRule="auto"/>
        <w:tabs>
          <w:tab w:leader="none" w:pos="3200"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 501,185</w:t>
      </w:r>
    </w:p>
    <w:p>
      <w:pPr>
        <w:spacing w:after="0" w:line="1" w:lineRule="exact"/>
        <w:rPr>
          <w:rFonts w:ascii="Arial" w:cs="Arial" w:eastAsia="Arial" w:hAnsi="Arial"/>
          <w:sz w:val="18"/>
          <w:szCs w:val="18"/>
          <w:color w:val="auto"/>
        </w:rPr>
      </w:pPr>
    </w:p>
    <w:p>
      <w:pPr>
        <w:ind w:left="920" w:right="3940" w:hanging="815"/>
        <w:spacing w:after="0" w:line="383"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1,706,123</w:t>
      </w:r>
    </w:p>
    <w:p>
      <w:pPr>
        <w:spacing w:after="0" w:line="1" w:lineRule="exact"/>
        <w:rPr>
          <w:rFonts w:ascii="Arial" w:cs="Arial" w:eastAsia="Arial" w:hAnsi="Arial"/>
          <w:sz w:val="18"/>
          <w:szCs w:val="18"/>
          <w:color w:val="auto"/>
        </w:rPr>
      </w:pPr>
    </w:p>
    <w:p>
      <w:pPr>
        <w:ind w:left="920" w:hanging="815"/>
        <w:spacing w:after="0" w:line="207" w:lineRule="exact"/>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920" w:right="5440" w:hanging="815"/>
        <w:spacing w:after="0" w:line="50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 4.8%</w:t>
      </w:r>
    </w:p>
    <w:p>
      <w:pPr>
        <w:spacing w:after="0" w:line="1" w:lineRule="exact"/>
        <w:rPr>
          <w:rFonts w:ascii="Arial" w:cs="Arial" w:eastAsia="Arial" w:hAnsi="Arial"/>
          <w:sz w:val="18"/>
          <w:szCs w:val="18"/>
          <w:color w:val="auto"/>
        </w:rPr>
      </w:pPr>
    </w:p>
    <w:p>
      <w:pPr>
        <w:ind w:left="920" w:right="8000" w:hanging="815"/>
        <w:spacing w:after="0" w:line="528" w:lineRule="auto"/>
        <w:tabs>
          <w:tab w:leader="none" w:pos="9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-1134745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-1554480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-2395220</wp:posOffset>
            </wp:positionV>
            <wp:extent cx="5857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1(a).</w:t>
      </w:r>
      <w:r>
        <w:rPr>
          <w:sz w:val="20"/>
          <w:szCs w:val="20"/>
          <w:color w:val="auto"/>
        </w:rPr>
        <w:tab/>
      </w:r>
      <w:r>
        <w:rPr>
          <w:rFonts w:ascii="Arial" w:cs="Arial" w:eastAsia="Arial" w:hAnsi="Arial"/>
          <w:sz w:val="16"/>
          <w:szCs w:val="16"/>
          <w:color w:val="auto"/>
        </w:rPr>
        <w:t>Name of Issuer: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ExlService Holdings, Inc.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1(b).</w:t>
      </w:r>
      <w:r>
        <w:rPr>
          <w:sz w:val="20"/>
          <w:szCs w:val="20"/>
          <w:color w:val="auto"/>
        </w:rPr>
        <w:tab/>
      </w:r>
      <w:r>
        <w:rPr>
          <w:rFonts w:ascii="Arial" w:cs="Arial" w:eastAsia="Arial" w:hAnsi="Arial"/>
          <w:sz w:val="16"/>
          <w:szCs w:val="16"/>
          <w:color w:val="auto"/>
        </w:rPr>
        <w:t>Address of Issuer’s Principal Executive Offices: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2(a).</w:t>
      </w:r>
      <w:r>
        <w:rPr>
          <w:sz w:val="20"/>
          <w:szCs w:val="20"/>
          <w:color w:val="auto"/>
        </w:rPr>
        <w:tab/>
      </w:r>
      <w:r>
        <w:rPr>
          <w:rFonts w:ascii="Arial" w:cs="Arial" w:eastAsia="Arial" w:hAnsi="Arial"/>
          <w:sz w:val="16"/>
          <w:szCs w:val="16"/>
          <w:color w:val="auto"/>
        </w:rPr>
        <w:t>Name of Person Filing:</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Rohit Kapoor (“Mr. Kapoor”)</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2(b).</w:t>
      </w:r>
      <w:r>
        <w:rPr>
          <w:sz w:val="20"/>
          <w:szCs w:val="20"/>
          <w:color w:val="auto"/>
        </w:rPr>
        <w:tab/>
      </w:r>
      <w:r>
        <w:rPr>
          <w:rFonts w:ascii="Arial" w:cs="Arial" w:eastAsia="Arial" w:hAnsi="Arial"/>
          <w:sz w:val="16"/>
          <w:szCs w:val="16"/>
          <w:color w:val="auto"/>
        </w:rPr>
        <w:t>Address of Principal Business Office or, if none, Residence of the Reporting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ExlService Holdings,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2(c).</w:t>
      </w:r>
      <w:r>
        <w:rPr>
          <w:sz w:val="20"/>
          <w:szCs w:val="20"/>
          <w:color w:val="auto"/>
        </w:rPr>
        <w:tab/>
      </w:r>
      <w:r>
        <w:rPr>
          <w:rFonts w:ascii="Arial" w:cs="Arial" w:eastAsia="Arial" w:hAnsi="Arial"/>
          <w:sz w:val="17"/>
          <w:szCs w:val="17"/>
          <w:color w:val="auto"/>
        </w:rPr>
        <w:t>Citizenship:</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United States of America</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2(d).</w:t>
      </w:r>
      <w:r>
        <w:rPr>
          <w:sz w:val="20"/>
          <w:szCs w:val="20"/>
          <w:color w:val="auto"/>
        </w:rPr>
        <w:tab/>
      </w:r>
      <w:r>
        <w:rPr>
          <w:rFonts w:ascii="Arial" w:cs="Arial" w:eastAsia="Arial" w:hAnsi="Arial"/>
          <w:sz w:val="16"/>
          <w:szCs w:val="16"/>
          <w:color w:val="auto"/>
        </w:rPr>
        <w:t>Title of Class of Securities: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Common Stock, par value $0.001 per share (the “Common Stock”)</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2(e).</w:t>
      </w:r>
      <w:r>
        <w:rPr>
          <w:sz w:val="20"/>
          <w:szCs w:val="20"/>
          <w:color w:val="auto"/>
        </w:rPr>
        <w:tab/>
      </w:r>
      <w:r>
        <w:rPr>
          <w:rFonts w:ascii="Arial" w:cs="Arial" w:eastAsia="Arial" w:hAnsi="Arial"/>
          <w:sz w:val="16"/>
          <w:szCs w:val="16"/>
          <w:color w:val="auto"/>
        </w:rPr>
        <w:t>CUSIP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302081104</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This Schedule 13G Statement is not being filed pursuant to Rule 13d-1(b) or Rule 13d-2(b) or (c).</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1960"/>
        <w:spacing w:after="0" w:line="272" w:lineRule="auto"/>
        <w:rPr>
          <w:sz w:val="20"/>
          <w:szCs w:val="20"/>
          <w:color w:val="auto"/>
        </w:rPr>
      </w:pPr>
      <w:r>
        <w:rPr>
          <w:rFonts w:ascii="Arial" w:cs="Arial" w:eastAsia="Arial" w:hAnsi="Arial"/>
          <w:sz w:val="17"/>
          <w:szCs w:val="17"/>
          <w:color w:val="auto"/>
        </w:rPr>
        <w:t>Mr. Kapoor directly beneficially owns 987,585 shares of Common Stock, including 740,153 shares of Common Stock of which Mr. Kapoor has the right to acquire beneficial ownership within 60 days of December 31, 2015. In addition, Mr. Kapoor is the sole trustee of the Rohit Kapoor 2005 Grantor Retained Annuity Trust (the “Rohit Kapoor GRAT”) and the Rohit Kapoor 2013 Grantor Retained Annuity Trust (the “Rohit Kapoor GRAT 2013”), which directly owns 177,134 and 40,219 shares of Common Stock, respectively. As such, Mr. Kapoor has sole dispositive and voting power over the 1,204,938 shares of Common Stock beneficially owned (or deemed to be beneficially owned) by him directly and sole dispositive and voting power over the 177,134 and 40,219 shares held by the Rohit Kapoor GRAT and the Rohit Kapoor GRAT 2013,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41" w:lineRule="exact"/>
        <w:rPr>
          <w:sz w:val="20"/>
          <w:szCs w:val="20"/>
          <w:color w:val="auto"/>
        </w:rPr>
      </w:pPr>
    </w:p>
    <w:p>
      <w:pPr>
        <w:ind w:left="1960" w:right="40"/>
        <w:spacing w:after="0" w:line="302" w:lineRule="auto"/>
        <w:rPr>
          <w:sz w:val="20"/>
          <w:szCs w:val="20"/>
          <w:color w:val="auto"/>
        </w:rPr>
      </w:pPr>
      <w:r>
        <w:rPr>
          <w:rFonts w:ascii="Arial" w:cs="Arial" w:eastAsia="Arial" w:hAnsi="Arial"/>
          <w:sz w:val="16"/>
          <w:szCs w:val="16"/>
          <w:color w:val="auto"/>
        </w:rPr>
        <w:t>Mr. Kapoor may be deemed to beneficially own 84,000 shares of Common Stock directly owned by the Rohit Kapoor 2005 Spousal Lifetime Access Trust (the “Rohit Kapoor SLAT”). Mr. Kapoor’s spouse and Mr. Kapoor’s sister-in-law are co-trustees of the Rohit Kapoor SLAT and share dispositive and voting power over the 84,000 shares of Common Stock owned by the Rohit Kapoor SLAT. Mr. Kapoor disclaims beneficial ownership of any shares of Common Stock held by the Rohit Kapoor SLAT.</w:t>
      </w:r>
    </w:p>
    <w:p>
      <w:pPr>
        <w:spacing w:after="0" w:line="154" w:lineRule="exact"/>
        <w:rPr>
          <w:sz w:val="20"/>
          <w:szCs w:val="20"/>
          <w:color w:val="auto"/>
        </w:rPr>
      </w:pPr>
    </w:p>
    <w:p>
      <w:pPr>
        <w:ind w:left="1960" w:right="140"/>
        <w:spacing w:after="0" w:line="302" w:lineRule="auto"/>
        <w:rPr>
          <w:sz w:val="20"/>
          <w:szCs w:val="20"/>
          <w:color w:val="auto"/>
        </w:rPr>
      </w:pPr>
      <w:r>
        <w:rPr>
          <w:rFonts w:ascii="Arial" w:cs="Arial" w:eastAsia="Arial" w:hAnsi="Arial"/>
          <w:sz w:val="16"/>
          <w:szCs w:val="16"/>
          <w:color w:val="auto"/>
        </w:rPr>
        <w:t>Mr. Kapoor may be deemed to beneficially own 84,000 shares of Common Stock directly owned by the Shikha Kapoor 2005 Family Trust (the “Shikha Kapoor 2005 Trust”). Mr. Kapoor and Mr. Kapoor’s sister-in-law are co-trustees of the Shikha Kapoor 2005 Trust and share dispositive and voting power over the 84,000 shares of Common Stock owned by the Shikha Kapoor 2005 Trust. Mr. Kapoor disclaims beneficial ownership of any shares of Common Stock held by the Shikha Kapoor 2005 Trust.</w:t>
      </w:r>
    </w:p>
    <w:p>
      <w:pPr>
        <w:spacing w:after="0" w:line="154" w:lineRule="exact"/>
        <w:rPr>
          <w:sz w:val="20"/>
          <w:szCs w:val="20"/>
          <w:color w:val="auto"/>
        </w:rPr>
      </w:pPr>
    </w:p>
    <w:p>
      <w:pPr>
        <w:ind w:left="1960" w:right="60"/>
        <w:spacing w:after="0" w:line="279" w:lineRule="auto"/>
        <w:rPr>
          <w:sz w:val="20"/>
          <w:szCs w:val="20"/>
          <w:color w:val="auto"/>
        </w:rPr>
      </w:pPr>
      <w:r>
        <w:rPr>
          <w:rFonts w:ascii="Arial" w:cs="Arial" w:eastAsia="Arial" w:hAnsi="Arial"/>
          <w:sz w:val="17"/>
          <w:szCs w:val="17"/>
          <w:color w:val="auto"/>
        </w:rPr>
        <w:t>Mr. Kapoor may be deemed to beneficially own 333,185 shares of Common Stock directly owned by the Rohit Kapoor 2012 Family Trust (the “Rohit Kapoor 2012 Trust”). Barclays Wealth Trust (US), NA is the sole trustee of the Rohit Kapoor 2012 Trust and shares dispositive and voting power over the 333,185 shares of Common Stock owned by the Rohit Kapoor 2012 Trust. Mr. Kapoor disclaims beneficial ownership of any shares of Common Stock held by the Rohit Kapoor 2012 Trust</w:t>
      </w:r>
    </w:p>
    <w:p>
      <w:pPr>
        <w:spacing w:after="0" w:line="171" w:lineRule="exact"/>
        <w:rPr>
          <w:sz w:val="20"/>
          <w:szCs w:val="20"/>
          <w:color w:val="auto"/>
        </w:rPr>
      </w:pPr>
    </w:p>
    <w:p>
      <w:pPr>
        <w:ind w:left="1960" w:right="40"/>
        <w:spacing w:after="0" w:line="308" w:lineRule="auto"/>
        <w:rPr>
          <w:sz w:val="20"/>
          <w:szCs w:val="20"/>
          <w:color w:val="auto"/>
        </w:rPr>
      </w:pPr>
      <w:r>
        <w:rPr>
          <w:rFonts w:ascii="Arial" w:cs="Arial" w:eastAsia="Arial" w:hAnsi="Arial"/>
          <w:sz w:val="17"/>
          <w:szCs w:val="17"/>
          <w:color w:val="auto"/>
        </w:rPr>
        <w:t>In aggregate, Mr. Kapoor beneficially owns (or may be deemed to beneficially owned) 1,706,123 shares of Common Stock, which represented approximately 4.8% of the issued and outstanding shares of Common Stock as of December 31, 2015.</w:t>
      </w:r>
    </w:p>
    <w:p>
      <w:pPr>
        <w:spacing w:after="0" w:line="14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left="19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CUSIP No. 302081104</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Control Person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Identification and Classification of Members of the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Notice of Dissolution of Group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ectPr>
          <w:pgSz w:w="11900" w:h="16838" w:orient="portrait"/>
          <w:cols w:equalWidth="0" w:num="2">
            <w:col w:w="600" w:space="700"/>
            <w:col w:w="10120"/>
          </w:cols>
          <w:pgMar w:left="240" w:top="233" w:right="2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color w:val="auto"/>
        </w:rPr>
        <w:t>CUSIP No. 302081104</w:t>
      </w: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2016</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ROHIT KAPOOR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846455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760"/>
      </w:cols>
      <w:pgMar w:left="240" w:top="233"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decimal"/>
      <w:start w:val="3"/>
    </w:lvl>
  </w:abstractNum>
  <w:abstractNum w:abstractNumId="4">
    <w:nsid w:val="507ED7AB"/>
    <w:multiLevelType w:val="hybridMultilevel"/>
    <w:lvl w:ilvl="0">
      <w:lvlJc w:val="left"/>
      <w:lvlText w:val="4"/>
      <w:numFmt w:val="bullet"/>
      <w:start w:val="1"/>
    </w:lvl>
    <w:lvl w:ilvl="1">
      <w:lvlJc w:val="left"/>
      <w:lvlText w:val="%2."/>
      <w:numFmt w:val="decimal"/>
      <w:start w:val="5"/>
    </w:lvl>
  </w:abstractNum>
  <w:abstractNum w:abstractNumId="5">
    <w:nsid w:val="2EB141F2"/>
    <w:multiLevelType w:val="hybridMultilevel"/>
    <w:lvl w:ilvl="0">
      <w:lvlJc w:val="left"/>
      <w:lvlText w:val="%1"/>
      <w:numFmt w:val="decimal"/>
      <w:start w:val="1"/>
    </w:lvl>
    <w:lvl w:ilvl="1">
      <w:lvlJc w:val="left"/>
      <w:lvlText w:val="%2."/>
      <w:numFmt w:val="decimal"/>
      <w:start w:val="8"/>
    </w:lvl>
  </w:abstractNum>
  <w:abstractNum w:abstractNumId="6">
    <w:nsid w:val="41B71EFB"/>
    <w:multiLevelType w:val="hybridMultilevel"/>
    <w:lvl w:ilvl="0">
      <w:lvlJc w:val="left"/>
      <w:lvlText w:val="%1."/>
      <w:numFmt w:val="decimal"/>
      <w:start w:val="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2019-12-08T02:25:20Z</dcterms:created>
  <dcterms:modified xsi:type="dcterms:W3CDTF">2019-12-08T02:25:20Z</dcterms:modified>
</cp:coreProperties>
</file>