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KELSO DAVID B</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01/04/2010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bl>
    <w:p>
      <w:pPr>
        <w:spacing w:after="0" w:line="3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660" w:type="dxa"/>
            <w:vAlign w:val="bottom"/>
            <w:vMerge w:val="restart"/>
          </w:tcPr>
          <w:p>
            <w:pPr>
              <w:spacing w:after="0"/>
              <w:rPr>
                <w:sz w:val="20"/>
                <w:szCs w:val="20"/>
                <w:color w:val="auto"/>
              </w:rPr>
            </w:pPr>
            <w:r>
              <w:rPr>
                <w:rFonts w:ascii="Arial" w:cs="Arial" w:eastAsia="Arial" w:hAnsi="Arial"/>
                <w:sz w:val="14"/>
                <w:szCs w:val="14"/>
                <w:color w:val="0000FF"/>
              </w:rPr>
              <w:t>Stock</w:t>
            </w:r>
          </w:p>
        </w:tc>
        <w:tc>
          <w:tcPr>
            <w:tcW w:w="8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jc w:val="center"/>
              <w:ind w:left="52"/>
              <w:spacing w:after="0"/>
              <w:rPr>
                <w:sz w:val="20"/>
                <w:szCs w:val="20"/>
                <w:color w:val="auto"/>
              </w:rPr>
            </w:pPr>
            <w:r>
              <w:rPr>
                <w:rFonts w:ascii="Arial" w:cs="Arial" w:eastAsia="Arial" w:hAnsi="Arial"/>
                <w:sz w:val="14"/>
                <w:szCs w:val="14"/>
                <w:color w:val="0000FF"/>
                <w:w w:val="87"/>
              </w:rPr>
              <w:t>Common</w:t>
            </w: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66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80" w:type="dxa"/>
            <w:vAlign w:val="bottom"/>
            <w:vMerge w:val="restart"/>
          </w:tcPr>
          <w:p>
            <w:pPr>
              <w:jc w:val="center"/>
              <w:ind w:left="52"/>
              <w:spacing w:after="0" w:line="149" w:lineRule="exact"/>
              <w:rPr>
                <w:sz w:val="20"/>
                <w:szCs w:val="20"/>
                <w:color w:val="auto"/>
              </w:rPr>
            </w:pPr>
            <w:r>
              <w:rPr>
                <w:rFonts w:ascii="Arial" w:cs="Arial" w:eastAsia="Arial" w:hAnsi="Arial"/>
                <w:sz w:val="14"/>
                <w:szCs w:val="14"/>
                <w:color w:val="0000FF"/>
                <w:w w:val="87"/>
              </w:rPr>
              <w:t>Stock,</w:t>
            </w: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660" w:type="dxa"/>
            <w:vAlign w:val="bottom"/>
            <w:vMerge w:val="restart"/>
          </w:tcPr>
          <w:p>
            <w:pPr>
              <w:spacing w:after="0" w:line="149" w:lineRule="exact"/>
              <w:rPr>
                <w:sz w:val="20"/>
                <w:szCs w:val="20"/>
                <w:color w:val="auto"/>
              </w:rPr>
            </w:pPr>
            <w:r>
              <w:rPr>
                <w:rFonts w:ascii="Arial" w:cs="Arial" w:eastAsia="Arial" w:hAnsi="Arial"/>
                <w:sz w:val="14"/>
                <w:szCs w:val="14"/>
                <w:color w:val="0000FF"/>
              </w:rPr>
              <w:t>Options</w:t>
            </w:r>
          </w:p>
        </w:tc>
        <w:tc>
          <w:tcPr>
            <w:tcW w:w="8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20" w:type="dxa"/>
            <w:vAlign w:val="bottom"/>
            <w:vMerge w:val="restart"/>
          </w:tcPr>
          <w:p>
            <w:pPr>
              <w:jc w:val="right"/>
              <w:ind w:right="264"/>
              <w:spacing w:after="0"/>
              <w:rPr>
                <w:sz w:val="20"/>
                <w:szCs w:val="20"/>
                <w:color w:val="auto"/>
              </w:rPr>
            </w:pPr>
            <w:r>
              <w:rPr>
                <w:rFonts w:ascii="Arial" w:cs="Arial" w:eastAsia="Arial" w:hAnsi="Arial"/>
                <w:sz w:val="11"/>
                <w:szCs w:val="11"/>
                <w:color w:val="008000"/>
              </w:rPr>
              <w:t>(2)</w:t>
            </w:r>
          </w:p>
        </w:tc>
        <w:tc>
          <w:tcPr>
            <w:tcW w:w="640" w:type="dxa"/>
            <w:vAlign w:val="bottom"/>
            <w:vMerge w:val="restart"/>
          </w:tcPr>
          <w:p>
            <w:pPr>
              <w:jc w:val="right"/>
              <w:ind w:right="124"/>
              <w:spacing w:after="0"/>
              <w:rPr>
                <w:sz w:val="20"/>
                <w:szCs w:val="20"/>
                <w:color w:val="auto"/>
              </w:rPr>
            </w:pPr>
            <w:r>
              <w:rPr>
                <w:rFonts w:ascii="Arial" w:cs="Arial" w:eastAsia="Arial" w:hAnsi="Arial"/>
                <w:sz w:val="11"/>
                <w:szCs w:val="11"/>
                <w:color w:val="008000"/>
              </w:rPr>
              <w:t>(3)</w:t>
            </w:r>
          </w:p>
        </w:tc>
        <w:tc>
          <w:tcPr>
            <w:tcW w:w="780" w:type="dxa"/>
            <w:vAlign w:val="bottom"/>
            <w:vMerge w:val="continue"/>
          </w:tcPr>
          <w:p>
            <w:pPr>
              <w:spacing w:after="0"/>
              <w:rPr>
                <w:sz w:val="8"/>
                <w:szCs w:val="8"/>
                <w:color w:val="auto"/>
              </w:rPr>
            </w:pPr>
          </w:p>
        </w:tc>
        <w:tc>
          <w:tcPr>
            <w:tcW w:w="700" w:type="dxa"/>
            <w:vAlign w:val="bottom"/>
            <w:vMerge w:val="restart"/>
          </w:tcPr>
          <w:p>
            <w:pPr>
              <w:jc w:val="right"/>
              <w:ind w:right="112"/>
              <w:spacing w:after="0"/>
              <w:rPr>
                <w:sz w:val="20"/>
                <w:szCs w:val="20"/>
                <w:color w:val="auto"/>
              </w:rPr>
            </w:pPr>
            <w:r>
              <w:rPr>
                <w:rFonts w:ascii="Arial" w:cs="Arial" w:eastAsia="Arial" w:hAnsi="Arial"/>
                <w:sz w:val="18"/>
                <w:szCs w:val="18"/>
                <w:color w:val="0000FF"/>
              </w:rPr>
              <w:t>9,259</w:t>
            </w:r>
          </w:p>
        </w:tc>
        <w:tc>
          <w:tcPr>
            <w:tcW w:w="640" w:type="dxa"/>
            <w:vAlign w:val="bottom"/>
            <w:vMerge w:val="restart"/>
          </w:tcPr>
          <w:p>
            <w:pPr>
              <w:jc w:val="right"/>
              <w:ind w:right="244"/>
              <w:spacing w:after="0"/>
              <w:rPr>
                <w:sz w:val="20"/>
                <w:szCs w:val="20"/>
                <w:color w:val="auto"/>
              </w:rPr>
            </w:pPr>
            <w:r>
              <w:rPr>
                <w:rFonts w:ascii="Arial" w:cs="Arial" w:eastAsia="Arial" w:hAnsi="Arial"/>
                <w:sz w:val="11"/>
                <w:szCs w:val="11"/>
                <w:color w:val="008000"/>
              </w:rPr>
              <w:t>(4)</w:t>
            </w:r>
          </w:p>
        </w:tc>
        <w:tc>
          <w:tcPr>
            <w:tcW w:w="96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660" w:type="dxa"/>
            <w:vAlign w:val="bottom"/>
            <w:vMerge w:val="continue"/>
          </w:tcPr>
          <w:p>
            <w:pPr>
              <w:spacing w:after="0"/>
              <w:rPr>
                <w:sz w:val="4"/>
                <w:szCs w:val="4"/>
                <w:color w:val="auto"/>
              </w:rPr>
            </w:pPr>
          </w:p>
        </w:tc>
        <w:tc>
          <w:tcPr>
            <w:tcW w:w="840" w:type="dxa"/>
            <w:vAlign w:val="bottom"/>
            <w:vMerge w:val="restart"/>
          </w:tcPr>
          <w:p>
            <w:pPr>
              <w:jc w:val="right"/>
              <w:ind w:right="17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18.24</w:t>
            </w:r>
          </w:p>
        </w:tc>
        <w:tc>
          <w:tcPr>
            <w:tcW w:w="1640" w:type="dxa"/>
            <w:vAlign w:val="bottom"/>
            <w:vMerge w:val="restart"/>
          </w:tcPr>
          <w:p>
            <w:pPr>
              <w:jc w:val="right"/>
              <w:ind w:right="712"/>
              <w:spacing w:after="0"/>
              <w:rPr>
                <w:sz w:val="20"/>
                <w:szCs w:val="20"/>
                <w:color w:val="auto"/>
              </w:rPr>
            </w:pPr>
            <w:r>
              <w:rPr>
                <w:rFonts w:ascii="Arial" w:cs="Arial" w:eastAsia="Arial" w:hAnsi="Arial"/>
                <w:sz w:val="14"/>
                <w:szCs w:val="14"/>
                <w:color w:val="0000FF"/>
              </w:rPr>
              <w:t>01/04/2010</w:t>
            </w:r>
          </w:p>
        </w:tc>
        <w:tc>
          <w:tcPr>
            <w:tcW w:w="1200" w:type="dxa"/>
            <w:vAlign w:val="bottom"/>
            <w:vMerge w:val="restart"/>
          </w:tcPr>
          <w:p>
            <w:pPr>
              <w:ind w:left="780"/>
              <w:spacing w:after="0"/>
              <w:rPr>
                <w:sz w:val="20"/>
                <w:szCs w:val="20"/>
                <w:color w:val="auto"/>
              </w:rPr>
            </w:pPr>
            <w:r>
              <w:rPr>
                <w:rFonts w:ascii="Arial" w:cs="Arial" w:eastAsia="Arial" w:hAnsi="Arial"/>
                <w:sz w:val="14"/>
                <w:szCs w:val="14"/>
                <w:color w:val="0000FF"/>
              </w:rPr>
              <w:t>A</w:t>
            </w:r>
          </w:p>
        </w:tc>
        <w:tc>
          <w:tcPr>
            <w:tcW w:w="1000" w:type="dxa"/>
            <w:vAlign w:val="bottom"/>
            <w:vMerge w:val="restart"/>
          </w:tcPr>
          <w:p>
            <w:pPr>
              <w:jc w:val="right"/>
              <w:ind w:right="292"/>
              <w:spacing w:after="0"/>
              <w:rPr>
                <w:sz w:val="20"/>
                <w:szCs w:val="20"/>
                <w:color w:val="auto"/>
              </w:rPr>
            </w:pPr>
            <w:r>
              <w:rPr>
                <w:rFonts w:ascii="Arial" w:cs="Arial" w:eastAsia="Arial" w:hAnsi="Arial"/>
                <w:sz w:val="14"/>
                <w:szCs w:val="14"/>
                <w:color w:val="0000FF"/>
              </w:rPr>
              <w:t>9,259</w:t>
            </w:r>
          </w:p>
        </w:tc>
        <w:tc>
          <w:tcPr>
            <w:tcW w:w="82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780" w:type="dxa"/>
            <w:vAlign w:val="bottom"/>
            <w:vMerge w:val="restart"/>
          </w:tcPr>
          <w:p>
            <w:pPr>
              <w:jc w:val="center"/>
              <w:ind w:left="52"/>
              <w:spacing w:after="0"/>
              <w:rPr>
                <w:sz w:val="20"/>
                <w:szCs w:val="20"/>
                <w:color w:val="auto"/>
              </w:rPr>
            </w:pPr>
            <w:r>
              <w:rPr>
                <w:rFonts w:ascii="Arial" w:cs="Arial" w:eastAsia="Arial" w:hAnsi="Arial"/>
                <w:sz w:val="14"/>
                <w:szCs w:val="14"/>
                <w:color w:val="0000FF"/>
                <w:w w:val="86"/>
              </w:rPr>
              <w:t>par value</w:t>
            </w:r>
          </w:p>
        </w:tc>
        <w:tc>
          <w:tcPr>
            <w:tcW w:w="70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960" w:type="dxa"/>
            <w:vAlign w:val="bottom"/>
            <w:vMerge w:val="restart"/>
          </w:tcPr>
          <w:p>
            <w:pPr>
              <w:jc w:val="right"/>
              <w:ind w:right="272"/>
              <w:spacing w:after="0"/>
              <w:rPr>
                <w:sz w:val="20"/>
                <w:szCs w:val="20"/>
                <w:color w:val="auto"/>
              </w:rPr>
            </w:pPr>
            <w:r>
              <w:rPr>
                <w:rFonts w:ascii="Arial" w:cs="Arial" w:eastAsia="Arial" w:hAnsi="Arial"/>
                <w:sz w:val="14"/>
                <w:szCs w:val="14"/>
                <w:color w:val="0000FF"/>
              </w:rPr>
              <w:t>9,259</w:t>
            </w:r>
          </w:p>
        </w:tc>
        <w:tc>
          <w:tcPr>
            <w:tcW w:w="440" w:type="dxa"/>
            <w:vAlign w:val="bottom"/>
            <w:vMerge w:val="restart"/>
          </w:tcPr>
          <w:p>
            <w:pPr>
              <w:ind w:left="340"/>
              <w:spacing w:after="0"/>
              <w:rPr>
                <w:sz w:val="20"/>
                <w:szCs w:val="20"/>
                <w:color w:val="auto"/>
              </w:rPr>
            </w:pPr>
            <w:r>
              <w:rPr>
                <w:rFonts w:ascii="Arial" w:cs="Arial" w:eastAsia="Arial" w:hAnsi="Arial"/>
                <w:sz w:val="14"/>
                <w:szCs w:val="14"/>
                <w:color w:val="0000FF"/>
                <w:w w:val="78"/>
              </w:rPr>
              <w:t>D</w:t>
            </w:r>
          </w:p>
        </w:tc>
        <w:tc>
          <w:tcPr>
            <w:tcW w:w="0" w:type="dxa"/>
            <w:vAlign w:val="bottom"/>
          </w:tcPr>
          <w:p>
            <w:pPr>
              <w:spacing w:after="0"/>
              <w:rPr>
                <w:sz w:val="1"/>
                <w:szCs w:val="1"/>
                <w:color w:val="auto"/>
              </w:rPr>
            </w:pPr>
          </w:p>
        </w:tc>
      </w:tr>
      <w:tr>
        <w:trPr>
          <w:trHeight w:val="83"/>
        </w:trPr>
        <w:tc>
          <w:tcPr>
            <w:tcW w:w="660" w:type="dxa"/>
            <w:vAlign w:val="bottom"/>
            <w:vMerge w:val="restart"/>
          </w:tcPr>
          <w:p>
            <w:pPr>
              <w:spacing w:after="0" w:line="133" w:lineRule="exact"/>
              <w:rPr>
                <w:sz w:val="20"/>
                <w:szCs w:val="20"/>
                <w:color w:val="auto"/>
              </w:rPr>
            </w:pPr>
            <w:r>
              <w:rPr>
                <w:rFonts w:ascii="Arial" w:cs="Arial" w:eastAsia="Arial" w:hAnsi="Arial"/>
                <w:sz w:val="14"/>
                <w:szCs w:val="14"/>
                <w:color w:val="0000FF"/>
              </w:rPr>
              <w:t>(right to</w:t>
            </w:r>
          </w:p>
        </w:tc>
        <w:tc>
          <w:tcPr>
            <w:tcW w:w="840" w:type="dxa"/>
            <w:vAlign w:val="bottom"/>
            <w:vMerge w:val="continue"/>
          </w:tcPr>
          <w:p>
            <w:pPr>
              <w:spacing w:after="0"/>
              <w:rPr>
                <w:sz w:val="7"/>
                <w:szCs w:val="7"/>
                <w:color w:val="auto"/>
              </w:rPr>
            </w:pPr>
          </w:p>
        </w:tc>
        <w:tc>
          <w:tcPr>
            <w:tcW w:w="164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66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1640" w:type="dxa"/>
            <w:vAlign w:val="bottom"/>
            <w:vMerge w:val="continue"/>
          </w:tcPr>
          <w:p>
            <w:pPr>
              <w:spacing w:after="0"/>
              <w:rPr>
                <w:sz w:val="4"/>
                <w:szCs w:val="4"/>
                <w:color w:val="auto"/>
              </w:rPr>
            </w:pPr>
          </w:p>
        </w:tc>
        <w:tc>
          <w:tcPr>
            <w:tcW w:w="120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660" w:type="dxa"/>
            <w:vAlign w:val="bottom"/>
          </w:tcPr>
          <w:p>
            <w:pPr>
              <w:spacing w:after="0" w:line="176" w:lineRule="exact"/>
              <w:rPr>
                <w:sz w:val="20"/>
                <w:szCs w:val="20"/>
                <w:color w:val="auto"/>
              </w:rPr>
            </w:pPr>
            <w:r>
              <w:rPr>
                <w:rFonts w:ascii="Arial" w:cs="Arial" w:eastAsia="Arial" w:hAnsi="Arial"/>
                <w:sz w:val="13"/>
                <w:szCs w:val="13"/>
                <w:color w:val="0000FF"/>
              </w:rPr>
              <w:t>buy)</w:t>
            </w:r>
            <w:r>
              <w:rPr>
                <w:rFonts w:ascii="Arial" w:cs="Arial" w:eastAsia="Arial" w:hAnsi="Arial"/>
                <w:sz w:val="20"/>
                <w:szCs w:val="20"/>
                <w:color w:val="008000"/>
                <w:vertAlign w:val="superscript"/>
              </w:rPr>
              <w:t>(1)</w:t>
            </w:r>
          </w:p>
        </w:tc>
        <w:tc>
          <w:tcPr>
            <w:tcW w:w="8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80" w:type="dxa"/>
            <w:vAlign w:val="bottom"/>
          </w:tcPr>
          <w:p>
            <w:pPr>
              <w:jc w:val="center"/>
              <w:ind w:left="52"/>
              <w:spacing w:after="0"/>
              <w:rPr>
                <w:sz w:val="20"/>
                <w:szCs w:val="20"/>
                <w:color w:val="auto"/>
              </w:rPr>
            </w:pPr>
            <w:r>
              <w:rPr>
                <w:rFonts w:ascii="Arial" w:cs="Arial" w:eastAsia="Arial" w:hAnsi="Arial"/>
                <w:sz w:val="14"/>
                <w:szCs w:val="14"/>
                <w:color w:val="0000FF"/>
                <w:w w:val="88"/>
              </w:rPr>
              <w:t>$0.001</w:t>
            </w: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jc w:val="center"/>
              <w:ind w:left="52"/>
              <w:spacing w:after="0"/>
              <w:rPr>
                <w:sz w:val="20"/>
                <w:szCs w:val="20"/>
                <w:color w:val="auto"/>
              </w:rPr>
            </w:pPr>
            <w:r>
              <w:rPr>
                <w:rFonts w:ascii="Arial" w:cs="Arial" w:eastAsia="Arial" w:hAnsi="Arial"/>
                <w:sz w:val="14"/>
                <w:szCs w:val="14"/>
                <w:color w:val="0000FF"/>
                <w:w w:val="84"/>
              </w:rPr>
              <w:t>per share</w:t>
            </w: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January 4, 2010, ExlService Holdings, Inc. (the "Company") issued options (the "Options") to purchase shares of its common stock, par value $0.001 per share (the "Option Shares"), to certain of its directors in accordance with the Company's compensation program for non-employee directors.</w:t>
      </w:r>
    </w:p>
    <w:p>
      <w:pPr>
        <w:spacing w:after="0" w:line="30" w:lineRule="exact"/>
        <w:rPr>
          <w:rFonts w:ascii="Arial" w:cs="Arial" w:eastAsia="Arial" w:hAnsi="Arial"/>
          <w:sz w:val="14"/>
          <w:szCs w:val="14"/>
          <w:color w:val="008000"/>
        </w:rPr>
      </w:pPr>
    </w:p>
    <w:p>
      <w:pPr>
        <w:ind w:left="40" w:right="16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Options were granted pursuant to the terms and conditions of the Company's 2006 Omnibus Award Plan and the Company's compensation program for non-employee directors. Subject to the following sentence, and subject to the reporting person's continued service with the Company, the Options shall become vested and exercisable as to 100% of the Option Shares subject thereto on December 31 of the year of grant. In the event of death or disability of the reporting person after the date of grant but prior to the vesting date specified in the preceding sentence, then the Options shall vest pro rata up to the date of such event.</w:t>
      </w:r>
    </w:p>
    <w:p>
      <w:pPr>
        <w:spacing w:after="0" w:line="31" w:lineRule="exact"/>
        <w:rPr>
          <w:rFonts w:ascii="Arial" w:cs="Arial" w:eastAsia="Arial" w:hAnsi="Arial"/>
          <w:sz w:val="14"/>
          <w:szCs w:val="14"/>
          <w:color w:val="008000"/>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Options shall expire at the end of the period commencing on the date of grant and ending at 11:59 p.m. Eastern Time on the day preceding the tenth anniversary of the date of grant. In the event of death or disability of the reporting person, any portion of the Options that does not vest as set forth in footnote (2) above shall immediately expire.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Not applicable.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01/06/2010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780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2019-12-16T15:27:25Z</dcterms:created>
  <dcterms:modified xsi:type="dcterms:W3CDTF">2019-12-16T15:27:25Z</dcterms:modified>
</cp:coreProperties>
</file>