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244260.xml.htm"/>
      <w:bookmarkStart w:id="1" w:name="kswkform4_17092442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Mahon Anita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EXLSERVICE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 29TH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Growth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02/27/2024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22,348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22,348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Company's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will vest in four equal annual installments, beginning on February 27, 2025. Vesting will be accelerated upon certain termination of employment events and upon a "Change in Control" (as defined in the ExlService Holdings, Inc. 2018 Omnibus Incentive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Note: On February 27, 2024 the reporting person was also granted performance-based restricted stock units that are subject to material conditions beyond the reporting person's control, and, therefore, are not considered derivative securities for purposes of Section 16 of the Securities Exchange Act of 1934, as amended, and are excluded from this report. Mr. Oseni is the Company's Head of Administration and Accounts.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Lazbart Oseni,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05281" TargetMode="External"/><Relationship Id="rId4" Type="http://schemas.openxmlformats.org/officeDocument/2006/relationships/hyperlink" Target="http://www.sec.gov/cgi-bin/browse-edgar?action=getcompany&amp;CIK=00012979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3833</Characters>
  <CharactersWithSpaces>4466</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