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3,125</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20"/>
              <w:spacing w:after="0"/>
              <w:rPr>
                <w:sz w:val="20"/>
                <w:szCs w:val="20"/>
                <w:color w:val="auto"/>
              </w:rPr>
            </w:pPr>
            <w:r>
              <w:rPr>
                <w:rFonts w:ascii="Arial" w:cs="Arial" w:eastAsia="Arial" w:hAnsi="Arial"/>
                <w:sz w:val="18"/>
                <w:szCs w:val="18"/>
                <w:color w:val="0000FF"/>
              </w:rPr>
              <w:t>125,081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88"/>
              </w:rPr>
              <w:t>1,111</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47.92</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123,970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2,500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20"/>
              <w:spacing w:after="0"/>
              <w:rPr>
                <w:sz w:val="20"/>
                <w:szCs w:val="20"/>
                <w:color w:val="auto"/>
              </w:rPr>
            </w:pPr>
            <w:r>
              <w:rPr>
                <w:rFonts w:ascii="Arial" w:cs="Arial" w:eastAsia="Arial" w:hAnsi="Arial"/>
                <w:sz w:val="18"/>
                <w:szCs w:val="18"/>
                <w:color w:val="0000FF"/>
              </w:rPr>
              <w:t>126,470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02/26/2017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889</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47.59</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125,581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3,125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3,125</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9,375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02/26/2017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2,500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8,750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2017.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jc w:val="both"/>
        <w:ind w:left="40" w:right="2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24, 2016, the reporting person was granted 12,500 restricted stock units, vesting in four equal annual installments beginning on the first anniversary of the grant date. Twenty-five percent of the restricted stock units became vested on February 24, 2017, an additional twenty-five percent of the restricted stock units will vest on February 24, 2018, an additional twenty-five percent of the restricted stock units will vest on February 24, 2019, and the remaining balance of twenty-five percent of the restricted stock units will vest on February 24, 2020.</w:t>
      </w:r>
    </w:p>
    <w:p>
      <w:pPr>
        <w:spacing w:after="0" w:line="2" w:lineRule="exact"/>
        <w:rPr>
          <w:rFonts w:ascii="Arial" w:cs="Arial" w:eastAsia="Arial" w:hAnsi="Arial"/>
          <w:sz w:val="12"/>
          <w:szCs w:val="12"/>
          <w:color w:val="008000"/>
        </w:rPr>
      </w:pPr>
    </w:p>
    <w:p>
      <w:pPr>
        <w:ind w:left="40" w:right="3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12,500 restricted stock units, ten percent of the restricted stock units became vested on February 26, 2016, an additional twenty percent of the restricted stock units became vested on February 26, 2017, an additional thirty percent of the restricted stock units will vest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2019-12-04T01:05:59Z</dcterms:created>
  <dcterms:modified xsi:type="dcterms:W3CDTF">2019-12-04T01:05:59Z</dcterms:modified>
</cp:coreProperties>
</file>