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616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601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9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67"/>
        <w:spacing w:after="0"/>
        <w:rPr>
          <w:sz w:val="20"/>
          <w:szCs w:val="20"/>
          <w:color w:val="auto"/>
        </w:rPr>
      </w:pPr>
      <w:r>
        <w:rPr>
          <w:rFonts w:ascii="Arial" w:cs="Arial" w:eastAsia="Arial" w:hAnsi="Arial"/>
          <w:sz w:val="17"/>
          <w:szCs w:val="17"/>
          <w:color w:val="0000FF"/>
        </w:rPr>
        <w:t>Pres., Global Client Services</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97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97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4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8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86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right"/>
              <w:ind w:right="359"/>
              <w:spacing w:after="0"/>
              <w:rPr>
                <w:sz w:val="20"/>
                <w:szCs w:val="20"/>
                <w:color w:val="auto"/>
              </w:rPr>
            </w:pPr>
            <w:r>
              <w:rPr>
                <w:rFonts w:ascii="Arial" w:cs="Arial" w:eastAsia="Arial" w:hAnsi="Arial"/>
                <w:sz w:val="17"/>
                <w:szCs w:val="17"/>
                <w:color w:val="0000FF"/>
              </w:rPr>
              <w:t>20,551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3,028</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7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ind w:left="59"/>
              <w:spacing w:after="0" w:line="146" w:lineRule="exact"/>
              <w:rPr>
                <w:sz w:val="20"/>
                <w:szCs w:val="20"/>
                <w:color w:val="auto"/>
              </w:rPr>
            </w:pPr>
            <w:r>
              <w:rPr>
                <w:rFonts w:ascii="Arial" w:cs="Arial" w:eastAsia="Arial" w:hAnsi="Arial"/>
                <w:sz w:val="13"/>
                <w:szCs w:val="13"/>
                <w:color w:val="0000FF"/>
                <w:w w:val="92"/>
              </w:rPr>
              <w:t>3,028</w:t>
            </w:r>
          </w:p>
        </w:tc>
        <w:tc>
          <w:tcPr>
            <w:tcW w:w="3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restart"/>
          </w:tcPr>
          <w:p>
            <w:pPr>
              <w:spacing w:after="0" w:line="146" w:lineRule="exact"/>
              <w:rPr>
                <w:sz w:val="20"/>
                <w:szCs w:val="20"/>
                <w:color w:val="auto"/>
              </w:rPr>
            </w:pPr>
            <w:r>
              <w:rPr>
                <w:rFonts w:ascii="Arial" w:cs="Arial" w:eastAsia="Arial" w:hAnsi="Arial"/>
                <w:sz w:val="13"/>
                <w:szCs w:val="13"/>
                <w:color w:val="0000FF"/>
              </w:rPr>
              <w:t>02/13/2014</w:t>
            </w: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9"/>
              <w:spacing w:after="0" w:line="146" w:lineRule="exact"/>
              <w:rPr>
                <w:sz w:val="20"/>
                <w:szCs w:val="20"/>
                <w:color w:val="auto"/>
              </w:rPr>
            </w:pPr>
            <w:r>
              <w:rPr>
                <w:rFonts w:ascii="Arial" w:cs="Arial" w:eastAsia="Arial" w:hAnsi="Arial"/>
                <w:sz w:val="13"/>
                <w:szCs w:val="13"/>
                <w:color w:val="0000FF"/>
                <w:w w:val="92"/>
              </w:rPr>
              <w:t>3,028</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11,500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7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ind w:left="39"/>
              <w:spacing w:after="0" w:line="146" w:lineRule="exact"/>
              <w:rPr>
                <w:sz w:val="20"/>
                <w:szCs w:val="20"/>
                <w:color w:val="auto"/>
              </w:rPr>
            </w:pPr>
            <w:r>
              <w:rPr>
                <w:rFonts w:ascii="Arial" w:cs="Arial" w:eastAsia="Arial" w:hAnsi="Arial"/>
                <w:sz w:val="13"/>
                <w:szCs w:val="13"/>
                <w:color w:val="0000FF"/>
                <w:w w:val="90"/>
              </w:rPr>
              <w:t>11,500</w:t>
            </w:r>
          </w:p>
        </w:tc>
        <w:tc>
          <w:tcPr>
            <w:tcW w:w="3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restart"/>
          </w:tcPr>
          <w:p>
            <w:pPr>
              <w:spacing w:after="0" w:line="146" w:lineRule="exact"/>
              <w:rPr>
                <w:sz w:val="20"/>
                <w:szCs w:val="20"/>
                <w:color w:val="auto"/>
              </w:rPr>
            </w:pPr>
            <w:r>
              <w:rPr>
                <w:rFonts w:ascii="Arial" w:cs="Arial" w:eastAsia="Arial" w:hAnsi="Arial"/>
                <w:sz w:val="13"/>
                <w:szCs w:val="13"/>
                <w:color w:val="0000FF"/>
              </w:rPr>
              <w:t>02/13/2014</w:t>
            </w: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9"/>
              <w:spacing w:after="0" w:line="146" w:lineRule="exact"/>
              <w:rPr>
                <w:sz w:val="20"/>
                <w:szCs w:val="20"/>
                <w:color w:val="auto"/>
              </w:rPr>
            </w:pPr>
            <w:r>
              <w:rPr>
                <w:rFonts w:ascii="Arial" w:cs="Arial" w:eastAsia="Arial" w:hAnsi="Arial"/>
                <w:sz w:val="13"/>
                <w:szCs w:val="13"/>
                <w:color w:val="0000FF"/>
                <w:w w:val="90"/>
              </w:rPr>
              <w:t>11,500</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w w:val="99"/>
              </w:rPr>
              <w:t>Performance</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11,500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tcPr>
          <w:p>
            <w:pPr>
              <w:jc w:val="center"/>
              <w:spacing w:after="0" w:line="146"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12"/>
                <w:szCs w:val="12"/>
                <w:color w:val="auto"/>
              </w:rPr>
            </w:pPr>
          </w:p>
        </w:tc>
        <w:tc>
          <w:tcPr>
            <w:tcW w:w="72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620" w:type="dxa"/>
            <w:vAlign w:val="bottom"/>
          </w:tcPr>
          <w:p>
            <w:pPr>
              <w:jc w:val="center"/>
              <w:ind w:left="39"/>
              <w:spacing w:after="0" w:line="146" w:lineRule="exact"/>
              <w:rPr>
                <w:sz w:val="20"/>
                <w:szCs w:val="20"/>
                <w:color w:val="auto"/>
              </w:rPr>
            </w:pPr>
            <w:r>
              <w:rPr>
                <w:rFonts w:ascii="Arial" w:cs="Arial" w:eastAsia="Arial" w:hAnsi="Arial"/>
                <w:sz w:val="13"/>
                <w:szCs w:val="13"/>
                <w:color w:val="0000FF"/>
                <w:w w:val="90"/>
              </w:rPr>
              <w:t>11,500</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tcPr>
          <w:p>
            <w:pPr>
              <w:spacing w:after="0" w:line="146" w:lineRule="exact"/>
              <w:rPr>
                <w:sz w:val="20"/>
                <w:szCs w:val="20"/>
                <w:color w:val="auto"/>
              </w:rPr>
            </w:pPr>
            <w:r>
              <w:rPr>
                <w:rFonts w:ascii="Arial" w:cs="Arial" w:eastAsia="Arial" w:hAnsi="Arial"/>
                <w:sz w:val="13"/>
                <w:szCs w:val="13"/>
                <w:color w:val="0000FF"/>
              </w:rPr>
              <w:t>02/13/2014</w:t>
            </w: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9"/>
              <w:spacing w:after="0" w:line="146" w:lineRule="exact"/>
              <w:rPr>
                <w:sz w:val="20"/>
                <w:szCs w:val="20"/>
                <w:color w:val="auto"/>
              </w:rPr>
            </w:pPr>
            <w:r>
              <w:rPr>
                <w:rFonts w:ascii="Arial" w:cs="Arial" w:eastAsia="Arial" w:hAnsi="Arial"/>
                <w:sz w:val="13"/>
                <w:szCs w:val="13"/>
                <w:color w:val="0000FF"/>
                <w:w w:val="90"/>
              </w:rPr>
              <w:t>11,500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33.3% of the restricted stock will vest on February 13, 2015; an additional 33.3% will vest on February 13, 2016; and the remaining balance of the restricted stock will vest on February 13, 2017. Vesting of some or all of the restricted stock may be accelerated upon or in connection with the occurrence of a "Change in Control," as such term is defined in the agreement governing the grant of the restricted stock.</w:t>
      </w:r>
    </w:p>
    <w:p>
      <w:pPr>
        <w:ind w:left="40" w:right="42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restricted stock units will vest on February 13, 2015; an additional 20 percent will vest on February 13, 2016; an additional 30 percent will vest on February 13, 2017; and the remaining 40 percent will vest on February 13, 2018. Vesting will be accelerated upon certain terminations of employment and upon a "Change in Control" (as such term is defined in the ExlService Holdings, Inc. 2006 Omnibus Award Plan (the "Omnibus Award Plan") and in the agreement governing the grant of the restricted stock units).</w:t>
      </w:r>
    </w:p>
    <w:p>
      <w:pPr>
        <w:spacing w:after="0" w:line="26"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performance restricted stock units will vest on December 31, 2016, if applicable performance targets, which are set out in the agreement governing the grant of the performance restricted stock units, are met. Vesting of some or all of the performance restricted stock units may be accelerated upon or in connection with the occurrence of a "Change in Control," as such term is defined in the Omnibus Award Plan and the agreement governing the grant of the performance restricted stock units.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02/18/2014</w:t>
            </w:r>
          </w:p>
        </w:tc>
        <w:tc>
          <w:tcPr>
            <w:tcW w:w="0" w:type="dxa"/>
            <w:vAlign w:val="bottom"/>
          </w:tcPr>
          <w:p>
            <w:pPr>
              <w:spacing w:after="0"/>
              <w:rPr>
                <w:sz w:val="1"/>
                <w:szCs w:val="1"/>
                <w:color w:val="auto"/>
              </w:rPr>
            </w:pPr>
          </w:p>
        </w:tc>
      </w:tr>
      <w:tr>
        <w:trPr>
          <w:trHeight w:val="86"/>
        </w:trPr>
        <w:tc>
          <w:tcPr>
            <w:tcW w:w="222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9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2019-12-16T15:14:02Z</dcterms:created>
  <dcterms:modified xsi:type="dcterms:W3CDTF">2019-12-16T15:14:02Z</dcterms:modified>
</cp:coreProperties>
</file>