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8"/>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15"/>
                <w:szCs w:val="15"/>
                <w:color w:val="auto"/>
              </w:rPr>
            </w:pPr>
          </w:p>
        </w:tc>
        <w:tc>
          <w:tcPr>
            <w:tcW w:w="3600" w:type="dxa"/>
            <w:vAlign w:val="bottom"/>
            <w:gridSpan w:val="8"/>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95" w:lineRule="exact"/>
              <w:rPr>
                <w:sz w:val="20"/>
                <w:szCs w:val="20"/>
                <w:color w:val="auto"/>
              </w:rPr>
            </w:pPr>
            <w:r>
              <w:rPr>
                <w:rFonts w:ascii="Arial" w:cs="Arial" w:eastAsia="Arial" w:hAnsi="Arial"/>
                <w:sz w:val="18"/>
                <w:szCs w:val="18"/>
                <w:color w:val="0000FF"/>
              </w:rPr>
              <w:t>07/10/2012</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10017</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vMerge w:val="restart"/>
          </w:tcPr>
          <w:p>
            <w:pPr>
              <w:spacing w:after="0"/>
              <w:rPr>
                <w:sz w:val="4"/>
                <w:szCs w:val="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40" w:type="dxa"/>
            <w:vAlign w:val="bottom"/>
            <w:tcBorders>
              <w:bottom w:val="single" w:sz="8" w:color="2C2C2C"/>
            </w:tcBorders>
            <w:gridSpan w:val="6"/>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9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6"/>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Form 4 filed on July 10, 2012 inadvertently overstated the number of shares of common stock directly held by the reporting person by 5,000 shares, which amount was included in subsequent Form 4s filed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06/29/2017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2019-12-23T22:08:41Z</dcterms:created>
  <dcterms:modified xsi:type="dcterms:W3CDTF">2019-12-23T22:08:41Z</dcterms:modified>
</cp:coreProperties>
</file>