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Date of Report (Date of earliest event reported): October 29, 2019</w:t>
      </w:r>
    </w:p>
    <w:p>
      <w:pPr>
        <w:spacing w:after="0" w:line="78"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40"/>
          </w:cols>
          <w:pgMar w:left="240" w:top="999" w:right="2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99" w:lineRule="exact"/>
        <w:rPr>
          <w:sz w:val="24"/>
          <w:szCs w:val="24"/>
          <w:color w:val="auto"/>
        </w:rPr>
      </w:pPr>
    </w:p>
    <w:p>
      <w:pPr>
        <w:sectPr>
          <w:pgSz w:w="11900" w:h="16838" w:orient="portrait"/>
          <w:cols w:equalWidth="0" w:num="3">
            <w:col w:w="4720" w:space="720"/>
            <w:col w:w="3000" w:space="720"/>
            <w:col w:w="2280"/>
          </w:cols>
          <w:pgMar w:left="240" w:top="999" w:right="21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160" w:space="720"/>
            <w:col w:w="3340" w:space="720"/>
            <w:col w:w="2500"/>
          </w:cols>
          <w:pgMar w:left="240" w:top="999" w:right="219" w:bottom="1440" w:gutter="0" w:footer="0" w:header="0"/>
          <w:type w:val="continuous"/>
        </w:sectPr>
      </w:pPr>
    </w:p>
    <w:p>
      <w:pPr>
        <w:spacing w:after="0" w:line="227"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98" w:lineRule="exact"/>
        <w:rPr>
          <w:sz w:val="24"/>
          <w:szCs w:val="24"/>
          <w:color w:val="auto"/>
        </w:rPr>
      </w:pPr>
    </w:p>
    <w:p>
      <w:pPr>
        <w:sectPr>
          <w:pgSz w:w="11900" w:h="16838" w:orient="portrait"/>
          <w:cols w:equalWidth="0" w:num="2">
            <w:col w:w="7740" w:space="720"/>
            <w:col w:w="2980"/>
          </w:cols>
          <w:pgMar w:left="240" w:top="999" w:right="219" w:bottom="1440" w:gutter="0" w:footer="0" w:header="0"/>
          <w:type w:val="continuous"/>
        </w:sectPr>
      </w:pPr>
    </w:p>
    <w:p>
      <w:pPr>
        <w:ind w:left="504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98" w:lineRule="exact"/>
        <w:rPr>
          <w:sz w:val="24"/>
          <w:szCs w:val="24"/>
          <w:color w:val="auto"/>
        </w:rPr>
      </w:pPr>
    </w:p>
    <w:p>
      <w:pPr>
        <w:sectPr>
          <w:pgSz w:w="11900" w:h="16838" w:orient="portrait"/>
          <w:cols w:equalWidth="0" w:num="2">
            <w:col w:w="7620" w:space="720"/>
            <w:col w:w="3100"/>
          </w:cols>
          <w:pgMar w:left="240" w:top="999" w:right="21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(Address of principal executive offices)</w:t>
      </w:r>
    </w:p>
    <w:p>
      <w:pPr>
        <w:spacing w:after="0" w:line="109" w:lineRule="exact"/>
        <w:rPr>
          <w:sz w:val="24"/>
          <w:szCs w:val="24"/>
          <w:color w:val="auto"/>
        </w:rPr>
      </w:pPr>
    </w:p>
    <w:p>
      <w:pPr>
        <w:ind w:left="350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440"/>
          </w:cols>
          <w:pgMar w:left="240" w:top="999" w:right="21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ind w:left="620" w:hanging="585"/>
        <w:spacing w:after="0" w:line="214"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Written communication pursuant to Rule 425 under the Securities Act (17 CFR 230.425)</w:t>
      </w:r>
    </w:p>
    <w:p>
      <w:pPr>
        <w:spacing w:after="0" w:line="95"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Soliciting material pursuant to Rule 14a-12 under the Exchange Act (17 CFR 240.14a-12)</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67" w:lineRule="exact"/>
        <w:rPr>
          <w:sz w:val="24"/>
          <w:szCs w:val="24"/>
          <w:color w:val="auto"/>
        </w:rPr>
      </w:pPr>
    </w:p>
    <w:p>
      <w:pPr>
        <w:ind w:right="20"/>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color w:val="auto"/>
        </w:rPr>
        <w:t>Emerging growth company</w:t>
      </w:r>
    </w:p>
    <w:p>
      <w:pPr>
        <w:spacing w:after="0" w:line="320" w:lineRule="exact"/>
        <w:rPr>
          <w:rFonts w:ascii="MS PGothic" w:cs="MS PGothic" w:eastAsia="MS PGothic" w:hAnsi="MS PGothic"/>
          <w:sz w:val="43"/>
          <w:szCs w:val="43"/>
          <w:color w:val="auto"/>
          <w:vertAlign w:val="subscript"/>
        </w:rPr>
      </w:pPr>
    </w:p>
    <w:p>
      <w:pPr>
        <w:ind w:left="620" w:right="180" w:hanging="585"/>
        <w:spacing w:after="0" w:line="180" w:lineRule="auto"/>
        <w:tabs>
          <w:tab w:leader="none" w:pos="62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5487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651510"/>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6"/>
        </w:trPr>
        <w:tc>
          <w:tcPr>
            <w:tcW w:w="38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r>
      <w:tr>
        <w:trPr>
          <w:trHeight w:val="21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EXLS</w:t>
            </w:r>
          </w:p>
        </w:tc>
        <w:tc>
          <w:tcPr>
            <w:tcW w:w="4340" w:type="dxa"/>
            <w:vAlign w:val="bottom"/>
          </w:tcPr>
          <w:p>
            <w:pPr>
              <w:jc w:val="center"/>
              <w:spacing w:after="0"/>
              <w:rPr>
                <w:sz w:val="20"/>
                <w:szCs w:val="20"/>
                <w:color w:val="auto"/>
              </w:rPr>
            </w:pPr>
            <w:r>
              <w:rPr>
                <w:rFonts w:ascii="Arial" w:cs="Arial" w:eastAsia="Arial" w:hAnsi="Arial"/>
                <w:sz w:val="16"/>
                <w:szCs w:val="16"/>
                <w:color w:val="auto"/>
              </w:rPr>
              <w:t>NASDAQ</w:t>
            </w:r>
          </w:p>
        </w:tc>
      </w:tr>
      <w:tr>
        <w:trPr>
          <w:trHeight w:val="33"/>
        </w:trPr>
        <w:tc>
          <w:tcPr>
            <w:tcW w:w="38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ectPr>
          <w:pgSz w:w="11900" w:h="16838" w:orient="portrait"/>
          <w:cols w:equalWidth="0" w:num="1">
            <w:col w:w="11440"/>
          </w:cols>
          <w:pgMar w:left="240" w:top="999"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29, 2019, ExlService Holdings, Inc. (the “Company”) reported its results of operations for the three months ended September 30, 2019.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960" w:type="dxa"/>
            <w:vAlign w:val="bottom"/>
            <w:gridSpan w:val="4"/>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tcBorders>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October 29, 2019 (furnished pursuant to Item 2.02).</w:t>
              </w:r>
            </w:hyperlink>
          </w:p>
        </w:tc>
      </w:tr>
    </w:tbl>
    <w:p>
      <w:pPr>
        <w:sectPr>
          <w:pgSz w:w="11900" w:h="16838" w:orient="portrait"/>
          <w:cols w:equalWidth="0" w:num="1">
            <w:col w:w="11420"/>
          </w:cols>
          <w:pgMar w:left="240" w:top="11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60" w:type="dxa"/>
            <w:vAlign w:val="bottom"/>
          </w:tcPr>
          <w:p>
            <w:pPr>
              <w:spacing w:after="0"/>
              <w:rPr>
                <w:sz w:val="19"/>
                <w:szCs w:val="19"/>
                <w:color w:val="auto"/>
              </w:rPr>
            </w:pPr>
          </w:p>
        </w:tc>
        <w:tc>
          <w:tcPr>
            <w:tcW w:w="802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360" w:type="dxa"/>
            <w:vAlign w:val="bottom"/>
          </w:tcPr>
          <w:p>
            <w:pPr>
              <w:spacing w:after="0"/>
              <w:rPr>
                <w:sz w:val="20"/>
                <w:szCs w:val="20"/>
                <w:color w:val="auto"/>
              </w:rPr>
            </w:pPr>
          </w:p>
        </w:tc>
        <w:tc>
          <w:tcPr>
            <w:tcW w:w="3000" w:type="dxa"/>
            <w:vAlign w:val="bottom"/>
          </w:tcPr>
          <w:p>
            <w:pPr>
              <w:ind w:left="166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360" w:type="dxa"/>
            <w:vAlign w:val="bottom"/>
          </w:tcPr>
          <w:p>
            <w:pPr>
              <w:spacing w:after="0"/>
              <w:rPr>
                <w:sz w:val="20"/>
                <w:szCs w:val="20"/>
                <w:color w:val="auto"/>
              </w:rPr>
            </w:pPr>
            <w:r>
              <w:rPr>
                <w:rFonts w:ascii="Arial" w:cs="Arial" w:eastAsia="Arial" w:hAnsi="Arial"/>
                <w:sz w:val="18"/>
                <w:szCs w:val="18"/>
                <w:color w:val="auto"/>
              </w:rPr>
              <w:t>Date: October 29, 2019</w:t>
            </w:r>
          </w:p>
        </w:tc>
        <w:tc>
          <w:tcPr>
            <w:tcW w:w="3000" w:type="dxa"/>
            <w:vAlign w:val="bottom"/>
          </w:tcPr>
          <w:p>
            <w:pPr>
              <w:ind w:left="166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3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1"/>
                <w:szCs w:val="21"/>
                <w:color w:val="auto"/>
              </w:rPr>
            </w:pPr>
          </w:p>
        </w:tc>
        <w:tc>
          <w:tcPr>
            <w:tcW w:w="3000" w:type="dxa"/>
            <w:vAlign w:val="bottom"/>
          </w:tcPr>
          <w:p>
            <w:pPr>
              <w:ind w:left="166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360" w:type="dxa"/>
            <w:vAlign w:val="bottom"/>
          </w:tcPr>
          <w:p>
            <w:pPr>
              <w:spacing w:after="0"/>
              <w:rPr>
                <w:sz w:val="23"/>
                <w:szCs w:val="23"/>
                <w:color w:val="auto"/>
              </w:rPr>
            </w:pPr>
          </w:p>
        </w:tc>
        <w:tc>
          <w:tcPr>
            <w:tcW w:w="3000" w:type="dxa"/>
            <w:vAlign w:val="bottom"/>
          </w:tcPr>
          <w:p>
            <w:pPr>
              <w:ind w:left="166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2019 THIRD QUARTER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2019 Third Quarter Revenues of $251.4 Million, up 8.8% year-over-year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Diluted EPS (GAAP) of $0.55, up from $0.43 in Q3 of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Adjusted Diluted EPS (Non-GAAP) of $0.84, up from $0.71 in Q3 of 2018</w:t>
      </w:r>
    </w:p>
    <w:p>
      <w:pPr>
        <w:spacing w:after="0" w:line="200" w:lineRule="exact"/>
        <w:rPr>
          <w:sz w:val="20"/>
          <w:szCs w:val="20"/>
          <w:color w:val="auto"/>
        </w:rPr>
      </w:pPr>
    </w:p>
    <w:p>
      <w:pPr>
        <w:spacing w:after="0" w:line="30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October 29, 2019 - ExlService Holdings, Inc. (NASDAQ: EXLS), a leading operations management and analytics company, today announced its financial results for the quarter ended September 30, 2019.</w:t>
      </w:r>
    </w:p>
    <w:p>
      <w:pPr>
        <w:spacing w:after="0" w:line="21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Rohit Kapoor, Vice Chairman and Chief Executive Officer, said, “EXL generated revenues of $251.4 million during the third quarter of 2019, up 8.8% year-over-year, and adjusted diluted EPS of $0.84, up 18.3%, year-over-year.</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strong growth in operations management this quarter is reflective of the investment EXL has made to create digital solutions and digitally-enabled operating models to deliver business outcomes for our clients. These solutions orchestrate our deep domain expertise with data capabilities, advanced analytics and digital technologies, enhancing our position as a strategic digital transformation partner in our markets. Our pipeline across insurance, healthcare and analytics remains strong as we end 2019 and look forward to continued growth momentum in 2020.”</w:t>
      </w:r>
    </w:p>
    <w:p>
      <w:pPr>
        <w:spacing w:after="0" w:line="227"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Vishal Chhibbar, Chief Financial Officer, said, “We are narrowing our revenue guidance for 2019 to $980 million - $990 million from $976 million - $996 million. The mid-point of our guidance of $985 million reflects better performance in the third quarter, an annual revenue forecast of approximately $12 million for Health Integrated, offset by a foreign exchange headwind of $2 million. Our guidance now represents annual revenue growth of 12% to 13% on a constant currency basis. Our adjusted diluted EPS guidance for 2019 is being increased to $2.95 - $3.05 from $2.86 - $2.98. Our balance sheet remains strong with cash and short-term investments of $280.8 million as of September 30, 2019.”</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Third Quarter 2019</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(consisting of our Banking &amp; Financial Services, Utilities and Consulting operating segments)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September 30, 2019 increased to $251.4 million compared to $231.1 million for the third quarter of 2018, an increase of 8.8% on a reported basis and 9.3% on a constant currency basis from the third quarter of 2018, as well as an increase of 3.2% sequentially on a reported basis and 3.5% on a constant currency basis, from the second quarter of 2019.</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84"/>
              </w:rPr>
              <w:t>Revenues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3"/>
              </w:rPr>
              <w:t>Gross Margin</w:t>
            </w:r>
          </w:p>
        </w:tc>
        <w:tc>
          <w:tcPr>
            <w:tcW w:w="860" w:type="dxa"/>
            <w:vAlign w:val="bottom"/>
          </w:tcPr>
          <w:p>
            <w:pPr>
              <w:spacing w:after="0"/>
              <w:rPr>
                <w:sz w:val="18"/>
                <w:szCs w:val="18"/>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left="579"/>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ind w:left="819"/>
              <w:spacing w:after="0"/>
              <w:rPr>
                <w:sz w:val="20"/>
                <w:szCs w:val="20"/>
                <w:color w:val="auto"/>
              </w:rPr>
            </w:pPr>
            <w:r>
              <w:rPr>
                <w:rFonts w:ascii="Arial" w:cs="Arial" w:eastAsia="Arial" w:hAnsi="Arial"/>
                <w:sz w:val="16"/>
                <w:szCs w:val="16"/>
                <w:b w:val="1"/>
                <w:bCs w:val="1"/>
                <w:color w:val="auto"/>
                <w:w w:val="90"/>
              </w:rPr>
              <w:t>Three months ended</w:t>
            </w:r>
          </w:p>
        </w:tc>
        <w:tc>
          <w:tcPr>
            <w:tcW w:w="860" w:type="dxa"/>
            <w:vAlign w:val="bottom"/>
          </w:tcPr>
          <w:p>
            <w:pPr>
              <w:spacing w:after="0"/>
              <w:rPr>
                <w:sz w:val="18"/>
                <w:szCs w:val="18"/>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ind w:left="18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June 30,</w:t>
            </w:r>
          </w:p>
        </w:tc>
      </w:tr>
      <w:tr>
        <w:trPr>
          <w:trHeight w:val="284"/>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Pr>
          <w:p>
            <w:pPr>
              <w:spacing w:after="0"/>
              <w:rPr>
                <w:sz w:val="24"/>
                <w:szCs w:val="24"/>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360" w:type="dxa"/>
            <w:vAlign w:val="bottom"/>
          </w:tcPr>
          <w:p>
            <w:pPr>
              <w:ind w:left="520"/>
              <w:spacing w:after="0"/>
              <w:rPr>
                <w:sz w:val="20"/>
                <w:szCs w:val="20"/>
                <w:color w:val="auto"/>
              </w:rPr>
            </w:pPr>
            <w:r>
              <w:rPr>
                <w:rFonts w:ascii="Arial" w:cs="Arial" w:eastAsia="Arial" w:hAnsi="Arial"/>
                <w:sz w:val="16"/>
                <w:szCs w:val="16"/>
                <w:b w:val="1"/>
                <w:bCs w:val="1"/>
                <w:color w:val="auto"/>
              </w:rPr>
              <w:t>2019</w:t>
            </w:r>
          </w:p>
        </w:tc>
        <w:tc>
          <w:tcPr>
            <w:tcW w:w="14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6"/>
                <w:szCs w:val="16"/>
                <w:b w:val="1"/>
                <w:bCs w:val="1"/>
                <w:color w:val="auto"/>
              </w:rPr>
              <w:t>2019</w:t>
            </w:r>
          </w:p>
        </w:tc>
      </w:tr>
      <w:tr>
        <w:trPr>
          <w:trHeight w:val="33"/>
        </w:trPr>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center"/>
              <w:ind w:left="599"/>
              <w:spacing w:after="0"/>
              <w:rPr>
                <w:sz w:val="20"/>
                <w:szCs w:val="20"/>
                <w:color w:val="auto"/>
              </w:rPr>
            </w:pPr>
            <w:r>
              <w:rPr>
                <w:rFonts w:ascii="Arial" w:cs="Arial" w:eastAsia="Arial" w:hAnsi="Arial"/>
                <w:sz w:val="16"/>
                <w:szCs w:val="16"/>
                <w:b w:val="1"/>
                <w:bCs w:val="1"/>
                <w:color w:val="auto"/>
                <w:w w:val="92"/>
              </w:rPr>
              <w:t>(dollars in millions)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33.7%</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30.9%</w:t>
            </w:r>
          </w:p>
        </w:tc>
      </w:tr>
      <w:tr>
        <w:trPr>
          <w:trHeight w:val="237"/>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19.1%</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Arial" w:cs="Arial" w:eastAsia="Arial" w:hAnsi="Arial"/>
                <w:sz w:val="16"/>
                <w:szCs w:val="16"/>
                <w:color w:val="auto"/>
                <w:w w:val="96"/>
              </w:rPr>
              <w:t>15.7%</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42.2%</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43.1%</w:t>
            </w:r>
          </w:p>
        </w:tc>
      </w:tr>
      <w:tr>
        <w:trPr>
          <w:trHeight w:val="237"/>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37.3%</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Arial" w:cs="Arial" w:eastAsia="Arial" w:hAnsi="Arial"/>
                <w:sz w:val="16"/>
                <w:szCs w:val="16"/>
                <w:color w:val="auto"/>
                <w:w w:val="96"/>
              </w:rPr>
              <w:t>39.5%</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29.1%</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36.9%</w:t>
            </w:r>
          </w:p>
        </w:tc>
      </w:tr>
      <w:tr>
        <w:trPr>
          <w:trHeight w:val="324"/>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34.8%</w:t>
            </w: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34.6%</w:t>
            </w:r>
          </w:p>
        </w:tc>
      </w:tr>
      <w:tr>
        <w:trPr>
          <w:trHeight w:val="244"/>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243.5</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34.2%</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w w:val="96"/>
              </w:rPr>
              <w:t>33.3%</w:t>
            </w: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2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margin for the quarter ended September 30, 2019 was 8.9%, compared to an operating income margin of 8.5% for the third quarter of 2018 and operating income margin of 5.7% for the second quarter of 2019. During the quarters ended September 30, 2019 and June 30, 2019 we recorded impairment and restructuring charges of $0.5 million and $5.6 million respectively, related to the wind down of the Health Integrated business, which is ongoing and expected to be substantially complete by the end of 2019. Adjusted operating income margin for the quarter ended September 30, 2019 was 14.3% compared to 14.1% for the third quarter of 2018 and 13.2% for the second quarter of 2019.</w:t>
      </w:r>
    </w:p>
    <w:p>
      <w:pPr>
        <w:spacing w:after="0" w:line="216" w:lineRule="exact"/>
        <w:rPr>
          <w:rFonts w:ascii="Arial" w:cs="Arial" w:eastAsia="Arial" w:hAnsi="Arial"/>
          <w:sz w:val="17"/>
          <w:szCs w:val="17"/>
          <w:color w:val="auto"/>
        </w:rPr>
      </w:pPr>
    </w:p>
    <w:p>
      <w:pPr>
        <w:jc w:val="both"/>
        <w:ind w:left="660" w:hanging="328"/>
        <w:spacing w:after="0" w:line="32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Diluted earnings per share for the quarter ended September 30, 2019 was $0.55 compared to $0.43 for the third quarter of 2018 and diluted earnings per share of $0.36 for the second quarter of 2019. During the quarters ended September 30, 2019 and June 30, 2019 we recorded impairment and restructuring charges of $0.5 million and $5.6 million respectively, related to the wind down of the Health Integrated business, which reduced our GAAP diluted EPS by $0.01 and $0.12, respectively. Adjusted diluted earnings per share for the quarter ended September 30, 2019 was $0.84 compared to $0.71 for the third quarter of 2018 and $0.74 for the second quarter of 2019.</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Third Quarter 2019</w:t>
      </w:r>
    </w:p>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11 new clients in Q3 including eight in our operations management businesses and three in Analytics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Recognized as a Leader and Star Performer in the Everest Group Life and Pensions Insurance BPO Services PEAK Matrix™ Assessment 2019</w:t>
      </w:r>
    </w:p>
    <w:p>
      <w:pPr>
        <w:spacing w:after="0" w:line="209"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Leader in the Everest Group Clinical and Care Management BPS Services PEAK Matrix™ Assessment 2019</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Major Contender in the Everest Group Healthcare Payer Payment Integrity Solutions PEAK Matrix™ Assessment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Guidance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71.0, British Pound to U.S. Dollar exchange rate of 1.27,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52.0 and all other currencies at current exchange rates, we are providing the following guidance:</w:t>
      </w:r>
    </w:p>
    <w:p>
      <w:pPr>
        <w:spacing w:after="0" w:line="77" w:lineRule="exact"/>
        <w:rPr>
          <w:sz w:val="20"/>
          <w:szCs w:val="20"/>
          <w:color w:val="auto"/>
        </w:rPr>
      </w:pPr>
    </w:p>
    <w:p>
      <w:pPr>
        <w:ind w:left="500" w:right="20" w:hanging="249"/>
        <w:spacing w:after="0" w:line="381"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of $980 million to $990 million, representing an annual revenue growth rate of 12% to 13% on a constant currency basis and which includes approximately $12 million of revenues from the Health Integrated business for 2019, offset by foreign exchange headwind of $2 million.</w:t>
      </w:r>
    </w:p>
    <w:p>
      <w:pPr>
        <w:ind w:left="500" w:hanging="249"/>
        <w:spacing w:after="0" w:line="38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$2.95 to $3.05, which includes adjusted EPS losses of approximately $0.25 from the Health Integrated business and excludes one-time wind down costs of $8.5 million to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October 29, 2019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81"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businesses enhance revenue growth and profitability. Our delivery model provides market-leading business outcomes using EXL’s proprietary Digital EXLerator Framework</w:t>
      </w:r>
      <w:r>
        <w:rPr>
          <w:rFonts w:ascii="Arial" w:cs="Arial" w:eastAsia="Arial" w:hAnsi="Arial"/>
          <w:sz w:val="22"/>
          <w:szCs w:val="22"/>
          <w:color w:val="auto"/>
          <w:vertAlign w:val="superscript"/>
        </w:rPr>
        <w:t>TM</w:t>
      </w:r>
      <w:r>
        <w:rPr>
          <w:rFonts w:ascii="Arial" w:cs="Arial" w:eastAsia="Arial" w:hAnsi="Arial"/>
          <w:sz w:val="16"/>
          <w:szCs w:val="16"/>
          <w:color w:val="auto"/>
        </w:rPr>
        <w:t>,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31,000 professionals in locations throughout the United States, Europe, Asia (primarily India and Philippines), Latin America, Australia and South Africa. For more information, visit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392"/>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7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152"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251,392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648,209</w:t>
            </w:r>
          </w:p>
        </w:tc>
      </w:tr>
      <w:tr>
        <w:trPr>
          <w:trHeight w:val="270"/>
        </w:trPr>
        <w:tc>
          <w:tcPr>
            <w:tcW w:w="52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167,542</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152,157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487,228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429,907</w:t>
            </w:r>
          </w:p>
        </w:tc>
      </w:tr>
      <w:tr>
        <w:trPr>
          <w:trHeight w:val="264"/>
        </w:trPr>
        <w:tc>
          <w:tcPr>
            <w:tcW w:w="52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83,850</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78,967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247,246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218,302</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5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85,610</w:t>
            </w: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18,302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53,996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45,593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35,185</w:t>
            </w: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Impairment and restructuring charges</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61,428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166,388</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22,422</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19,674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53,139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51,914</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4,563</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8,232</w:t>
            </w:r>
          </w:p>
        </w:tc>
      </w:tr>
      <w:tr>
        <w:trPr>
          <w:trHeight w:val="205"/>
        </w:trPr>
        <w:tc>
          <w:tcPr>
            <w:tcW w:w="52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Income before income tax expense and earnings from equity</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4"/>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affiliates</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24,814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21,050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59,072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59,841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5,701</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19,113</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15,311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46,501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53,045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w w:val="93"/>
              </w:rPr>
              <w:t>Net income attributable to ExlService Holdings, Inc. stockholders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19,044</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15,249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46,303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52,869</w:t>
            </w: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82"/>
        </w:trPr>
        <w:tc>
          <w:tcPr>
            <w:tcW w:w="5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per share attributable to ExlService Holdings, Inc.</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w w:val="95"/>
              </w:rPr>
              <w:t>Weighted-average number of shares used in computing earnings per</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34,322,449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34,458,520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34,382,787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34,472,232</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34,699,497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35,207,991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34,744,968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35,217,814</w:t>
            </w:r>
          </w:p>
        </w:tc>
      </w:tr>
    </w:tbl>
    <w:p>
      <w:pPr>
        <w:spacing w:after="0" w:line="206" w:lineRule="exact"/>
        <w:rPr>
          <w:sz w:val="20"/>
          <w:szCs w:val="20"/>
          <w:color w:val="auto"/>
        </w:rPr>
      </w:pPr>
    </w:p>
    <w:p>
      <w:pPr>
        <w:ind w:left="152" w:hanging="152"/>
        <w:spacing w:after="0"/>
        <w:tabs>
          <w:tab w:leader="none" w:pos="15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w:t>
      </w:r>
    </w:p>
    <w:p>
      <w:pPr>
        <w:sectPr>
          <w:pgSz w:w="11900" w:h="16838" w:orient="portrait"/>
          <w:cols w:equalWidth="0" w:num="1">
            <w:col w:w="11272"/>
          </w:cols>
          <w:pgMar w:left="248" w:top="796"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As of</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8"/>
              </w:rPr>
              <w:t>September 30, 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1"/>
              </w:rPr>
              <w:t>December 31, 2018</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(Unaudited)</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101,432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95,881</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179,340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184,489</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5,412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179,702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164,752</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9,364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11,326</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3,002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9,639</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27,974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28,240</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506,226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499,935</w:t>
            </w:r>
          </w:p>
        </w:tc>
        <w:tc>
          <w:tcPr>
            <w:tcW w:w="0" w:type="dxa"/>
            <w:vAlign w:val="bottom"/>
          </w:tcPr>
          <w:p>
            <w:pPr>
              <w:spacing w:after="0"/>
              <w:rPr>
                <w:sz w:val="1"/>
                <w:szCs w:val="1"/>
                <w:color w:val="auto"/>
              </w:rPr>
            </w:pPr>
          </w:p>
        </w:tc>
      </w:tr>
      <w:tr>
        <w:trPr>
          <w:trHeight w:val="25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78,471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73,510</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88,753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2,642</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6,190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6,602</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78,845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95,495</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349,530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349,984</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32,967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31,015</w:t>
            </w:r>
          </w:p>
        </w:tc>
        <w:tc>
          <w:tcPr>
            <w:tcW w:w="0" w:type="dxa"/>
            <w:vAlign w:val="bottom"/>
          </w:tcPr>
          <w:p>
            <w:pPr>
              <w:spacing w:after="0"/>
              <w:rPr>
                <w:sz w:val="1"/>
                <w:szCs w:val="1"/>
                <w:color w:val="auto"/>
              </w:rPr>
            </w:pPr>
          </w:p>
        </w:tc>
      </w:tr>
      <w:tr>
        <w:trPr>
          <w:trHeight w:val="26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2,555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1,145,978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3,658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5,653</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20,876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21,423</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9,585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employee costs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59,568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54,893</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69,876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64,169</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23,516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575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finance lease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187,902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155,095</w:t>
            </w:r>
          </w:p>
        </w:tc>
        <w:tc>
          <w:tcPr>
            <w:tcW w:w="0" w:type="dxa"/>
            <w:vAlign w:val="bottom"/>
          </w:tcPr>
          <w:p>
            <w:pPr>
              <w:spacing w:after="0"/>
              <w:rPr>
                <w:sz w:val="1"/>
                <w:szCs w:val="1"/>
                <w:color w:val="auto"/>
              </w:rPr>
            </w:pPr>
          </w:p>
        </w:tc>
      </w:tr>
      <w:tr>
        <w:trPr>
          <w:trHeight w:val="25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223,916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263,241</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Finance lease liabilities, less current portion</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436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8,445</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76,080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9,241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16,521</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498,295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443,617</w:t>
            </w:r>
          </w:p>
        </w:tc>
        <w:tc>
          <w:tcPr>
            <w:tcW w:w="0" w:type="dxa"/>
            <w:vAlign w:val="bottom"/>
          </w:tcPr>
          <w:p>
            <w:pPr>
              <w:spacing w:after="0"/>
              <w:rPr>
                <w:sz w:val="1"/>
                <w:szCs w:val="1"/>
                <w:color w:val="auto"/>
              </w:rPr>
            </w:pPr>
          </w:p>
        </w:tc>
      </w:tr>
      <w:tr>
        <w:trPr>
          <w:trHeight w:val="191"/>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0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380"/>
              <w:spacing w:after="0"/>
              <w:rPr>
                <w:sz w:val="20"/>
                <w:szCs w:val="20"/>
                <w:color w:val="auto"/>
              </w:rPr>
            </w:pPr>
            <w:r>
              <w:rPr>
                <w:rFonts w:ascii="Arial" w:cs="Arial" w:eastAsia="Arial" w:hAnsi="Arial"/>
                <w:sz w:val="16"/>
                <w:szCs w:val="16"/>
                <w:color w:val="auto"/>
                <w:w w:val="93"/>
              </w:rPr>
              <w:t>Common stock, $0.001 par value; 100,000,000 shares authorized, 38,322,354 shares issued and 34,107,851</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380"/>
              <w:spacing w:after="0"/>
              <w:rPr>
                <w:sz w:val="20"/>
                <w:szCs w:val="20"/>
                <w:color w:val="auto"/>
              </w:rPr>
            </w:pPr>
            <w:r>
              <w:rPr>
                <w:rFonts w:ascii="Arial" w:cs="Arial" w:eastAsia="Arial" w:hAnsi="Arial"/>
                <w:sz w:val="16"/>
                <w:szCs w:val="16"/>
                <w:color w:val="auto"/>
              </w:rPr>
              <w:t>shares outstanding as of September 30, 2019 and 37,850,544 shares issued and 34,222,476 shares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380"/>
              <w:spacing w:after="0"/>
              <w:rPr>
                <w:sz w:val="20"/>
                <w:szCs w:val="20"/>
                <w:color w:val="auto"/>
              </w:rPr>
            </w:pPr>
            <w:r>
              <w:rPr>
                <w:rFonts w:ascii="Arial" w:cs="Arial" w:eastAsia="Arial" w:hAnsi="Arial"/>
                <w:sz w:val="16"/>
                <w:szCs w:val="16"/>
                <w:color w:val="auto"/>
              </w:rPr>
              <w:t>outstanding as of December 31, 2018</w:t>
            </w:r>
          </w:p>
        </w:tc>
        <w:tc>
          <w:tcPr>
            <w:tcW w:w="200" w:type="dxa"/>
            <w:vAlign w:val="bottom"/>
          </w:tcPr>
          <w:p>
            <w:pPr>
              <w:spacing w:after="0"/>
              <w:rPr>
                <w:sz w:val="20"/>
                <w:szCs w:val="20"/>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386,060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364,179</w:t>
            </w:r>
          </w:p>
        </w:tc>
        <w:tc>
          <w:tcPr>
            <w:tcW w:w="0" w:type="dxa"/>
            <w:vAlign w:val="bottom"/>
          </w:tcPr>
          <w:p>
            <w:pPr>
              <w:spacing w:after="0"/>
              <w:rPr>
                <w:sz w:val="1"/>
                <w:szCs w:val="1"/>
                <w:color w:val="auto"/>
              </w:rPr>
            </w:pPr>
          </w:p>
        </w:tc>
      </w:tr>
      <w:tr>
        <w:trPr>
          <w:trHeight w:val="265"/>
        </w:trPr>
        <w:tc>
          <w:tcPr>
            <w:tcW w:w="76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3"/>
                <w:szCs w:val="23"/>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color w:val="auto"/>
              </w:rPr>
              <w:t>530,547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color w:val="auto"/>
              </w:rPr>
              <w:t>484,244</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(83,467)</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830,492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764,994</w:t>
            </w: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Less: 4,214,503 shares as of September 30, 2019 and 3,628,068 shares as of December 31, 2018, held in treasury,</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 cost</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(182,809)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(146,925)</w:t>
            </w:r>
          </w:p>
        </w:tc>
        <w:tc>
          <w:tcPr>
            <w:tcW w:w="0" w:type="dxa"/>
            <w:vAlign w:val="bottom"/>
          </w:tcPr>
          <w:p>
            <w:pPr>
              <w:spacing w:after="0"/>
              <w:rPr>
                <w:sz w:val="1"/>
                <w:szCs w:val="1"/>
                <w:color w:val="auto"/>
              </w:rPr>
            </w:pPr>
          </w:p>
        </w:tc>
      </w:tr>
      <w:tr>
        <w:trPr>
          <w:trHeight w:val="245"/>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21"/>
                <w:szCs w:val="21"/>
                <w:color w:val="auto"/>
              </w:rPr>
            </w:pPr>
          </w:p>
        </w:tc>
        <w:tc>
          <w:tcPr>
            <w:tcW w:w="1600" w:type="dxa"/>
            <w:vAlign w:val="bottom"/>
          </w:tcPr>
          <w:p>
            <w:pPr>
              <w:jc w:val="right"/>
              <w:ind w:right="26"/>
              <w:spacing w:after="0"/>
              <w:rPr>
                <w:sz w:val="20"/>
                <w:szCs w:val="20"/>
                <w:color w:val="auto"/>
              </w:rPr>
            </w:pPr>
            <w:r>
              <w:rPr>
                <w:rFonts w:ascii="Arial" w:cs="Arial" w:eastAsia="Arial" w:hAnsi="Arial"/>
                <w:sz w:val="15"/>
                <w:szCs w:val="15"/>
                <w:b w:val="1"/>
                <w:bCs w:val="1"/>
                <w:color w:val="auto"/>
              </w:rPr>
              <w:t>647,683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46"/>
              <w:spacing w:after="0"/>
              <w:rPr>
                <w:sz w:val="20"/>
                <w:szCs w:val="20"/>
                <w:color w:val="auto"/>
              </w:rPr>
            </w:pPr>
            <w:r>
              <w:rPr>
                <w:rFonts w:ascii="Arial" w:cs="Arial" w:eastAsia="Arial" w:hAnsi="Arial"/>
                <w:sz w:val="15"/>
                <w:szCs w:val="15"/>
                <w:b w:val="1"/>
                <w:bCs w:val="1"/>
                <w:color w:val="auto"/>
              </w:rPr>
              <w:t>618,069</w:t>
            </w:r>
          </w:p>
        </w:tc>
        <w:tc>
          <w:tcPr>
            <w:tcW w:w="0" w:type="dxa"/>
            <w:vAlign w:val="bottom"/>
          </w:tcPr>
          <w:p>
            <w:pPr>
              <w:spacing w:after="0"/>
              <w:rPr>
                <w:sz w:val="1"/>
                <w:szCs w:val="1"/>
                <w:color w:val="auto"/>
              </w:rPr>
            </w:pPr>
          </w:p>
        </w:tc>
      </w:tr>
      <w:tr>
        <w:trPr>
          <w:trHeight w:val="27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647,683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618,319</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1,145,978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580" w:right="339" w:bottom="171"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116" w:lineRule="exact"/>
        <w:rPr>
          <w:sz w:val="20"/>
          <w:szCs w:val="20"/>
          <w:color w:val="auto"/>
        </w:rPr>
      </w:pPr>
    </w:p>
    <w:p>
      <w:pPr>
        <w:ind w:left="1480" w:hanging="500"/>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30" w:lineRule="exact"/>
        <w:rPr>
          <w:rFonts w:ascii="Arial" w:cs="Arial" w:eastAsia="Arial" w:hAnsi="Arial"/>
          <w:sz w:val="18"/>
          <w:szCs w:val="18"/>
          <w:color w:val="auto"/>
        </w:rPr>
      </w:pPr>
    </w:p>
    <w:p>
      <w:pPr>
        <w:ind w:left="1520" w:hanging="540"/>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03" w:lineRule="exact"/>
        <w:rPr>
          <w:rFonts w:ascii="Arial" w:cs="Arial" w:eastAsia="Arial" w:hAnsi="Arial"/>
          <w:sz w:val="18"/>
          <w:szCs w:val="18"/>
          <w:color w:val="auto"/>
        </w:rPr>
      </w:pPr>
    </w:p>
    <w:p>
      <w:pPr>
        <w:ind w:left="1580" w:hanging="6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03" w:lineRule="exact"/>
        <w:rPr>
          <w:rFonts w:ascii="Arial" w:cs="Arial" w:eastAsia="Arial" w:hAnsi="Arial"/>
          <w:sz w:val="18"/>
          <w:szCs w:val="18"/>
          <w:color w:val="auto"/>
        </w:rPr>
      </w:pPr>
    </w:p>
    <w:p>
      <w:pPr>
        <w:ind w:left="1560" w:hanging="580"/>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33"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non-cash interest expense on convertible senior notes, restructuring charges and acquisition-related expenses. Acquisition-related expenses include, amortization of acquisition-related intangible assets, changes in the fair value of earn-out consideration liabilities, impairment charges of acquired long-lived and intangible assets including goodwill and other acquisition-related costs and benefits such as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33"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97" w:lineRule="exact"/>
        <w:rPr>
          <w:sz w:val="20"/>
          <w:szCs w:val="20"/>
          <w:color w:val="auto"/>
        </w:rPr>
      </w:pPr>
    </w:p>
    <w:p>
      <w:pPr>
        <w:jc w:val="both"/>
        <w:ind w:firstLine="405"/>
        <w:spacing w:after="0" w:line="325" w:lineRule="auto"/>
        <w:rPr>
          <w:sz w:val="20"/>
          <w:szCs w:val="20"/>
          <w:color w:val="auto"/>
        </w:rPr>
      </w:pPr>
      <w:r>
        <w:rPr>
          <w:rFonts w:ascii="Arial" w:cs="Arial" w:eastAsia="Arial" w:hAnsi="Arial"/>
          <w:sz w:val="17"/>
          <w:szCs w:val="17"/>
          <w:color w:val="auto"/>
        </w:rPr>
        <w:t>Effective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w:t>
      </w:r>
    </w:p>
    <w:p>
      <w:pPr>
        <w:sectPr>
          <w:pgSz w:w="11900" w:h="16838" w:orient="portrait"/>
          <w:cols w:equalWidth="0" w:num="1">
            <w:col w:w="11420"/>
          </w:cols>
          <w:pgMar w:left="240" w:top="702" w:right="239" w:bottom="1440" w:gutter="0" w:footer="0" w:header="0"/>
        </w:sectPr>
      </w:pPr>
    </w:p>
    <w:bookmarkStart w:id="10" w:name="page11"/>
    <w:bookmarkEnd w:id="10"/>
    <w:p>
      <w:pPr>
        <w:jc w:val="both"/>
        <w:ind w:firstLine="405"/>
        <w:spacing w:after="0" w:line="321" w:lineRule="auto"/>
        <w:rPr>
          <w:sz w:val="20"/>
          <w:szCs w:val="20"/>
          <w:color w:val="auto"/>
        </w:rPr>
      </w:pPr>
      <w:r>
        <w:rPr>
          <w:rFonts w:ascii="Arial" w:cs="Arial" w:eastAsia="Arial" w:hAnsi="Arial"/>
          <w:sz w:val="17"/>
          <w:szCs w:val="17"/>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decreased from 70.67 during the quarter ended September 30, 2018 to 70.35 during the quarter ended September 30, 2019, representing an appreciation of 0.4%. The average exchange rate of the U.S. Dollar against the Philippine Peso decreased from 53.53 during the quarter ended September 30, 2018 to 51.59 during the quarter ended September 30, 2019, representing an appreciation of 3.6%. The average exchange rate of the British Pound against the U.S. Dollar decreased from 1.31 during the quarter ended September 30, 2018 to 1.22 during the quarter ended September 30, 2019, representing a depreciation of 6.8%.</w:t>
      </w:r>
    </w:p>
    <w:p>
      <w:pPr>
        <w:spacing w:after="0" w:line="69"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September 30, 2019 and September 30, 2018, and the three months ended June 30,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88"/>
              </w:rPr>
              <w:t>Three months ended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ind w:left="600"/>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6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6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19,044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15,249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12,564</w:t>
            </w:r>
          </w:p>
        </w:tc>
        <w:tc>
          <w:tcPr>
            <w:tcW w:w="0" w:type="dxa"/>
            <w:vAlign w:val="bottom"/>
          </w:tcPr>
          <w:p>
            <w:pPr>
              <w:spacing w:after="0"/>
              <w:rPr>
                <w:sz w:val="1"/>
                <w:szCs w:val="1"/>
                <w:color w:val="auto"/>
              </w:rPr>
            </w:pPr>
          </w:p>
        </w:tc>
      </w:tr>
      <w:tr>
        <w:trPr>
          <w:trHeight w:val="224"/>
        </w:trPr>
        <w:tc>
          <w:tcPr>
            <w:tcW w:w="6440" w:type="dxa"/>
            <w:vAlign w:val="bottom"/>
          </w:tcPr>
          <w:p>
            <w:pPr>
              <w:ind w:left="36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47"/>
        </w:trPr>
        <w:tc>
          <w:tcPr>
            <w:tcW w:w="6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subtract: Interest expense, foreign exchange gain, net, loss from equity-method investment</w:t>
            </w: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98"/>
        </w:trPr>
        <w:tc>
          <w:tcPr>
            <w:tcW w:w="644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4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22,422</w:t>
            </w:r>
          </w:p>
        </w:tc>
        <w:tc>
          <w:tcPr>
            <w:tcW w:w="100" w:type="dxa"/>
            <w:vAlign w:val="bottom"/>
          </w:tcPr>
          <w:p>
            <w:pPr>
              <w:spacing w:after="0"/>
              <w:rPr>
                <w:sz w:val="18"/>
                <w:szCs w:val="18"/>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19,674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13,856</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7,155</w:t>
            </w:r>
          </w:p>
        </w:tc>
        <w:tc>
          <w:tcPr>
            <w:tcW w:w="0" w:type="dxa"/>
            <w:vAlign w:val="bottom"/>
          </w:tcPr>
          <w:p>
            <w:pPr>
              <w:spacing w:after="0"/>
              <w:rPr>
                <w:sz w:val="1"/>
                <w:szCs w:val="1"/>
                <w:color w:val="auto"/>
              </w:rPr>
            </w:pPr>
          </w:p>
        </w:tc>
      </w:tr>
      <w:tr>
        <w:trPr>
          <w:trHeight w:val="224"/>
        </w:trPr>
        <w:tc>
          <w:tcPr>
            <w:tcW w:w="6440" w:type="dxa"/>
            <w:vAlign w:val="bottom"/>
          </w:tcPr>
          <w:p>
            <w:pPr>
              <w:ind w:left="36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47"/>
        </w:trPr>
        <w:tc>
          <w:tcPr>
            <w:tcW w:w="6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Impairment and restructuring charges (a)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5,580</w:t>
            </w:r>
          </w:p>
        </w:tc>
        <w:tc>
          <w:tcPr>
            <w:tcW w:w="0" w:type="dxa"/>
            <w:vAlign w:val="bottom"/>
          </w:tcPr>
          <w:p>
            <w:pPr>
              <w:spacing w:after="0"/>
              <w:rPr>
                <w:sz w:val="1"/>
                <w:szCs w:val="1"/>
                <w:color w:val="auto"/>
              </w:rPr>
            </w:pPr>
          </w:p>
        </w:tc>
      </w:tr>
      <w:tr>
        <w:trPr>
          <w:trHeight w:val="224"/>
        </w:trPr>
        <w:tc>
          <w:tcPr>
            <w:tcW w:w="6440" w:type="dxa"/>
            <w:vAlign w:val="bottom"/>
          </w:tcPr>
          <w:p>
            <w:pPr>
              <w:ind w:left="360"/>
              <w:spacing w:after="0"/>
              <w:rPr>
                <w:sz w:val="20"/>
                <w:szCs w:val="20"/>
                <w:color w:val="auto"/>
              </w:rPr>
            </w:pPr>
            <w:r>
              <w:rPr>
                <w:rFonts w:ascii="Arial" w:cs="Arial" w:eastAsia="Arial" w:hAnsi="Arial"/>
                <w:sz w:val="16"/>
                <w:szCs w:val="16"/>
                <w:color w:val="auto"/>
              </w:rPr>
              <w:t>add: Acquisition-related expenses (b)</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35,840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32,145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7,198</w:t>
            </w:r>
          </w:p>
        </w:tc>
        <w:tc>
          <w:tcPr>
            <w:tcW w:w="0" w:type="dxa"/>
            <w:vAlign w:val="bottom"/>
          </w:tcPr>
          <w:p>
            <w:pPr>
              <w:spacing w:after="0"/>
              <w:rPr>
                <w:sz w:val="1"/>
                <w:szCs w:val="1"/>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43,385</w:t>
            </w:r>
          </w:p>
        </w:tc>
        <w:tc>
          <w:tcPr>
            <w:tcW w:w="100" w:type="dxa"/>
            <w:vAlign w:val="bottom"/>
          </w:tcPr>
          <w:p>
            <w:pPr>
              <w:spacing w:after="0"/>
              <w:rPr>
                <w:sz w:val="18"/>
                <w:szCs w:val="18"/>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39,972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39,343</w:t>
            </w:r>
          </w:p>
        </w:tc>
        <w:tc>
          <w:tcPr>
            <w:tcW w:w="0" w:type="dxa"/>
            <w:vAlign w:val="bottom"/>
          </w:tcPr>
          <w:p>
            <w:pPr>
              <w:spacing w:after="0"/>
              <w:rPr>
                <w:sz w:val="1"/>
                <w:szCs w:val="1"/>
                <w:color w:val="auto"/>
              </w:rPr>
            </w:pPr>
          </w:p>
        </w:tc>
      </w:tr>
      <w:tr>
        <w:trPr>
          <w:trHeight w:val="73"/>
        </w:trPr>
        <w:tc>
          <w:tcPr>
            <w:tcW w:w="6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r>
        <w:trPr>
          <w:trHeight w:val="33"/>
        </w:trPr>
        <w:tc>
          <w:tcPr>
            <w:tcW w:w="6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34"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See descriptions above for more information.</w:t>
      </w:r>
    </w:p>
    <w:p>
      <w:pPr>
        <w:sectPr>
          <w:pgSz w:w="11900" w:h="16838" w:orient="portrait"/>
          <w:cols w:equalWidth="0" w:num="1">
            <w:col w:w="11420"/>
          </w:cols>
          <w:pgMar w:left="240" w:top="71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Three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62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19,044</w:t>
            </w:r>
          </w:p>
        </w:tc>
        <w:tc>
          <w:tcPr>
            <w:tcW w:w="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12,564</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7,155</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add: Impairment and restructuring charges (a)</w:t>
            </w:r>
          </w:p>
        </w:tc>
        <w:tc>
          <w:tcPr>
            <w:tcW w:w="3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5,580</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Acquisition-related expenses/(benefits) (b)</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add: Non-cash interest expense related to convertible senior notes (c)</w:t>
            </w:r>
          </w:p>
        </w:tc>
        <w:tc>
          <w:tcPr>
            <w:tcW w:w="3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stock-based compensation expense (d)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impairment and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subtract: Tax impact on acquisition-related expenses/(benefits)</w:t>
            </w:r>
          </w:p>
        </w:tc>
        <w:tc>
          <w:tcPr>
            <w:tcW w:w="3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8"/>
              </w:rPr>
              <w:t>subtract: Tax impact on non-cash interest expense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subtract: Non-recurring tax benefit (e)</w:t>
            </w:r>
          </w:p>
        </w:tc>
        <w:tc>
          <w:tcPr>
            <w:tcW w:w="3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47"/>
        </w:trPr>
        <w:tc>
          <w:tcPr>
            <w:tcW w:w="62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29,257</w:t>
            </w:r>
          </w:p>
        </w:tc>
        <w:tc>
          <w:tcPr>
            <w:tcW w:w="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25,714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0.84</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0.71</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0.74</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21"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and one-time benefits. See descriptions above for more information.</w:t>
      </w:r>
    </w:p>
    <w:p>
      <w:pPr>
        <w:spacing w:after="0" w:line="221"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non-cash interest expense related to convertible senior notes.</w:t>
      </w:r>
    </w:p>
    <w:p>
      <w:pPr>
        <w:spacing w:after="0" w:line="221" w:lineRule="exact"/>
        <w:rPr>
          <w:rFonts w:ascii="Arial" w:cs="Arial" w:eastAsia="Arial" w:hAnsi="Arial"/>
          <w:sz w:val="16"/>
          <w:szCs w:val="16"/>
          <w:i w:val="1"/>
          <w:iCs w:val="1"/>
          <w:color w:val="auto"/>
        </w:rPr>
      </w:pPr>
    </w:p>
    <w:p>
      <w:pPr>
        <w:ind w:left="500" w:hanging="249"/>
        <w:spacing w:after="0" w:line="275" w:lineRule="auto"/>
        <w:tabs>
          <w:tab w:leader="none" w:pos="499"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$21 and $288 during the three months ended September 30, 2019 and 2018 respectively, and $57 during the three months ended June 30, 2019 related to discrete benefit recognized in income tax expense on adoption of ASU No. 2016-09, Compensation - Stock Compensation.</w:t>
      </w:r>
    </w:p>
    <w:p>
      <w:pPr>
        <w:spacing w:after="0" w:line="172"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benefit related to certain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2019-12-28T04:09:39Z</dcterms:created>
  <dcterms:modified xsi:type="dcterms:W3CDTF">2019-12-28T04:09:39Z</dcterms:modified>
</cp:coreProperties>
</file>