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6621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6211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63"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Nicolelli Maurizio</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00" w:type="dxa"/>
            <w:vAlign w:val="bottom"/>
          </w:tcPr>
          <w:p>
            <w:pPr>
              <w:ind w:left="160"/>
              <w:spacing w:after="0"/>
              <w:rPr>
                <w:sz w:val="20"/>
                <w:szCs w:val="20"/>
                <w:color w:val="auto"/>
              </w:rPr>
            </w:pPr>
            <w:r>
              <w:rPr>
                <w:rFonts w:ascii="Arial" w:cs="Arial" w:eastAsia="Arial" w:hAnsi="Arial"/>
                <w:sz w:val="13"/>
                <w:szCs w:val="13"/>
                <w:color w:val="auto"/>
              </w:rPr>
              <w:t>(First)</w:t>
            </w:r>
          </w:p>
        </w:tc>
        <w:tc>
          <w:tcPr>
            <w:tcW w:w="126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EXLSERVICE HOLDINGS INC</w:t>
            </w:r>
          </w:p>
        </w:tc>
        <w:tc>
          <w:tcPr>
            <w:tcW w:w="126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320 PARK AVENUE, 29TH FLOOR</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2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00" w:type="dxa"/>
            <w:vAlign w:val="bottom"/>
          </w:tcPr>
          <w:p>
            <w:pPr>
              <w:ind w:left="160"/>
              <w:spacing w:after="0"/>
              <w:rPr>
                <w:sz w:val="20"/>
                <w:szCs w:val="20"/>
                <w:color w:val="auto"/>
              </w:rPr>
            </w:pPr>
            <w:r>
              <w:rPr>
                <w:rFonts w:ascii="Arial" w:cs="Arial" w:eastAsia="Arial" w:hAnsi="Arial"/>
                <w:sz w:val="13"/>
                <w:szCs w:val="13"/>
                <w:color w:val="auto"/>
              </w:rPr>
              <w:t>(State)</w:t>
            </w:r>
          </w:p>
        </w:tc>
        <w:tc>
          <w:tcPr>
            <w:tcW w:w="126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ExlService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020" w:type="dxa"/>
            <w:vAlign w:val="bottom"/>
            <w:tcBorders>
              <w:top w:val="single" w:sz="8" w:color="0000EE"/>
            </w:tcBorders>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ind w:left="14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tcPr>
          <w:p>
            <w:pPr>
              <w:ind w:left="14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02/17/2024</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Executive Vice President &amp; CFO</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6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02/19/2024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5,460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147,888</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02/19/2024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2,149</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30.57</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145,739</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02/17/2024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8,650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154,389</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02/17/2024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3,404</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30.57</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150,985</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5,460</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02/19/2024</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5,460</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right"/>
              <w:ind w:righ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8,650</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02/17/2024</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8,650</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right"/>
              <w:ind w:right="260"/>
              <w:spacing w:after="0" w:line="143" w:lineRule="exact"/>
              <w:rPr>
                <w:sz w:val="20"/>
                <w:szCs w:val="20"/>
                <w:color w:val="auto"/>
              </w:rPr>
            </w:pPr>
            <w:r>
              <w:rPr>
                <w:rFonts w:ascii="Times New Roman" w:cs="Times New Roman" w:eastAsia="Times New Roman" w:hAnsi="Times New Roman"/>
                <w:sz w:val="13"/>
                <w:szCs w:val="13"/>
                <w:color w:val="0000FF"/>
              </w:rPr>
              <w:t>8,650</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19, 2020, the reporting person was granted 4,365 (pre-split) restricted stock units, vesting in four equal annual installments beginning on the first anniversary of the grant date. 25 percent of the restricted stock units became vested on February 19, 2021, an additional 25 percent of the restricted stock units became vested on February 19, 2022, an additional 25 percent of the restricted stock units became vested on February 19, 2023, and the remaining balance of 25 percent of the restricted stock units became vested on February 19, 2024.</w:t>
      </w:r>
    </w:p>
    <w:p>
      <w:pPr>
        <w:spacing w:after="0" w:line="2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17, 2021, the reporting person was granted 6,920 (pre-split) restricted stock units, vesting in four equal annual installments beginning on the first anniversary of the grant date. 25 percent of the restricted stock units became vested on February 17, 2022, an additional 25 percent of the restricted stock units became vested on February 17, 2023, an additional 25 percent of the restricted stock units became vested on February 17, 2024, and the remaining balance of 25 percent of the restricted stock units will vest on February 17, 2025.</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02/21/2024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6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7265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2024-02-21T19:57:54Z</dcterms:created>
  <dcterms:modified xsi:type="dcterms:W3CDTF">2024-02-21T19:57:54Z</dcterms:modified>
</cp:coreProperties>
</file>