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Saltzman Nancy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EVP &amp; Gen. Counsel/Corp. Sec'y</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4,480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02/22/2018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4,480</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02/22/2028</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4,480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22, 2019. Vesting will be accelerated upon certain termination of employment events and upon a "Change in Control" (as defined in the ExlService Holdings, Inc. 2015 Amendment and Restatement of the 2006 Omnibus Award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80"/>
        <w:spacing w:after="0" w:line="233" w:lineRule="auto"/>
        <w:rPr>
          <w:sz w:val="20"/>
          <w:szCs w:val="20"/>
          <w:color w:val="auto"/>
        </w:rPr>
      </w:pPr>
      <w:r>
        <w:rPr>
          <w:rFonts w:ascii="Arial" w:cs="Arial" w:eastAsia="Arial" w:hAnsi="Arial"/>
          <w:sz w:val="14"/>
          <w:szCs w:val="14"/>
          <w:color w:val="008000"/>
        </w:rPr>
        <w:t>Note: On February 22, 2018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Ayyappan is the Company's Senior Vice President &amp; General Counsel/Corporate Secretary.</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Ajay Ayyappan, Attorney-</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02/21/2019</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45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2019-12-23T21:58:55Z</dcterms:created>
  <dcterms:modified xsi:type="dcterms:W3CDTF">2019-12-23T21:58:55Z</dcterms:modified>
</cp:coreProperties>
</file>