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244215.xml.htm"/>
      <w:bookmarkStart w:id="1" w:name="kswkform4_17092442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Jetley Vivek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and Head of Analytics</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38,316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38,316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in four equal annual installments, beginning on February 27, 2025. Vesting will be accelerated upon certain termination of employment events and upon a "Change in Control" (as defined in the ExlService Holdings, Inc. 2018 Omnibus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Note: On February 27, 2024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Mr. Oseni is the Company's Head of Administration and Accounts.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Lazbart Oseni,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98124" TargetMode="External"/><Relationship Id="rId4" Type="http://schemas.openxmlformats.org/officeDocument/2006/relationships/hyperlink" Target="http://www.sec.gov/cgi-bin/browse-edgar?action=getcompany&amp;CIK=00012979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3802</Characters>
  <CharactersWithSpaces>4432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