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50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5081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AYYAPPAN AJAY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12/13/2022</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54"/>
        <w:spacing w:after="0"/>
        <w:rPr>
          <w:sz w:val="20"/>
          <w:szCs w:val="20"/>
          <w:color w:val="auto"/>
        </w:rPr>
      </w:pPr>
      <w:r>
        <w:rPr>
          <w:rFonts w:ascii="Times New Roman" w:cs="Times New Roman" w:eastAsia="Times New Roman" w:hAnsi="Times New Roman"/>
          <w:sz w:val="17"/>
          <w:szCs w:val="17"/>
          <w:color w:val="0000FF"/>
        </w:rPr>
        <w:t>SVP &amp; Gen Counsel/Corp. Sec'y.</w:t>
      </w:r>
    </w:p>
    <w:p>
      <w:pPr>
        <w:spacing w:after="0" w:line="31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12/13/2022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1,123</w:t>
            </w:r>
          </w:p>
        </w:tc>
        <w:tc>
          <w:tcPr>
            <w:tcW w:w="66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6,877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12/13/2022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734</w:t>
            </w:r>
          </w:p>
        </w:tc>
        <w:tc>
          <w:tcPr>
            <w:tcW w:w="66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179.69</w:t>
            </w: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6,143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0" w:type="dxa"/>
            <w:vAlign w:val="bottom"/>
            <w:gridSpan w:val="10"/>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1,123</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12/13/2022</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2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1,123</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December 13, 2022.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13, 2018, the reporting person was granted 4,492 restricted stock units, 25 percent of the restricted stock units became vested on December 13, 2019, an additional 25 percent of the restricted stock units vested on December 13, 2020, an additional 25 percent of the restricted stock vested on December 13, 2021, and the remaining balance of 25 percent of the restricted stock units vested on December 13, 2022.</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12/15/2022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2022-12-15T16:07:07Z</dcterms:created>
  <dcterms:modified xsi:type="dcterms:W3CDTF">2022-12-15T16:07:07Z</dcterms:modified>
</cp:coreProperties>
</file>