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194" w:lineRule="exact"/>
        <w:rPr>
          <w:sz w:val="24"/>
          <w:szCs w:val="24"/>
          <w:color w:val="auto"/>
        </w:rPr>
      </w:pPr>
    </w:p>
    <w:p>
      <w:pPr>
        <w:ind w:left="326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23"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Date of Report (Date of earliest event reported): February 27, 2020</w:t>
      </w:r>
    </w:p>
    <w:p>
      <w:pPr>
        <w:spacing w:after="0" w:line="8"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EXLSERVICE HOLDINGS, INC.</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345"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400" w:type="dxa"/>
            <w:vAlign w:val="bottom"/>
          </w:tcPr>
          <w:p>
            <w:pPr>
              <w:jc w:val="center"/>
              <w:ind w:left="419"/>
              <w:spacing w:after="0"/>
              <w:rPr>
                <w:sz w:val="20"/>
                <w:szCs w:val="20"/>
                <w:color w:val="auto"/>
              </w:rPr>
            </w:pPr>
            <w:r>
              <w:rPr>
                <w:rFonts w:ascii="Arial" w:cs="Arial" w:eastAsia="Arial" w:hAnsi="Arial"/>
                <w:sz w:val="16"/>
                <w:szCs w:val="16"/>
                <w:b w:val="1"/>
                <w:bCs w:val="1"/>
                <w:color w:val="auto"/>
                <w:w w:val="93"/>
              </w:rPr>
              <w:t>Delaware</w:t>
            </w:r>
          </w:p>
        </w:tc>
        <w:tc>
          <w:tcPr>
            <w:tcW w:w="3700" w:type="dxa"/>
            <w:vAlign w:val="bottom"/>
            <w:gridSpan w:val="2"/>
          </w:tcPr>
          <w:p>
            <w:pPr>
              <w:jc w:val="center"/>
              <w:ind w:left="999"/>
              <w:spacing w:after="0"/>
              <w:rPr>
                <w:sz w:val="20"/>
                <w:szCs w:val="20"/>
                <w:color w:val="auto"/>
              </w:rPr>
            </w:pPr>
            <w:r>
              <w:rPr>
                <w:rFonts w:ascii="Arial" w:cs="Arial" w:eastAsia="Arial" w:hAnsi="Arial"/>
                <w:sz w:val="16"/>
                <w:szCs w:val="16"/>
                <w:b w:val="1"/>
                <w:bCs w:val="1"/>
                <w:color w:val="auto"/>
                <w:w w:val="91"/>
              </w:rPr>
              <w:t>001-33089</w:t>
            </w:r>
          </w:p>
        </w:tc>
        <w:tc>
          <w:tcPr>
            <w:tcW w:w="6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1"/>
              </w:rPr>
              <w:t>82-0572194</w:t>
            </w:r>
          </w:p>
        </w:tc>
      </w:tr>
      <w:tr>
        <w:trPr>
          <w:trHeight w:val="253"/>
        </w:trPr>
        <w:tc>
          <w:tcPr>
            <w:tcW w:w="3400" w:type="dxa"/>
            <w:vAlign w:val="bottom"/>
          </w:tcPr>
          <w:p>
            <w:pPr>
              <w:jc w:val="center"/>
              <w:ind w:left="419"/>
              <w:spacing w:after="0"/>
              <w:rPr>
                <w:sz w:val="20"/>
                <w:szCs w:val="20"/>
                <w:color w:val="auto"/>
              </w:rPr>
            </w:pPr>
            <w:r>
              <w:rPr>
                <w:rFonts w:ascii="Arial" w:cs="Arial" w:eastAsia="Arial" w:hAnsi="Arial"/>
                <w:sz w:val="16"/>
                <w:szCs w:val="16"/>
                <w:color w:val="auto"/>
                <w:w w:val="93"/>
              </w:rPr>
              <w:t>(State or other jurisdiction</w:t>
            </w:r>
          </w:p>
        </w:tc>
        <w:tc>
          <w:tcPr>
            <w:tcW w:w="400" w:type="dxa"/>
            <w:vAlign w:val="bottom"/>
          </w:tcPr>
          <w:p>
            <w:pPr>
              <w:spacing w:after="0"/>
              <w:rPr>
                <w:sz w:val="21"/>
                <w:szCs w:val="21"/>
                <w:color w:val="auto"/>
              </w:rPr>
            </w:pPr>
          </w:p>
        </w:tc>
        <w:tc>
          <w:tcPr>
            <w:tcW w:w="3920" w:type="dxa"/>
            <w:vAlign w:val="bottom"/>
            <w:gridSpan w:val="2"/>
          </w:tcPr>
          <w:p>
            <w:pPr>
              <w:jc w:val="center"/>
              <w:spacing w:after="0"/>
              <w:rPr>
                <w:sz w:val="20"/>
                <w:szCs w:val="20"/>
                <w:color w:val="auto"/>
              </w:rPr>
            </w:pPr>
            <w:r>
              <w:rPr>
                <w:rFonts w:ascii="Arial" w:cs="Arial" w:eastAsia="Arial" w:hAnsi="Arial"/>
                <w:sz w:val="16"/>
                <w:szCs w:val="16"/>
                <w:color w:val="auto"/>
                <w:w w:val="94"/>
              </w:rPr>
              <w:t>(Commission File Number)</w:t>
            </w:r>
          </w:p>
        </w:tc>
        <w:tc>
          <w:tcPr>
            <w:tcW w:w="372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3400" w:type="dxa"/>
            <w:vAlign w:val="bottom"/>
          </w:tcPr>
          <w:p>
            <w:pPr>
              <w:jc w:val="center"/>
              <w:ind w:left="419"/>
              <w:spacing w:after="0"/>
              <w:rPr>
                <w:sz w:val="20"/>
                <w:szCs w:val="20"/>
                <w:color w:val="auto"/>
              </w:rPr>
            </w:pPr>
            <w:r>
              <w:rPr>
                <w:rFonts w:ascii="Arial" w:cs="Arial" w:eastAsia="Arial" w:hAnsi="Arial"/>
                <w:sz w:val="16"/>
                <w:szCs w:val="16"/>
                <w:color w:val="auto"/>
                <w:w w:val="94"/>
              </w:rPr>
              <w:t>of incorporation or organization)</w:t>
            </w:r>
          </w:p>
        </w:tc>
        <w:tc>
          <w:tcPr>
            <w:tcW w:w="4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2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392"/>
        </w:trPr>
        <w:tc>
          <w:tcPr>
            <w:tcW w:w="3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20" w:type="dxa"/>
            <w:vAlign w:val="bottom"/>
            <w:gridSpan w:val="2"/>
          </w:tcPr>
          <w:p>
            <w:pPr>
              <w:ind w:left="760"/>
              <w:spacing w:after="0"/>
              <w:rPr>
                <w:sz w:val="20"/>
                <w:szCs w:val="20"/>
                <w:color w:val="auto"/>
              </w:rPr>
            </w:pPr>
            <w:r>
              <w:rPr>
                <w:rFonts w:ascii="Arial" w:cs="Arial" w:eastAsia="Arial" w:hAnsi="Arial"/>
                <w:sz w:val="16"/>
                <w:szCs w:val="16"/>
                <w:b w:val="1"/>
                <w:bCs w:val="1"/>
                <w:color w:val="auto"/>
              </w:rPr>
              <w:t>320 Park Avenue, 29th Floor,</w:t>
            </w:r>
          </w:p>
        </w:tc>
        <w:tc>
          <w:tcPr>
            <w:tcW w:w="3720" w:type="dxa"/>
            <w:vAlign w:val="bottom"/>
          </w:tcPr>
          <w:p>
            <w:pPr>
              <w:jc w:val="right"/>
              <w:ind w:right="2479"/>
              <w:spacing w:after="0"/>
              <w:rPr>
                <w:sz w:val="20"/>
                <w:szCs w:val="20"/>
                <w:color w:val="auto"/>
              </w:rPr>
            </w:pPr>
            <w:r>
              <w:rPr>
                <w:rFonts w:ascii="Arial" w:cs="Arial" w:eastAsia="Arial" w:hAnsi="Arial"/>
                <w:sz w:val="16"/>
                <w:szCs w:val="16"/>
                <w:b w:val="1"/>
                <w:bCs w:val="1"/>
                <w:color w:val="auto"/>
              </w:rPr>
              <w:t>10022</w:t>
            </w:r>
          </w:p>
        </w:tc>
      </w:tr>
      <w:tr>
        <w:trPr>
          <w:trHeight w:val="270"/>
        </w:trPr>
        <w:tc>
          <w:tcPr>
            <w:tcW w:w="3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New York, New York</w:t>
            </w:r>
          </w:p>
        </w:tc>
        <w:tc>
          <w:tcPr>
            <w:tcW w:w="3720" w:type="dxa"/>
            <w:vAlign w:val="bottom"/>
          </w:tcPr>
          <w:p>
            <w:pPr>
              <w:jc w:val="center"/>
              <w:ind w:right="1719"/>
              <w:spacing w:after="0"/>
              <w:rPr>
                <w:sz w:val="20"/>
                <w:szCs w:val="20"/>
                <w:color w:val="auto"/>
              </w:rPr>
            </w:pPr>
            <w:r>
              <w:rPr>
                <w:rFonts w:ascii="Arial" w:cs="Arial" w:eastAsia="Arial" w:hAnsi="Arial"/>
                <w:sz w:val="16"/>
                <w:szCs w:val="16"/>
                <w:color w:val="auto"/>
                <w:w w:val="94"/>
              </w:rPr>
              <w:t>(Zip code)</w:t>
            </w:r>
          </w:p>
        </w:tc>
      </w:tr>
      <w:tr>
        <w:trPr>
          <w:trHeight w:val="270"/>
        </w:trPr>
        <w:tc>
          <w:tcPr>
            <w:tcW w:w="3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920" w:type="dxa"/>
            <w:vAlign w:val="bottom"/>
            <w:gridSpan w:val="2"/>
          </w:tcPr>
          <w:p>
            <w:pPr>
              <w:ind w:left="880"/>
              <w:spacing w:after="0"/>
              <w:rPr>
                <w:sz w:val="20"/>
                <w:szCs w:val="20"/>
                <w:color w:val="auto"/>
              </w:rPr>
            </w:pPr>
            <w:r>
              <w:rPr>
                <w:rFonts w:ascii="Arial" w:cs="Arial" w:eastAsia="Arial" w:hAnsi="Arial"/>
                <w:sz w:val="16"/>
                <w:szCs w:val="16"/>
                <w:color w:val="auto"/>
              </w:rPr>
              <w:t>(Address of principal executive offices)</w:t>
            </w:r>
          </w:p>
        </w:tc>
        <w:tc>
          <w:tcPr>
            <w:tcW w:w="3720" w:type="dxa"/>
            <w:vAlign w:val="bottom"/>
          </w:tcPr>
          <w:p>
            <w:pPr>
              <w:spacing w:after="0"/>
              <w:rPr>
                <w:sz w:val="23"/>
                <w:szCs w:val="23"/>
                <w:color w:val="auto"/>
              </w:rPr>
            </w:pPr>
          </w:p>
        </w:tc>
      </w:tr>
      <w:tr>
        <w:trPr>
          <w:trHeight w:val="432"/>
        </w:trPr>
        <w:tc>
          <w:tcPr>
            <w:tcW w:w="3400" w:type="dxa"/>
            <w:vAlign w:val="bottom"/>
          </w:tcPr>
          <w:p>
            <w:pPr>
              <w:spacing w:after="0"/>
              <w:rPr>
                <w:sz w:val="24"/>
                <w:szCs w:val="24"/>
                <w:color w:val="auto"/>
              </w:rPr>
            </w:pPr>
          </w:p>
        </w:tc>
        <w:tc>
          <w:tcPr>
            <w:tcW w:w="8040" w:type="dxa"/>
            <w:vAlign w:val="bottom"/>
            <w:gridSpan w:val="4"/>
          </w:tcPr>
          <w:p>
            <w:pPr>
              <w:jc w:val="center"/>
              <w:ind w:right="3339"/>
              <w:spacing w:after="0"/>
              <w:rPr>
                <w:sz w:val="20"/>
                <w:szCs w:val="20"/>
                <w:color w:val="auto"/>
              </w:rPr>
            </w:pPr>
            <w:r>
              <w:rPr>
                <w:rFonts w:ascii="Arial" w:cs="Arial" w:eastAsia="Arial" w:hAnsi="Arial"/>
                <w:sz w:val="16"/>
                <w:szCs w:val="16"/>
                <w:color w:val="auto"/>
                <w:w w:val="92"/>
              </w:rPr>
              <w:t xml:space="preserve">Registrant’s telephone number, including area code: </w:t>
            </w:r>
            <w:r>
              <w:rPr>
                <w:rFonts w:ascii="Arial" w:cs="Arial" w:eastAsia="Arial" w:hAnsi="Arial"/>
                <w:sz w:val="16"/>
                <w:szCs w:val="16"/>
                <w:b w:val="1"/>
                <w:bCs w:val="1"/>
                <w:color w:val="auto"/>
                <w:w w:val="92"/>
              </w:rPr>
              <w:t>(212) 277-7100</w:t>
            </w:r>
          </w:p>
        </w:tc>
      </w:tr>
      <w:tr>
        <w:trPr>
          <w:trHeight w:val="128"/>
        </w:trPr>
        <w:tc>
          <w:tcPr>
            <w:tcW w:w="3400" w:type="dxa"/>
            <w:vAlign w:val="bottom"/>
            <w:tcBorders>
              <w:bottom w:val="single" w:sz="8" w:color="auto"/>
            </w:tcBorders>
          </w:tcPr>
          <w:p>
            <w:pPr>
              <w:spacing w:after="0"/>
              <w:rPr>
                <w:sz w:val="11"/>
                <w:szCs w:val="11"/>
                <w:color w:val="auto"/>
              </w:rPr>
            </w:pPr>
          </w:p>
        </w:tc>
        <w:tc>
          <w:tcPr>
            <w:tcW w:w="4320" w:type="dxa"/>
            <w:vAlign w:val="bottom"/>
            <w:tcBorders>
              <w:bottom w:val="single" w:sz="8" w:color="auto"/>
            </w:tcBorders>
            <w:gridSpan w:val="3"/>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r>
      <w:tr>
        <w:trPr>
          <w:trHeight w:val="217"/>
        </w:trPr>
        <w:tc>
          <w:tcPr>
            <w:tcW w:w="3400" w:type="dxa"/>
            <w:vAlign w:val="bottom"/>
            <w:tcBorders>
              <w:left w:val="single" w:sz="8" w:color="auto"/>
            </w:tcBorders>
          </w:tcPr>
          <w:p>
            <w:pPr>
              <w:spacing w:after="0"/>
              <w:rPr>
                <w:sz w:val="18"/>
                <w:szCs w:val="18"/>
                <w:color w:val="auto"/>
              </w:rPr>
            </w:pPr>
          </w:p>
        </w:tc>
        <w:tc>
          <w:tcPr>
            <w:tcW w:w="4320" w:type="dxa"/>
            <w:vAlign w:val="bottom"/>
            <w:gridSpan w:val="3"/>
          </w:tcPr>
          <w:p>
            <w:pPr>
              <w:jc w:val="center"/>
              <w:ind w:left="23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720" w:type="dxa"/>
            <w:vAlign w:val="bottom"/>
            <w:tcBorders>
              <w:right w:val="single" w:sz="8" w:color="auto"/>
            </w:tcBorders>
          </w:tcPr>
          <w:p>
            <w:pPr>
              <w:spacing w:after="0"/>
              <w:rPr>
                <w:sz w:val="18"/>
                <w:szCs w:val="18"/>
                <w:color w:val="auto"/>
              </w:rPr>
            </w:pPr>
          </w:p>
        </w:tc>
      </w:tr>
      <w:tr>
        <w:trPr>
          <w:trHeight w:val="33"/>
        </w:trPr>
        <w:tc>
          <w:tcPr>
            <w:tcW w:w="34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17"/>
        </w:trPr>
        <w:tc>
          <w:tcPr>
            <w:tcW w:w="3400" w:type="dxa"/>
            <w:vAlign w:val="bottom"/>
            <w:tcBorders>
              <w:left w:val="single" w:sz="8" w:color="auto"/>
            </w:tcBorders>
          </w:tcPr>
          <w:p>
            <w:pPr>
              <w:jc w:val="center"/>
              <w:ind w:left="319"/>
              <w:spacing w:after="0"/>
              <w:rPr>
                <w:sz w:val="20"/>
                <w:szCs w:val="20"/>
                <w:color w:val="auto"/>
              </w:rPr>
            </w:pPr>
            <w:r>
              <w:rPr>
                <w:rFonts w:ascii="Arial" w:cs="Arial" w:eastAsia="Arial" w:hAnsi="Arial"/>
                <w:sz w:val="16"/>
                <w:szCs w:val="16"/>
                <w:b w:val="1"/>
                <w:bCs w:val="1"/>
                <w:color w:val="auto"/>
                <w:w w:val="87"/>
              </w:rPr>
              <w:t>Title of each class</w:t>
            </w:r>
          </w:p>
        </w:tc>
        <w:tc>
          <w:tcPr>
            <w:tcW w:w="40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620" w:type="dxa"/>
            <w:vAlign w:val="bottom"/>
          </w:tcPr>
          <w:p>
            <w:pPr>
              <w:spacing w:after="0"/>
              <w:rPr>
                <w:sz w:val="18"/>
                <w:szCs w:val="18"/>
                <w:color w:val="auto"/>
              </w:rPr>
            </w:pPr>
          </w:p>
        </w:tc>
        <w:tc>
          <w:tcPr>
            <w:tcW w:w="3720" w:type="dxa"/>
            <w:vAlign w:val="bottom"/>
            <w:tcBorders>
              <w:right w:val="single" w:sz="8" w:color="auto"/>
            </w:tcBorders>
          </w:tcPr>
          <w:p>
            <w:pPr>
              <w:jc w:val="center"/>
              <w:ind w:right="5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6"/>
        </w:trPr>
        <w:tc>
          <w:tcPr>
            <w:tcW w:w="340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spacing w:after="0"/>
              <w:rPr>
                <w:sz w:val="20"/>
                <w:szCs w:val="20"/>
                <w:color w:val="auto"/>
              </w:rPr>
            </w:pPr>
          </w:p>
        </w:tc>
      </w:tr>
      <w:tr>
        <w:trPr>
          <w:trHeight w:val="217"/>
        </w:trPr>
        <w:tc>
          <w:tcPr>
            <w:tcW w:w="3400" w:type="dxa"/>
            <w:vAlign w:val="bottom"/>
            <w:tcBorders>
              <w:left w:val="single" w:sz="8" w:color="auto"/>
            </w:tcBorders>
          </w:tcPr>
          <w:p>
            <w:pPr>
              <w:jc w:val="center"/>
              <w:ind w:left="319"/>
              <w:spacing w:after="0"/>
              <w:rPr>
                <w:sz w:val="20"/>
                <w:szCs w:val="20"/>
                <w:color w:val="auto"/>
              </w:rPr>
            </w:pPr>
            <w:r>
              <w:rPr>
                <w:rFonts w:ascii="Arial" w:cs="Arial" w:eastAsia="Arial" w:hAnsi="Arial"/>
                <w:sz w:val="16"/>
                <w:szCs w:val="16"/>
                <w:color w:val="auto"/>
                <w:w w:val="90"/>
              </w:rPr>
              <w:t>Common Stock, $0.001 par value per share</w:t>
            </w:r>
          </w:p>
        </w:tc>
        <w:tc>
          <w:tcPr>
            <w:tcW w:w="40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EXLS</w:t>
            </w:r>
          </w:p>
        </w:tc>
        <w:tc>
          <w:tcPr>
            <w:tcW w:w="620" w:type="dxa"/>
            <w:vAlign w:val="bottom"/>
          </w:tcPr>
          <w:p>
            <w:pPr>
              <w:spacing w:after="0"/>
              <w:rPr>
                <w:sz w:val="18"/>
                <w:szCs w:val="18"/>
                <w:color w:val="auto"/>
              </w:rPr>
            </w:pPr>
          </w:p>
        </w:tc>
        <w:tc>
          <w:tcPr>
            <w:tcW w:w="3720" w:type="dxa"/>
            <w:vAlign w:val="bottom"/>
            <w:tcBorders>
              <w:right w:val="single" w:sz="8" w:color="auto"/>
            </w:tcBorders>
          </w:tcPr>
          <w:p>
            <w:pPr>
              <w:jc w:val="center"/>
              <w:ind w:right="559"/>
              <w:spacing w:after="0"/>
              <w:rPr>
                <w:sz w:val="20"/>
                <w:szCs w:val="20"/>
                <w:color w:val="auto"/>
              </w:rPr>
            </w:pPr>
            <w:r>
              <w:rPr>
                <w:rFonts w:ascii="Arial" w:cs="Arial" w:eastAsia="Arial" w:hAnsi="Arial"/>
                <w:sz w:val="16"/>
                <w:szCs w:val="16"/>
                <w:color w:val="auto"/>
              </w:rPr>
              <w:t>NASDAQ</w:t>
            </w:r>
          </w:p>
        </w:tc>
      </w:tr>
      <w:tr>
        <w:trPr>
          <w:trHeight w:val="33"/>
        </w:trPr>
        <w:tc>
          <w:tcPr>
            <w:tcW w:w="340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321"/>
        </w:trPr>
        <w:tc>
          <w:tcPr>
            <w:tcW w:w="3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NOT APPLICABLE</w:t>
            </w:r>
          </w:p>
        </w:tc>
        <w:tc>
          <w:tcPr>
            <w:tcW w:w="3720" w:type="dxa"/>
            <w:vAlign w:val="bottom"/>
          </w:tcPr>
          <w:p>
            <w:pPr>
              <w:spacing w:after="0"/>
              <w:rPr>
                <w:sz w:val="24"/>
                <w:szCs w:val="24"/>
                <w:color w:val="auto"/>
              </w:rPr>
            </w:pPr>
          </w:p>
        </w:tc>
      </w:tr>
      <w:tr>
        <w:trPr>
          <w:trHeight w:val="201"/>
        </w:trPr>
        <w:tc>
          <w:tcPr>
            <w:tcW w:w="3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(Former name or address, if changed since last report)</w:t>
            </w:r>
          </w:p>
        </w:tc>
        <w:tc>
          <w:tcPr>
            <w:tcW w:w="3720" w:type="dxa"/>
            <w:vAlign w:val="bottom"/>
          </w:tcPr>
          <w:p>
            <w:pPr>
              <w:spacing w:after="0"/>
              <w:rPr>
                <w:sz w:val="17"/>
                <w:szCs w:val="17"/>
                <w:color w:val="auto"/>
              </w:rPr>
            </w:pPr>
          </w:p>
        </w:tc>
      </w:tr>
    </w:tbl>
    <w:p>
      <w:pPr>
        <w:ind w:left="37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below if the Form 8-K filing is intended to simultaneously satisfy the obligation of the registrant under any of the following provisions:</w:t>
      </w:r>
    </w:p>
    <w:p>
      <w:pPr>
        <w:spacing w:after="0" w:line="154"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 pursuant to Rule 425 under the Securities Act (17 CFR 230.425)</w:t>
      </w:r>
    </w:p>
    <w:p>
      <w:pPr>
        <w:spacing w:after="0" w:line="207" w:lineRule="exact"/>
        <w:rPr>
          <w:rFonts w:ascii="MS PGothic" w:cs="MS PGothic" w:eastAsia="MS PGothic" w:hAnsi="MS PGothic"/>
          <w:sz w:val="16"/>
          <w:szCs w:val="16"/>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MS PGothic" w:cs="MS PGothic" w:eastAsia="MS PGothic" w:hAnsi="MS PGothic"/>
          <w:sz w:val="16"/>
          <w:szCs w:val="16"/>
          <w:color w:val="auto"/>
        </w:rPr>
      </w:pPr>
    </w:p>
    <w:p>
      <w:pPr>
        <w:ind w:left="620" w:hanging="585"/>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5"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Emerging growth company</w:t>
      </w:r>
    </w:p>
    <w:p>
      <w:pPr>
        <w:spacing w:after="0" w:line="315" w:lineRule="exact"/>
        <w:rPr>
          <w:rFonts w:ascii="MS PGothic" w:cs="MS PGothic" w:eastAsia="MS PGothic" w:hAnsi="MS PGothic"/>
          <w:sz w:val="16"/>
          <w:szCs w:val="16"/>
          <w:color w:val="auto"/>
        </w:rPr>
      </w:pPr>
    </w:p>
    <w:p>
      <w:pPr>
        <w:ind w:left="620" w:right="180" w:hanging="585"/>
        <w:spacing w:after="0" w:line="293" w:lineRule="auto"/>
        <w:tabs>
          <w:tab w:leader="none" w:pos="6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972"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27, 2020, ExlService Holdings, Inc. (the “Company”) reported its results of operations for the three months and twelve months ended December 31, 2019.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2"/>
          </w:tcPr>
          <w:p>
            <w:pPr>
              <w:ind w:left="660"/>
              <w:spacing w:after="0"/>
              <w:rPr>
                <w:sz w:val="20"/>
                <w:szCs w:val="20"/>
                <w:color w:val="auto"/>
              </w:rPr>
            </w:pPr>
            <w:r>
              <w:rPr>
                <w:rFonts w:ascii="Arial" w:cs="Arial" w:eastAsia="Arial" w:hAnsi="Arial"/>
                <w:sz w:val="18"/>
                <w:szCs w:val="18"/>
                <w:color w:val="auto"/>
              </w:rPr>
              <w:t>(d) Exhibits</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80" w:type="dxa"/>
            <w:vAlign w:val="bottom"/>
          </w:tcPr>
          <w:p>
            <w:pPr>
              <w:spacing w:after="0"/>
              <w:rPr>
                <w:sz w:val="20"/>
                <w:szCs w:val="20"/>
                <w:color w:val="auto"/>
              </w:rPr>
            </w:pPr>
          </w:p>
        </w:tc>
      </w:tr>
      <w:tr>
        <w:trPr>
          <w:trHeight w:val="392"/>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52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43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Press Release, dated February 27, 2020 (furnished pursuant to Item 2.02).</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180" w:type="dxa"/>
            <w:vAlign w:val="bottom"/>
          </w:tcPr>
          <w:p>
            <w:pPr>
              <w:spacing w:after="0"/>
              <w:rPr>
                <w:sz w:val="20"/>
                <w:szCs w:val="20"/>
                <w:color w:val="auto"/>
              </w:rPr>
            </w:pPr>
          </w:p>
        </w:tc>
        <w:tc>
          <w:tcPr>
            <w:tcW w:w="8520" w:type="dxa"/>
            <w:vAlign w:val="bottom"/>
            <w:gridSpan w:val="3"/>
          </w:tcPr>
          <w:p>
            <w:pPr>
              <w:ind w:left="540"/>
              <w:spacing w:after="0"/>
              <w:rPr>
                <w:sz w:val="20"/>
                <w:szCs w:val="20"/>
                <w:color w:val="auto"/>
              </w:rPr>
            </w:pPr>
            <w:r>
              <w:rPr>
                <w:rFonts w:ascii="Arial" w:cs="Arial" w:eastAsia="Arial" w:hAnsi="Arial"/>
                <w:sz w:val="18"/>
                <w:szCs w:val="18"/>
                <w:color w:val="auto"/>
                <w:w w:val="91"/>
              </w:rPr>
              <w:t>Cover Page Interactive Data File (the cover page XBRL tags are embedded within the inline XBRL document)</w:t>
            </w:r>
          </w:p>
        </w:tc>
      </w:tr>
    </w:tbl>
    <w:p>
      <w:pPr>
        <w:sectPr>
          <w:pgSz w:w="11900" w:h="16838" w:orient="portrait"/>
          <w:cols w:equalWidth="0" w:num="1">
            <w:col w:w="11420"/>
          </w:cols>
          <w:pgMar w:left="240" w:top="60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400" w:type="dxa"/>
            <w:vAlign w:val="bottom"/>
          </w:tcPr>
          <w:p>
            <w:pPr>
              <w:spacing w:after="0"/>
              <w:rPr>
                <w:sz w:val="19"/>
                <w:szCs w:val="19"/>
                <w:color w:val="auto"/>
              </w:rPr>
            </w:pPr>
          </w:p>
        </w:tc>
        <w:tc>
          <w:tcPr>
            <w:tcW w:w="7980" w:type="dxa"/>
            <w:vAlign w:val="bottom"/>
            <w:gridSpan w:val="2"/>
          </w:tcPr>
          <w:p>
            <w:pPr>
              <w:ind w:left="16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400" w:type="dxa"/>
            <w:vAlign w:val="bottom"/>
          </w:tcPr>
          <w:p>
            <w:pPr>
              <w:spacing w:after="0"/>
              <w:rPr>
                <w:sz w:val="20"/>
                <w:szCs w:val="20"/>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400" w:type="dxa"/>
            <w:vAlign w:val="bottom"/>
          </w:tcPr>
          <w:p>
            <w:pPr>
              <w:spacing w:after="0"/>
              <w:rPr>
                <w:sz w:val="20"/>
                <w:szCs w:val="20"/>
                <w:color w:val="auto"/>
              </w:rPr>
            </w:pPr>
            <w:r>
              <w:rPr>
                <w:rFonts w:ascii="Arial" w:cs="Arial" w:eastAsia="Arial" w:hAnsi="Arial"/>
                <w:sz w:val="18"/>
                <w:szCs w:val="18"/>
                <w:color w:val="auto"/>
              </w:rPr>
              <w:t>Date: February 27, 2020</w:t>
            </w:r>
          </w:p>
        </w:tc>
        <w:tc>
          <w:tcPr>
            <w:tcW w:w="2960" w:type="dxa"/>
            <w:vAlign w:val="bottom"/>
          </w:tcPr>
          <w:p>
            <w:pPr>
              <w:ind w:left="162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Ajay Ayyappan</w:t>
            </w:r>
          </w:p>
        </w:tc>
      </w:tr>
      <w:tr>
        <w:trPr>
          <w:trHeight w:val="41"/>
        </w:trPr>
        <w:tc>
          <w:tcPr>
            <w:tcW w:w="3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400" w:type="dxa"/>
            <w:vAlign w:val="bottom"/>
          </w:tcPr>
          <w:p>
            <w:pPr>
              <w:spacing w:after="0"/>
              <w:rPr>
                <w:sz w:val="21"/>
                <w:szCs w:val="21"/>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Ajay Ayyappan</w:t>
            </w:r>
          </w:p>
        </w:tc>
      </w:tr>
      <w:tr>
        <w:trPr>
          <w:trHeight w:val="270"/>
        </w:trPr>
        <w:tc>
          <w:tcPr>
            <w:tcW w:w="3400" w:type="dxa"/>
            <w:vAlign w:val="bottom"/>
          </w:tcPr>
          <w:p>
            <w:pPr>
              <w:spacing w:after="0"/>
              <w:rPr>
                <w:sz w:val="23"/>
                <w:szCs w:val="23"/>
                <w:color w:val="auto"/>
              </w:rPr>
            </w:pPr>
          </w:p>
        </w:tc>
        <w:tc>
          <w:tcPr>
            <w:tcW w:w="2960" w:type="dxa"/>
            <w:vAlign w:val="bottom"/>
          </w:tcPr>
          <w:p>
            <w:pPr>
              <w:ind w:left="162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420"/>
          </w:cols>
          <w:pgMar w:left="240" w:top="594"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2"/>
          </w:tcPr>
          <w:p>
            <w:pPr>
              <w:ind w:left="2280"/>
              <w:spacing w:after="0"/>
              <w:rPr>
                <w:sz w:val="20"/>
                <w:szCs w:val="20"/>
                <w:color w:val="auto"/>
              </w:rPr>
            </w:pPr>
            <w:r>
              <w:rPr>
                <w:rFonts w:ascii="Arial" w:cs="Arial" w:eastAsia="Arial" w:hAnsi="Arial"/>
                <w:sz w:val="22"/>
                <w:szCs w:val="22"/>
                <w:b w:val="1"/>
                <w:bCs w:val="1"/>
                <w:color w:val="auto"/>
              </w:rPr>
              <w:t>EXHIBIT INDEX</w:t>
            </w:r>
          </w:p>
        </w:tc>
      </w:tr>
      <w:tr>
        <w:trPr>
          <w:trHeight w:val="422"/>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358"/>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00" w:type="dxa"/>
            <w:vAlign w:val="bottom"/>
            <w:gridSpan w:val="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Press Release, dated February 27, 2020 (furnished pursuant to Item 2.02)</w:t>
              </w:r>
            </w:hyperlink>
            <w:r>
              <w:rPr>
                <w:rFonts w:ascii="Arial" w:cs="Arial" w:eastAsia="Arial" w:hAnsi="Arial"/>
                <w:sz w:val="18"/>
                <w:szCs w:val="18"/>
                <w:color w:val="000000"/>
                <w:w w:val="88"/>
              </w:rPr>
              <w:t>.</w:t>
            </w:r>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219"/>
          </w:cols>
          <w:pgMar w:left="240" w:top="598" w:right="1440"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2019 FOURTH QUARTER AND FULL YEAR RESULTS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980"/>
        <w:spacing w:after="0"/>
        <w:rPr>
          <w:sz w:val="20"/>
          <w:szCs w:val="20"/>
          <w:color w:val="auto"/>
        </w:rPr>
      </w:pPr>
      <w:r>
        <w:rPr>
          <w:rFonts w:ascii="Arial" w:cs="Arial" w:eastAsia="Arial" w:hAnsi="Arial"/>
          <w:sz w:val="18"/>
          <w:szCs w:val="18"/>
          <w:b w:val="1"/>
          <w:bCs w:val="1"/>
          <w:i w:val="1"/>
          <w:iCs w:val="1"/>
          <w:color w:val="auto"/>
        </w:rPr>
        <w:t>2019 Fourth Quarter Revenues of $256.9 Million, up 9.4% year-over-year</w:t>
      </w:r>
    </w:p>
    <w:p>
      <w:pPr>
        <w:ind w:left="3240"/>
        <w:spacing w:after="0" w:line="235" w:lineRule="auto"/>
        <w:rPr>
          <w:sz w:val="20"/>
          <w:szCs w:val="20"/>
          <w:color w:val="auto"/>
        </w:rPr>
      </w:pPr>
      <w:r>
        <w:rPr>
          <w:rFonts w:ascii="Arial" w:cs="Arial" w:eastAsia="Arial" w:hAnsi="Arial"/>
          <w:sz w:val="18"/>
          <w:szCs w:val="18"/>
          <w:b w:val="1"/>
          <w:bCs w:val="1"/>
          <w:i w:val="1"/>
          <w:iCs w:val="1"/>
          <w:color w:val="auto"/>
        </w:rPr>
        <w:t>Q4 Diluted EPS (GAAP) of $0.62</w:t>
      </w:r>
      <w:r>
        <w:rPr>
          <w:rFonts w:ascii="Arial" w:cs="Arial" w:eastAsia="Arial" w:hAnsi="Arial"/>
          <w:sz w:val="25"/>
          <w:szCs w:val="25"/>
          <w:b w:val="1"/>
          <w:bCs w:val="1"/>
          <w:i w:val="1"/>
          <w:iCs w:val="1"/>
          <w:color w:val="auto"/>
          <w:vertAlign w:val="superscript"/>
        </w:rPr>
        <w:t>(1)</w:t>
      </w:r>
      <w:r>
        <w:rPr>
          <w:rFonts w:ascii="Arial" w:cs="Arial" w:eastAsia="Arial" w:hAnsi="Arial"/>
          <w:sz w:val="18"/>
          <w:szCs w:val="18"/>
          <w:b w:val="1"/>
          <w:bCs w:val="1"/>
          <w:i w:val="1"/>
          <w:iCs w:val="1"/>
          <w:color w:val="auto"/>
        </w:rPr>
        <w:t>, up from $0.11</w:t>
      </w:r>
      <w:r>
        <w:rPr>
          <w:rFonts w:ascii="Arial" w:cs="Arial" w:eastAsia="Arial" w:hAnsi="Arial"/>
          <w:sz w:val="25"/>
          <w:szCs w:val="25"/>
          <w:b w:val="1"/>
          <w:bCs w:val="1"/>
          <w:i w:val="1"/>
          <w:iCs w:val="1"/>
          <w:color w:val="auto"/>
          <w:vertAlign w:val="superscript"/>
        </w:rPr>
        <w:t>(1)</w:t>
      </w:r>
      <w:r>
        <w:rPr>
          <w:rFonts w:ascii="Arial" w:cs="Arial" w:eastAsia="Arial" w:hAnsi="Arial"/>
          <w:sz w:val="18"/>
          <w:szCs w:val="18"/>
          <w:b w:val="1"/>
          <w:bCs w:val="1"/>
          <w:i w:val="1"/>
          <w:iCs w:val="1"/>
          <w:color w:val="auto"/>
        </w:rPr>
        <w:t xml:space="preserve"> in Q4 of 2018</w:t>
      </w:r>
    </w:p>
    <w:p>
      <w:pPr>
        <w:jc w:val="center"/>
        <w:spacing w:after="0"/>
        <w:rPr>
          <w:sz w:val="20"/>
          <w:szCs w:val="20"/>
          <w:color w:val="auto"/>
        </w:rPr>
      </w:pPr>
      <w:r>
        <w:rPr>
          <w:rFonts w:ascii="Arial" w:cs="Arial" w:eastAsia="Arial" w:hAnsi="Arial"/>
          <w:sz w:val="18"/>
          <w:szCs w:val="18"/>
          <w:b w:val="1"/>
          <w:bCs w:val="1"/>
          <w:i w:val="1"/>
          <w:iCs w:val="1"/>
          <w:color w:val="auto"/>
        </w:rPr>
        <w:t>Q4 Adjusted Diluted EPS (Non-GAAP) of $0.79, up from $0.74 in Q4 of 2018</w:t>
      </w:r>
    </w:p>
    <w:p>
      <w:pPr>
        <w:spacing w:after="0" w:line="263" w:lineRule="exact"/>
        <w:rPr>
          <w:sz w:val="20"/>
          <w:szCs w:val="20"/>
          <w:color w:val="auto"/>
        </w:rPr>
      </w:pPr>
    </w:p>
    <w:p>
      <w:pPr>
        <w:ind w:left="3540"/>
        <w:spacing w:after="0"/>
        <w:rPr>
          <w:sz w:val="20"/>
          <w:szCs w:val="20"/>
          <w:color w:val="auto"/>
        </w:rPr>
      </w:pPr>
      <w:r>
        <w:rPr>
          <w:rFonts w:ascii="Arial" w:cs="Arial" w:eastAsia="Arial" w:hAnsi="Arial"/>
          <w:sz w:val="18"/>
          <w:szCs w:val="18"/>
          <w:b w:val="1"/>
          <w:bCs w:val="1"/>
          <w:i w:val="1"/>
          <w:iCs w:val="1"/>
          <w:color w:val="auto"/>
        </w:rPr>
        <w:t>2019 Revenues of $991.3 Million, up 12.3% year-over-year</w:t>
      </w:r>
    </w:p>
    <w:p>
      <w:pPr>
        <w:ind w:left="3380"/>
        <w:spacing w:after="0" w:line="235" w:lineRule="auto"/>
        <w:rPr>
          <w:sz w:val="20"/>
          <w:szCs w:val="20"/>
          <w:color w:val="auto"/>
        </w:rPr>
      </w:pPr>
      <w:r>
        <w:rPr>
          <w:rFonts w:ascii="Arial" w:cs="Arial" w:eastAsia="Arial" w:hAnsi="Arial"/>
          <w:sz w:val="18"/>
          <w:szCs w:val="18"/>
          <w:b w:val="1"/>
          <w:bCs w:val="1"/>
          <w:i w:val="1"/>
          <w:iCs w:val="1"/>
          <w:color w:val="auto"/>
        </w:rPr>
        <w:t>2019 Diluted EPS (GAAP) of $1.95</w:t>
      </w:r>
      <w:r>
        <w:rPr>
          <w:rFonts w:ascii="Arial" w:cs="Arial" w:eastAsia="Arial" w:hAnsi="Arial"/>
          <w:sz w:val="25"/>
          <w:szCs w:val="25"/>
          <w:b w:val="1"/>
          <w:bCs w:val="1"/>
          <w:i w:val="1"/>
          <w:iCs w:val="1"/>
          <w:color w:val="auto"/>
          <w:vertAlign w:val="superscript"/>
        </w:rPr>
        <w:t>(1)</w:t>
      </w:r>
      <w:r>
        <w:rPr>
          <w:rFonts w:ascii="Arial" w:cs="Arial" w:eastAsia="Arial" w:hAnsi="Arial"/>
          <w:sz w:val="18"/>
          <w:szCs w:val="18"/>
          <w:b w:val="1"/>
          <w:bCs w:val="1"/>
          <w:i w:val="1"/>
          <w:iCs w:val="1"/>
          <w:color w:val="auto"/>
        </w:rPr>
        <w:t>, up from $1.62</w:t>
      </w:r>
      <w:r>
        <w:rPr>
          <w:rFonts w:ascii="Arial" w:cs="Arial" w:eastAsia="Arial" w:hAnsi="Arial"/>
          <w:sz w:val="25"/>
          <w:szCs w:val="25"/>
          <w:b w:val="1"/>
          <w:bCs w:val="1"/>
          <w:i w:val="1"/>
          <w:iCs w:val="1"/>
          <w:color w:val="auto"/>
          <w:vertAlign w:val="superscript"/>
        </w:rPr>
        <w:t>(1)</w:t>
      </w:r>
      <w:r>
        <w:rPr>
          <w:rFonts w:ascii="Arial" w:cs="Arial" w:eastAsia="Arial" w:hAnsi="Arial"/>
          <w:sz w:val="18"/>
          <w:szCs w:val="18"/>
          <w:b w:val="1"/>
          <w:bCs w:val="1"/>
          <w:i w:val="1"/>
          <w:iCs w:val="1"/>
          <w:color w:val="auto"/>
        </w:rPr>
        <w:t xml:space="preserve"> in 2018</w:t>
      </w:r>
    </w:p>
    <w:p>
      <w:pPr>
        <w:jc w:val="center"/>
        <w:spacing w:after="0"/>
        <w:rPr>
          <w:sz w:val="20"/>
          <w:szCs w:val="20"/>
          <w:color w:val="auto"/>
        </w:rPr>
      </w:pPr>
      <w:r>
        <w:rPr>
          <w:rFonts w:ascii="Arial" w:cs="Arial" w:eastAsia="Arial" w:hAnsi="Arial"/>
          <w:sz w:val="18"/>
          <w:szCs w:val="18"/>
          <w:b w:val="1"/>
          <w:bCs w:val="1"/>
          <w:i w:val="1"/>
          <w:iCs w:val="1"/>
          <w:color w:val="auto"/>
        </w:rPr>
        <w:t>2019 Adjusted Diluted EPS (Non-GAAP) of $3.09, up from $2.77 in 2018</w:t>
      </w:r>
    </w:p>
    <w:p>
      <w:pPr>
        <w:spacing w:after="0" w:line="200" w:lineRule="exact"/>
        <w:rPr>
          <w:sz w:val="20"/>
          <w:szCs w:val="20"/>
          <w:color w:val="auto"/>
        </w:rPr>
      </w:pPr>
    </w:p>
    <w:p>
      <w:pPr>
        <w:spacing w:after="0" w:line="333"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February 27, 2020 - ExlService Holdings, Inc. (NASDAQ: EXLS), a leading operations management and analytics company, today announced its financial results for the quarter and full year ended December 31, 2019.</w:t>
      </w:r>
    </w:p>
    <w:p>
      <w:pPr>
        <w:spacing w:after="0" w:line="211"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Rohit Kapoor, Vice Chairman and Chief Executive Officer, said, “I am pleased with our performance in 2019. We grew our Analytics business by 25.3% with a 13.5% growth in organic revenue. Our operations management businesses grew nicely at 6.1% year-over-year and in the second half of the year our growth accelerated to more than 10%. This was driven by double-digit growth in the Insurance and Healthcare verticals.</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“Our success is a result of our ability to deliver tangible business outcomes for our clients as their strategic digital transformation partner. Our ability to combine deep domain expertise, data, analytics and digital technologies to orchestrate solutions for business problems has positioned us as a market leader and a partner of choice. Our pipeline remains strong and we look forward to the continued growth in 2020.”</w:t>
      </w:r>
    </w:p>
    <w:p>
      <w:pPr>
        <w:spacing w:after="0" w:line="222"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Maurizio Nicolelli, Chief Financial Officer, said, “We ended 2019 with strong momentum in our business and a very healthy balance sheet. For 2019, we generated $168.4 million in cash flow from operations and ended the year with $321.4 million in cash and short-term investments while total borrowings were $249.9 million, for a net cash position of $71.5 million. Our initial 2020 guidance reflects our desire to drive shareholder return through revenue growth in the mid-to-high single digits on a constant currency basis and adjusted diluted EPS growth of 11% to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2"/>
          <w:szCs w:val="12"/>
          <w:color w:val="auto"/>
        </w:rPr>
        <w:t>Refer to Financial Highlights for details.</w:t>
      </w:r>
    </w:p>
    <w:p>
      <w:pPr>
        <w:sectPr>
          <w:pgSz w:w="11900" w:h="16838" w:orient="portrait"/>
          <w:cols w:equalWidth="0" w:num="1">
            <w:col w:w="11420"/>
          </w:cols>
          <w:pgMar w:left="240" w:top="67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Highlights: Fourth Quarter 2019</w:t>
      </w:r>
    </w:p>
    <w:p>
      <w:pPr>
        <w:spacing w:after="0" w:line="175" w:lineRule="exact"/>
        <w:rPr>
          <w:sz w:val="20"/>
          <w:szCs w:val="20"/>
          <w:color w:val="auto"/>
        </w:rPr>
      </w:pPr>
    </w:p>
    <w:p>
      <w:pPr>
        <w:jc w:val="both"/>
        <w:spacing w:after="0" w:line="373" w:lineRule="auto"/>
        <w:rPr>
          <w:sz w:val="20"/>
          <w:szCs w:val="20"/>
          <w:color w:val="auto"/>
        </w:rPr>
      </w:pPr>
      <w:r>
        <w:rPr>
          <w:rFonts w:ascii="Arial" w:cs="Arial" w:eastAsia="Arial" w:hAnsi="Arial"/>
          <w:sz w:val="18"/>
          <w:szCs w:val="18"/>
          <w:i w:val="1"/>
          <w:iCs w:val="1"/>
          <w:color w:val="auto"/>
        </w:rPr>
        <w:t>We have six reportable segments: Insurance, Healthcare, Travel, Transportation &amp; Logistics, Finance &amp; Accounting, All Other (consisting of our Banking &amp; Financial Services, Utilities and Consulting operating segments) and Analytics. Reconciliations of adjusted (non-GAAP) financial measures to GAAP measures are included at the end of this release.</w:t>
      </w:r>
    </w:p>
    <w:p>
      <w:pPr>
        <w:spacing w:after="0" w:line="358" w:lineRule="exact"/>
        <w:rPr>
          <w:sz w:val="20"/>
          <w:szCs w:val="20"/>
          <w:color w:val="auto"/>
        </w:rPr>
      </w:pPr>
    </w:p>
    <w:p>
      <w:pPr>
        <w:jc w:val="both"/>
        <w:ind w:left="660" w:hanging="328"/>
        <w:spacing w:after="0" w:line="31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December 31, 2019 increased to $256.9 million compared to $234.9 million for the fourth quarter of 2018, an increase of 9.4% on a reported basis and 9.3% on a constant currency basis from the fourth quarter of 2018, as well as an increase of 2.2% sequentially on a reported basis and 2.0% on a constant currency basis, from the third quarter of 2019.</w:t>
      </w:r>
    </w:p>
    <w:p>
      <w:pPr>
        <w:spacing w:after="0" w:line="114"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Revenues</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Gross Margin</w:t>
            </w:r>
          </w:p>
        </w:tc>
        <w:tc>
          <w:tcPr>
            <w:tcW w:w="82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7"/>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0"/>
              </w:rPr>
              <w:t>Three months ended</w:t>
            </w:r>
          </w:p>
        </w:tc>
        <w:tc>
          <w:tcPr>
            <w:tcW w:w="2320" w:type="dxa"/>
            <w:vAlign w:val="bottom"/>
            <w:gridSpan w:val="5"/>
          </w:tcPr>
          <w:p>
            <w:pPr>
              <w:jc w:val="center"/>
              <w:ind w:left="739"/>
              <w:spacing w:after="0"/>
              <w:rPr>
                <w:sz w:val="20"/>
                <w:szCs w:val="20"/>
                <w:color w:val="auto"/>
              </w:rPr>
            </w:pPr>
            <w:r>
              <w:rPr>
                <w:rFonts w:ascii="Arial" w:cs="Arial" w:eastAsia="Arial" w:hAnsi="Arial"/>
                <w:sz w:val="16"/>
                <w:szCs w:val="16"/>
                <w:b w:val="1"/>
                <w:bCs w:val="1"/>
                <w:color w:val="auto"/>
                <w:w w:val="90"/>
              </w:rPr>
              <w:t>Three months ended</w:t>
            </w:r>
          </w:p>
        </w:tc>
        <w:tc>
          <w:tcPr>
            <w:tcW w:w="820" w:type="dxa"/>
            <w:vAlign w:val="bottom"/>
          </w:tcPr>
          <w:p>
            <w:pPr>
              <w:spacing w:after="0"/>
              <w:rPr>
                <w:sz w:val="18"/>
                <w:szCs w:val="18"/>
                <w:color w:val="auto"/>
              </w:rPr>
            </w:pP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 31,</w:t>
            </w: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Dec 31,</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 30,</w:t>
            </w:r>
          </w:p>
        </w:tc>
        <w:tc>
          <w:tcPr>
            <w:tcW w:w="1080" w:type="dxa"/>
            <w:vAlign w:val="bottom"/>
            <w:gridSpan w:val="2"/>
          </w:tcPr>
          <w:p>
            <w:pPr>
              <w:ind w:left="240"/>
              <w:spacing w:after="0"/>
              <w:rPr>
                <w:sz w:val="20"/>
                <w:szCs w:val="20"/>
                <w:color w:val="auto"/>
              </w:rPr>
            </w:pPr>
            <w:r>
              <w:rPr>
                <w:rFonts w:ascii="Arial" w:cs="Arial" w:eastAsia="Arial" w:hAnsi="Arial"/>
                <w:sz w:val="16"/>
                <w:szCs w:val="16"/>
                <w:b w:val="1"/>
                <w:bCs w:val="1"/>
                <w:color w:val="auto"/>
              </w:rPr>
              <w:t>Dec 31,</w:t>
            </w:r>
          </w:p>
        </w:tc>
        <w:tc>
          <w:tcPr>
            <w:tcW w:w="12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Dec 31,</w:t>
            </w:r>
          </w:p>
        </w:tc>
        <w:tc>
          <w:tcPr>
            <w:tcW w:w="820" w:type="dxa"/>
            <w:vAlign w:val="bottom"/>
          </w:tcPr>
          <w:p>
            <w:pPr>
              <w:ind w:left="40"/>
              <w:spacing w:after="0"/>
              <w:rPr>
                <w:sz w:val="20"/>
                <w:szCs w:val="20"/>
                <w:color w:val="auto"/>
              </w:rPr>
            </w:pPr>
            <w:r>
              <w:rPr>
                <w:rFonts w:ascii="Arial" w:cs="Arial" w:eastAsia="Arial" w:hAnsi="Arial"/>
                <w:sz w:val="16"/>
                <w:szCs w:val="16"/>
                <w:b w:val="1"/>
                <w:bCs w:val="1"/>
                <w:color w:val="auto"/>
              </w:rPr>
              <w:t>Sept 30,</w:t>
            </w: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40" w:type="dxa"/>
            <w:vAlign w:val="bottom"/>
          </w:tcPr>
          <w:p>
            <w:pPr>
              <w:spacing w:after="0"/>
              <w:rPr>
                <w:sz w:val="23"/>
                <w:szCs w:val="23"/>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3"/>
                <w:szCs w:val="23"/>
                <w:color w:val="auto"/>
              </w:rPr>
            </w:pP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6"/>
                <w:szCs w:val="16"/>
                <w:b w:val="1"/>
                <w:bCs w:val="1"/>
                <w:color w:val="auto"/>
              </w:rPr>
              <w:t>2019</w:t>
            </w:r>
          </w:p>
        </w:tc>
      </w:tr>
      <w:tr>
        <w:trPr>
          <w:trHeight w:val="33"/>
        </w:trPr>
        <w:tc>
          <w:tcPr>
            <w:tcW w:w="3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6"/>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6"/>
          </w:tcPr>
          <w:p>
            <w:pPr>
              <w:jc w:val="center"/>
              <w:ind w:left="539"/>
              <w:spacing w:after="0"/>
              <w:rPr>
                <w:sz w:val="20"/>
                <w:szCs w:val="20"/>
                <w:color w:val="auto"/>
              </w:rPr>
            </w:pPr>
            <w:r>
              <w:rPr>
                <w:rFonts w:ascii="Arial" w:cs="Arial" w:eastAsia="Arial" w:hAnsi="Arial"/>
                <w:sz w:val="16"/>
                <w:szCs w:val="16"/>
                <w:b w:val="1"/>
                <w:bCs w:val="1"/>
                <w:color w:val="auto"/>
                <w:w w:val="92"/>
              </w:rPr>
              <w:t>(dollars in millions)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0"/>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Insurance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31.4%</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ind w:left="340"/>
              <w:spacing w:after="0"/>
              <w:rPr>
                <w:sz w:val="20"/>
                <w:szCs w:val="20"/>
                <w:color w:val="auto"/>
              </w:rPr>
            </w:pPr>
            <w:r>
              <w:rPr>
                <w:rFonts w:ascii="Arial" w:cs="Arial" w:eastAsia="Arial" w:hAnsi="Arial"/>
                <w:sz w:val="16"/>
                <w:szCs w:val="16"/>
                <w:color w:val="auto"/>
              </w:rPr>
              <w:t>33.7%</w:t>
            </w: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Healthcare</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19.1%</w:t>
            </w:r>
          </w:p>
        </w:tc>
      </w:tr>
      <w:tr>
        <w:trPr>
          <w:trHeight w:val="237"/>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Travel, Transportation &amp; Logistics</w:t>
            </w: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43.2%</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40.6%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6"/>
                <w:szCs w:val="16"/>
                <w:color w:val="auto"/>
              </w:rPr>
              <w:t>42.2%</w:t>
            </w: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Finance &amp; Accounting</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37.3%</w:t>
            </w:r>
          </w:p>
        </w:tc>
      </w:tr>
      <w:tr>
        <w:trPr>
          <w:trHeight w:val="237"/>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All Other</w:t>
            </w: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35.1%</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32.5%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6"/>
                <w:szCs w:val="16"/>
                <w:color w:val="auto"/>
              </w:rPr>
              <w:t>29.1%</w:t>
            </w:r>
          </w:p>
        </w:tc>
      </w:tr>
      <w:tr>
        <w:trPr>
          <w:trHeight w:val="3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Analytics</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6"/>
              </w:rPr>
              <w:t>36.8%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34.8%</w:t>
            </w:r>
          </w:p>
        </w:tc>
      </w:tr>
      <w:tr>
        <w:trPr>
          <w:trHeight w:val="244"/>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Total revenues,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256.9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234.9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251.4</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b w:val="1"/>
                <w:bCs w:val="1"/>
                <w:color w:val="auto"/>
                <w:w w:val="96"/>
              </w:rPr>
              <w:t>34.5%</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6"/>
                <w:szCs w:val="16"/>
                <w:b w:val="1"/>
                <w:bCs w:val="1"/>
                <w:color w:val="auto"/>
                <w:w w:val="96"/>
              </w:rPr>
              <w:t>34.0%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33.4%</w:t>
            </w: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left="660" w:hanging="328"/>
        <w:spacing w:after="0" w:line="32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income margin for the quarter ended December 31, 2019 was 9.1%, compared to an operating loss margin of 0.9% for the fourth quarter of 2018 and operating income margin of 8.9% for the third quarter of 2019. During the quarters ended December 31, 2019 and 2018 and September 30, 2019, we recorded impairment and restructuring charges of $1.4 million, $20.1 million and $0.5 million, respectively, related to the wind down of the Health Integrated business, which reduced our operating income margin by approximately 50 basis points, 850 basis points and 20 basis points, respectively. The wind down of the Health Integrated business was substantially completed on December 31, 2019 and we do not expect to incur impairment and restructuring charges in 2020. Adjusted operating income margin for the quarter ended December 31, 2019 was 13.3% compared to 13.1% for the fourth quarter of 2018 and 14.3% for the third quarter of 2019.</w:t>
      </w:r>
    </w:p>
    <w:p>
      <w:pPr>
        <w:spacing w:after="0" w:line="176"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quarter ended December 31, 2019 was $0.62 compared to $0.11 for the fourth quarter of 2018 and $0.55 for the third quarter of 2019. During the quarters ended December 31, 2019 and 2018 and September 30, 2019, we recorded impairment and restructuring charges of $1.4 million ($1.0 million net of tax), $20.1 million ($17.0 million net of tax) and $0.5 million ($0.4 million net of tax), respectively, related to the wind down of the Health Integrated business, which reduced our diluted earnings per share by $0.03, $0.49 and $0.01, respectively. Adjusted diluted earnings per share for the quarter ended December 31, 2019 was $0.79 compared to $0.74 for the fourth quarter of 2018 and $0.84 for the third quarter of 2019.</w:t>
      </w:r>
    </w:p>
    <w:p>
      <w:pPr>
        <w:sectPr>
          <w:pgSz w:w="11900" w:h="16838" w:orient="portrait"/>
          <w:cols w:equalWidth="0" w:num="1">
            <w:col w:w="11420"/>
          </w:cols>
          <w:pgMar w:left="240" w:top="89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Financial Highlights: Full Year 2019</w:t>
      </w:r>
    </w:p>
    <w:p>
      <w:pPr>
        <w:spacing w:after="0" w:line="256" w:lineRule="exact"/>
        <w:rPr>
          <w:sz w:val="20"/>
          <w:szCs w:val="20"/>
          <w:color w:val="auto"/>
        </w:rPr>
      </w:pPr>
    </w:p>
    <w:p>
      <w:pPr>
        <w:ind w:left="660" w:hanging="328"/>
        <w:spacing w:after="0" w:line="32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for the year ended December 31, 2019 increased to $991.3 million compared to $883.1 million for the year ended December 31, 2018, an increase of 12.3% on a reported basis and 13.0% on a constant currency basis.</w:t>
      </w:r>
    </w:p>
    <w:p>
      <w:pPr>
        <w:spacing w:after="0" w:line="319" w:lineRule="exact"/>
        <w:rPr>
          <w:sz w:val="20"/>
          <w:szCs w:val="20"/>
          <w:color w:val="auto"/>
        </w:rPr>
      </w:pPr>
    </w:p>
    <w:tbl>
      <w:tblPr>
        <w:tblLayout w:type="fixed"/>
        <w:tblInd w:w="10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7"/>
              </w:rPr>
              <w:t>Revenues</w:t>
            </w:r>
          </w:p>
        </w:tc>
        <w:tc>
          <w:tcPr>
            <w:tcW w:w="2920" w:type="dxa"/>
            <w:vAlign w:val="bottom"/>
            <w:gridSpan w:val="3"/>
          </w:tcPr>
          <w:p>
            <w:pPr>
              <w:ind w:left="980"/>
              <w:spacing w:after="0"/>
              <w:rPr>
                <w:sz w:val="20"/>
                <w:szCs w:val="20"/>
                <w:color w:val="auto"/>
              </w:rPr>
            </w:pPr>
            <w:r>
              <w:rPr>
                <w:rFonts w:ascii="Arial" w:cs="Arial" w:eastAsia="Arial" w:hAnsi="Arial"/>
                <w:sz w:val="16"/>
                <w:szCs w:val="16"/>
                <w:b w:val="1"/>
                <w:bCs w:val="1"/>
                <w:color w:val="auto"/>
              </w:rPr>
              <w:t>Gross Margin</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Year ended</w:t>
            </w:r>
          </w:p>
        </w:tc>
        <w:tc>
          <w:tcPr>
            <w:tcW w:w="2920" w:type="dxa"/>
            <w:vAlign w:val="bottom"/>
            <w:gridSpan w:val="3"/>
          </w:tcPr>
          <w:p>
            <w:pPr>
              <w:ind w:left="1080"/>
              <w:spacing w:after="0"/>
              <w:rPr>
                <w:sz w:val="20"/>
                <w:szCs w:val="20"/>
                <w:color w:val="auto"/>
              </w:rPr>
            </w:pPr>
            <w:r>
              <w:rPr>
                <w:rFonts w:ascii="Arial" w:cs="Arial" w:eastAsia="Arial" w:hAnsi="Arial"/>
                <w:sz w:val="16"/>
                <w:szCs w:val="16"/>
                <w:b w:val="1"/>
                <w:bCs w:val="1"/>
                <w:color w:val="auto"/>
              </w:rPr>
              <w:t>Year ended</w:t>
            </w:r>
          </w:p>
        </w:tc>
      </w:tr>
      <w:tr>
        <w:trPr>
          <w:trHeight w:val="33"/>
        </w:trPr>
        <w:tc>
          <w:tcPr>
            <w:tcW w:w="410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410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 31, 2019</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 31, 2018</w:t>
            </w: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 31, 2019</w:t>
            </w:r>
          </w:p>
        </w:tc>
        <w:tc>
          <w:tcPr>
            <w:tcW w:w="1560" w:type="dxa"/>
            <w:vAlign w:val="bottom"/>
          </w:tcPr>
          <w:p>
            <w:pPr>
              <w:ind w:left="360"/>
              <w:spacing w:after="0"/>
              <w:rPr>
                <w:sz w:val="20"/>
                <w:szCs w:val="20"/>
                <w:color w:val="auto"/>
              </w:rPr>
            </w:pPr>
            <w:r>
              <w:rPr>
                <w:rFonts w:ascii="Arial" w:cs="Arial" w:eastAsia="Arial" w:hAnsi="Arial"/>
                <w:sz w:val="16"/>
                <w:szCs w:val="16"/>
                <w:b w:val="1"/>
                <w:bCs w:val="1"/>
                <w:color w:val="auto"/>
              </w:rPr>
              <w:t>Dec 31, 2018</w:t>
            </w:r>
          </w:p>
        </w:tc>
      </w:tr>
      <w:tr>
        <w:trPr>
          <w:trHeight w:val="33"/>
        </w:trPr>
        <w:tc>
          <w:tcPr>
            <w:tcW w:w="4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(dollars in millions)</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32.2%</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20"/>
                <w:szCs w:val="20"/>
                <w:color w:val="auto"/>
              </w:rPr>
            </w:pPr>
          </w:p>
        </w:tc>
        <w:tc>
          <w:tcPr>
            <w:tcW w:w="1260" w:type="dxa"/>
            <w:vAlign w:val="bottom"/>
          </w:tcPr>
          <w:p>
            <w:pPr>
              <w:ind w:left="780"/>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1560" w:type="dxa"/>
            <w:vAlign w:val="bottom"/>
          </w:tcPr>
          <w:p>
            <w:pPr>
              <w:ind w:left="1080"/>
              <w:spacing w:after="0"/>
              <w:rPr>
                <w:sz w:val="20"/>
                <w:szCs w:val="20"/>
                <w:color w:val="auto"/>
              </w:rPr>
            </w:pPr>
            <w:r>
              <w:rPr>
                <w:rFonts w:ascii="Arial" w:cs="Arial" w:eastAsia="Arial" w:hAnsi="Arial"/>
                <w:sz w:val="16"/>
                <w:szCs w:val="16"/>
                <w:color w:val="auto"/>
              </w:rPr>
              <w:t>20.9%</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Travel, Transportation &amp; Logistics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41.5%</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Finance &amp; Accounting</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20"/>
                <w:szCs w:val="20"/>
                <w:color w:val="auto"/>
              </w:rPr>
            </w:pPr>
          </w:p>
        </w:tc>
        <w:tc>
          <w:tcPr>
            <w:tcW w:w="1260" w:type="dxa"/>
            <w:vAlign w:val="bottom"/>
          </w:tcPr>
          <w:p>
            <w:pPr>
              <w:ind w:left="780"/>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0"/>
                <w:szCs w:val="20"/>
                <w:color w:val="auto"/>
              </w:rPr>
            </w:pPr>
          </w:p>
        </w:tc>
        <w:tc>
          <w:tcPr>
            <w:tcW w:w="1560" w:type="dxa"/>
            <w:vAlign w:val="bottom"/>
          </w:tcPr>
          <w:p>
            <w:pPr>
              <w:ind w:left="1080"/>
              <w:spacing w:after="0"/>
              <w:rPr>
                <w:sz w:val="20"/>
                <w:szCs w:val="20"/>
                <w:color w:val="auto"/>
              </w:rPr>
            </w:pPr>
            <w:r>
              <w:rPr>
                <w:rFonts w:ascii="Arial" w:cs="Arial" w:eastAsia="Arial" w:hAnsi="Arial"/>
                <w:sz w:val="16"/>
                <w:szCs w:val="16"/>
                <w:color w:val="auto"/>
              </w:rPr>
              <w:t>39.6%</w:t>
            </w:r>
          </w:p>
        </w:tc>
      </w:tr>
      <w:tr>
        <w:trPr>
          <w:trHeight w:val="3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33.0%</w:t>
            </w:r>
          </w:p>
        </w:tc>
      </w:tr>
      <w:tr>
        <w:trPr>
          <w:trHeight w:val="23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Analytics</w:t>
            </w:r>
          </w:p>
        </w:tc>
        <w:tc>
          <w:tcPr>
            <w:tcW w:w="1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285.3</w:t>
            </w:r>
          </w:p>
        </w:tc>
        <w:tc>
          <w:tcPr>
            <w:tcW w:w="120" w:type="dxa"/>
            <w:vAlign w:val="bottom"/>
          </w:tcPr>
          <w:p>
            <w:pPr>
              <w:spacing w:after="0"/>
              <w:rPr>
                <w:sz w:val="20"/>
                <w:szCs w:val="20"/>
                <w:color w:val="auto"/>
              </w:rPr>
            </w:pPr>
          </w:p>
        </w:tc>
        <w:tc>
          <w:tcPr>
            <w:tcW w:w="1260" w:type="dxa"/>
            <w:vAlign w:val="bottom"/>
          </w:tcPr>
          <w:p>
            <w:pPr>
              <w:ind w:left="780"/>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0"/>
                <w:szCs w:val="20"/>
                <w:color w:val="auto"/>
              </w:rPr>
            </w:pPr>
          </w:p>
        </w:tc>
        <w:tc>
          <w:tcPr>
            <w:tcW w:w="1560" w:type="dxa"/>
            <w:vAlign w:val="bottom"/>
          </w:tcPr>
          <w:p>
            <w:pPr>
              <w:ind w:left="1080"/>
              <w:spacing w:after="0"/>
              <w:rPr>
                <w:sz w:val="20"/>
                <w:szCs w:val="20"/>
                <w:color w:val="auto"/>
              </w:rPr>
            </w:pPr>
            <w:r>
              <w:rPr>
                <w:rFonts w:ascii="Arial" w:cs="Arial" w:eastAsia="Arial" w:hAnsi="Arial"/>
                <w:sz w:val="16"/>
                <w:szCs w:val="16"/>
                <w:color w:val="auto"/>
              </w:rPr>
              <w:t>35.3%</w:t>
            </w:r>
          </w:p>
        </w:tc>
      </w:tr>
      <w:tr>
        <w:trPr>
          <w:trHeight w:val="33"/>
        </w:trPr>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revenues,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991.3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883.1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b w:val="1"/>
                <w:bCs w:val="1"/>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b w:val="1"/>
                <w:bCs w:val="1"/>
                <w:color w:val="auto"/>
              </w:rPr>
              <w:t>33.8%</w:t>
            </w: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660" w:hanging="328"/>
        <w:spacing w:after="0" w:line="30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margin for the year ended December 31, 2019 was 7.7% compared to 5.6% for the year ended December 31, 2018. During the year 2019 and 2018, we recorded impairment and restructuring charges of $8.7 million and $20.1 million, respectively, related to the wind down of the Health Integrated business, which reduced our operating income margin by approximately 90 basis points and 230 basis points, respectively. The wind down of the Health Integrated business was substantially completed on December 31, 2019 and we do not expect to incur impairment and restructuring charges in 2020. Adjusted operating income margin for the year ended December 31, 2019 was 13.4% compared to 13.5% for the year ended December 31, 2018.</w:t>
      </w:r>
    </w:p>
    <w:p>
      <w:pPr>
        <w:spacing w:after="0" w:line="192" w:lineRule="exact"/>
        <w:rPr>
          <w:rFonts w:ascii="Arial" w:cs="Arial" w:eastAsia="Arial" w:hAnsi="Arial"/>
          <w:sz w:val="18"/>
          <w:szCs w:val="18"/>
          <w:color w:val="auto"/>
        </w:rPr>
      </w:pPr>
    </w:p>
    <w:p>
      <w:pPr>
        <w:jc w:val="both"/>
        <w:ind w:left="660" w:hanging="328"/>
        <w:spacing w:after="0" w:line="30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earnings per share for the year ended December 31, 2019 was $1.95 compared to $1.62 for the year ended December 31, 2018. During the year 2019 and 2018, we recorded impairment and restructuring charges of $8.7 million ($6.5 million net of tax) and $20.1 million ($17.0 million net of tax), respectively, related to the wind down of the Health Integrated business, which reduced our diluted earnings per share by $0.19 and $0.49 for the year ended December 31, 2019 and 2018, respectively. Adjusted diluted earnings per share for the year ended December 31, 2019 was $3.09 compared to $2.77 for the year ended December 31, 2018.</w:t>
      </w:r>
    </w:p>
    <w:p>
      <w:pPr>
        <w:sectPr>
          <w:pgSz w:w="11900" w:h="16838" w:orient="portrait"/>
          <w:cols w:equalWidth="0" w:num="1">
            <w:col w:w="11420"/>
          </w:cols>
          <w:pgMar w:left="240" w:top="76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Business Highlights: Fourth Quarter 2019</w:t>
      </w:r>
    </w:p>
    <w:p>
      <w:pPr>
        <w:spacing w:after="0" w:line="202" w:lineRule="exact"/>
        <w:rPr>
          <w:sz w:val="20"/>
          <w:szCs w:val="20"/>
          <w:color w:val="auto"/>
        </w:rPr>
      </w:pPr>
    </w:p>
    <w:p>
      <w:pPr>
        <w:ind w:left="340" w:hanging="264"/>
        <w:spacing w:after="0" w:line="32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Won five new clients in the fourth quarter of 2019, including two in our operations management businesses and three in Analytics. For the full year, we won 28 new clients, 14 in operations management and 14 in Analytics</w:t>
      </w:r>
    </w:p>
    <w:p>
      <w:pPr>
        <w:spacing w:after="0" w:line="116" w:lineRule="exact"/>
        <w:rPr>
          <w:rFonts w:ascii="Arial" w:cs="Arial" w:eastAsia="Arial" w:hAnsi="Arial"/>
          <w:sz w:val="18"/>
          <w:szCs w:val="18"/>
          <w:color w:val="auto"/>
        </w:rPr>
      </w:pPr>
    </w:p>
    <w:p>
      <w:pPr>
        <w:ind w:left="340" w:hanging="26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Recognized as a Leader in the IDC MarketScape: Worldwide Analytics for Business Operations Services 2019 Vendor Assessment</w:t>
      </w:r>
    </w:p>
    <w:p>
      <w:pPr>
        <w:spacing w:after="0" w:line="211" w:lineRule="exact"/>
        <w:rPr>
          <w:rFonts w:ascii="Arial" w:cs="Arial" w:eastAsia="Arial" w:hAnsi="Arial"/>
          <w:sz w:val="18"/>
          <w:szCs w:val="18"/>
          <w:color w:val="auto"/>
        </w:rPr>
      </w:pPr>
    </w:p>
    <w:p>
      <w:pPr>
        <w:ind w:left="340" w:hanging="26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Positioned as a Leader in the Everest Group Advanced Analytics &amp; Insights Services PEAK Matrix™ Assessment 2020</w:t>
      </w:r>
    </w:p>
    <w:p>
      <w:pPr>
        <w:spacing w:after="0" w:line="211" w:lineRule="exact"/>
        <w:rPr>
          <w:rFonts w:ascii="Arial" w:cs="Arial" w:eastAsia="Arial" w:hAnsi="Arial"/>
          <w:sz w:val="18"/>
          <w:szCs w:val="18"/>
          <w:color w:val="auto"/>
        </w:rPr>
      </w:pPr>
    </w:p>
    <w:p>
      <w:pPr>
        <w:ind w:left="340" w:hanging="264"/>
        <w:spacing w:after="0" w:line="32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Recognized as a Leader in the ISG Provider Lens for Insurance BPO Digital Services - U.S. 2019 for Property &amp; Casualty Insurance Services, Life &amp; Annuity Digital Services and Life &amp; Annuity TPA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Post-Fourth Quarter Highlights</w:t>
      </w:r>
    </w:p>
    <w:p>
      <w:pPr>
        <w:spacing w:after="0" w:line="297" w:lineRule="exact"/>
        <w:rPr>
          <w:sz w:val="20"/>
          <w:szCs w:val="20"/>
          <w:color w:val="auto"/>
        </w:rPr>
      </w:pPr>
    </w:p>
    <w:p>
      <w:pPr>
        <w:ind w:left="340" w:hanging="26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Appointed Maurizio Nicolelli to the role of Executive Vice President, Chief Financial Officer and member of the Executive Committee</w:t>
      </w:r>
    </w:p>
    <w:p>
      <w:pPr>
        <w:spacing w:after="0" w:line="211" w:lineRule="exact"/>
        <w:rPr>
          <w:rFonts w:ascii="Arial" w:cs="Arial" w:eastAsia="Arial" w:hAnsi="Arial"/>
          <w:sz w:val="18"/>
          <w:szCs w:val="18"/>
          <w:color w:val="auto"/>
        </w:rPr>
      </w:pPr>
    </w:p>
    <w:p>
      <w:pPr>
        <w:ind w:left="340" w:hanging="26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Appointed Vivek Jetley to the role of Executive Vice President, Head of Analytics and member of the Executive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Guidance</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71.5, British Pound to U.S. Dollar exchange rate of 1.29, U.S. Dollar to the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Philippine Peso exchange rate of 51.0 and all other currencies at current exchange rates, we are providing the following guidance:</w:t>
      </w:r>
    </w:p>
    <w:p>
      <w:pPr>
        <w:spacing w:after="0" w:line="104" w:lineRule="exact"/>
        <w:rPr>
          <w:sz w:val="20"/>
          <w:szCs w:val="20"/>
          <w:color w:val="auto"/>
        </w:rPr>
      </w:pPr>
    </w:p>
    <w:p>
      <w:pPr>
        <w:ind w:left="340" w:hanging="26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of $1.040 billion to $1.065 billion, representing an annual revenue growth rate of 5% to 8% on a constant currency basis.</w:t>
      </w:r>
    </w:p>
    <w:p>
      <w:pPr>
        <w:spacing w:after="0" w:line="103" w:lineRule="exact"/>
        <w:rPr>
          <w:rFonts w:ascii="Arial" w:cs="Arial" w:eastAsia="Arial" w:hAnsi="Arial"/>
          <w:sz w:val="18"/>
          <w:szCs w:val="18"/>
          <w:color w:val="auto"/>
        </w:rPr>
      </w:pPr>
    </w:p>
    <w:p>
      <w:pPr>
        <w:ind w:left="340" w:hanging="26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diluted earnings per share of $3.42 to $3.58.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Change in Segment Reporting</w:t>
      </w:r>
    </w:p>
    <w:p>
      <w:pPr>
        <w:spacing w:after="0" w:line="243"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Effective January 1, 2020, we made certain operational and structural changes to more closely integrate our businesses and to simplify our organizational structure. We now manage and report financial information through our four strategic business units: Insurance, Healthcare, Analytics and Emerging Business, which reflects how management will review financial information and make operating decisions. These business units will develop client-specific solutions, build capabilities, maintain a unified go-to-market approach and be integrally responsible for service delivery, customer satisfaction, growth and profitability. In line with our strategy of vertical integration and focus on domain expertise, we have integrated our Finance &amp; Accounting and Consulting operating segments within each of the Insurance and Healthcare operating segments based on the respective industry-specific clients. Finance &amp; Accounting and Consulting Services to clients outside of those industries, will now be part of our newly formed business unit and reportable segment “Emerging Business”. In addition, we integrated our former Travel, Transportation and Logistics, Banking and Financial Services, and Utilities operating segments under “Emerging Business” to further leverage and optimize the operating scale in providing operations management services. Information presented in this release reflects the operating and reporting structure in place for 2019.</w:t>
      </w:r>
    </w:p>
    <w:p>
      <w:pPr>
        <w:sectPr>
          <w:pgSz w:w="11900" w:h="16838" w:orient="portrait"/>
          <w:cols w:equalWidth="0" w:num="1">
            <w:col w:w="11420"/>
          </w:cols>
          <w:pgMar w:left="240" w:top="141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Thursday, February 27, 2020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9"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twelve months.</w:t>
      </w:r>
    </w:p>
    <w:p>
      <w:pPr>
        <w:sectPr>
          <w:pgSz w:w="11900" w:h="16838" w:orient="portrait"/>
          <w:cols w:equalWidth="0" w:num="1">
            <w:col w:w="11420"/>
          </w:cols>
          <w:pgMar w:left="240" w:top="9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more than 31,700 professionals in locations throughout the United States, the UK, Europe, India, the Philippines, Colombia, Australia and South Africa. EXL serves multiple industries including insurance, healthcare, banking and financial services, utilities, travel, transportation and logistics, media and retail, among others. For more information, visit </w:t>
      </w:r>
      <w:r>
        <w:rPr>
          <w:rFonts w:ascii="Arial" w:cs="Arial" w:eastAsia="Arial" w:hAnsi="Arial"/>
          <w:sz w:val="17"/>
          <w:szCs w:val="17"/>
          <w:u w:val="single" w:color="auto"/>
          <w:color w:val="0000FF"/>
        </w:rPr>
        <w:t>www.exlservice.com.</w:t>
      </w:r>
    </w:p>
    <w:p>
      <w:pPr>
        <w:spacing w:after="0" w:line="256" w:lineRule="exact"/>
        <w:rPr>
          <w:sz w:val="20"/>
          <w:szCs w:val="20"/>
          <w:color w:val="auto"/>
        </w:rPr>
      </w:pPr>
    </w:p>
    <w:p>
      <w:pPr>
        <w:jc w:val="both"/>
        <w:spacing w:after="0" w:line="31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68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80" w:type="dxa"/>
            <w:vAlign w:val="bottom"/>
            <w:tcBorders>
              <w:bottom w:val="single" w:sz="8" w:color="auto"/>
            </w:tcBorders>
          </w:tcPr>
          <w:p>
            <w:pPr>
              <w:spacing w:after="0"/>
              <w:rPr>
                <w:sz w:val="16"/>
                <w:szCs w:val="16"/>
                <w:color w:val="auto"/>
              </w:rPr>
            </w:pPr>
          </w:p>
        </w:tc>
      </w:tr>
      <w:tr>
        <w:trPr>
          <w:trHeight w:val="250"/>
        </w:trPr>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6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21"/>
                <w:szCs w:val="21"/>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6"/>
              </w:rPr>
              <w:t>Three months ended December 31,</w:t>
            </w:r>
          </w:p>
        </w:tc>
      </w:tr>
      <w:tr>
        <w:trPr>
          <w:trHeight w:val="264"/>
        </w:trPr>
        <w:tc>
          <w:tcPr>
            <w:tcW w:w="54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991,346</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883,112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256,872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234,903</w:t>
            </w:r>
          </w:p>
        </w:tc>
      </w:tr>
      <w:tr>
        <w:trPr>
          <w:trHeight w:val="270"/>
        </w:trPr>
        <w:tc>
          <w:tcPr>
            <w:tcW w:w="54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655,490</w:t>
            </w:r>
          </w:p>
        </w:tc>
        <w:tc>
          <w:tcPr>
            <w:tcW w:w="1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584,855</w:t>
            </w:r>
          </w:p>
        </w:tc>
        <w:tc>
          <w:tcPr>
            <w:tcW w:w="2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168,262</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154,948</w:t>
            </w:r>
          </w:p>
        </w:tc>
      </w:tr>
      <w:tr>
        <w:trPr>
          <w:trHeight w:val="264"/>
        </w:trPr>
        <w:tc>
          <w:tcPr>
            <w:tcW w:w="54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335,856</w:t>
            </w:r>
          </w:p>
        </w:tc>
        <w:tc>
          <w:tcPr>
            <w:tcW w:w="1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298,257</w:t>
            </w:r>
          </w:p>
        </w:tc>
        <w:tc>
          <w:tcPr>
            <w:tcW w:w="2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88,610</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79,955</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1"/>
        </w:trPr>
        <w:tc>
          <w:tcPr>
            <w:tcW w:w="5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126,909</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116,202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30,592</w:t>
            </w: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71,842</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63,612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17,846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18,019</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51,981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48,566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13,381</w:t>
            </w: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Impairment and restructuring charges</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8,671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20,056</w:t>
            </w:r>
          </w:p>
        </w:tc>
      </w:tr>
      <w:tr>
        <w:trPr>
          <w:trHeight w:val="27"/>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259,403</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248,436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65,296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82,048</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Income/(loss) from operations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76,453</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49,821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23,314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(13,612)</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(7,227)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(3,508)</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16,507</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4,757</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0"/>
              </w:rPr>
              <w:t>Income before income tax expense and earnings from equity affiliates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83,100</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60,370</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24,028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529</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15,172</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67,928</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56,973</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21,427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3,928</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6"/>
              </w:rPr>
              <w:t>Net income attributable to ExlService Holdings, Inc. stockholders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67,659</w:t>
            </w:r>
          </w:p>
        </w:tc>
        <w:tc>
          <w:tcPr>
            <w:tcW w:w="1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56,726</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21,356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3,857</w:t>
            </w:r>
          </w:p>
        </w:tc>
      </w:tr>
      <w:tr>
        <w:trPr>
          <w:trHeight w:val="67"/>
        </w:trPr>
        <w:tc>
          <w:tcPr>
            <w:tcW w:w="5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54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2"/>
              </w:rPr>
              <w:t>Earnings per share attributable to ExlService Holdings, Inc. stockholders: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0.62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0.11</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0.11</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attributable to ExlService Holdings Inc. stockholders: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34,350,150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34,451,008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34,253,308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34,388,025</w:t>
            </w:r>
          </w:p>
        </w:tc>
      </w:tr>
      <w:tr>
        <w:trPr>
          <w:trHeight w:val="243"/>
        </w:trPr>
        <w:tc>
          <w:tcPr>
            <w:tcW w:w="54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34,732,683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35,030,984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34,696,896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w w:val="93"/>
              </w:rPr>
              <w:t>34,921,388</w:t>
            </w:r>
          </w:p>
        </w:tc>
      </w:tr>
    </w:tbl>
    <w:p>
      <w:pPr>
        <w:spacing w:after="0" w:line="17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Exclusive of depreciation and amortization.</w:t>
      </w:r>
    </w:p>
    <w:p>
      <w:pPr>
        <w:sectPr>
          <w:pgSz w:w="11900" w:h="16838" w:orient="portrait"/>
          <w:cols w:equalWidth="0" w:num="1">
            <w:col w:w="11420"/>
          </w:cols>
          <w:pgMar w:left="240" w:top="688"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 except share and per share amounts)</w:t>
      </w:r>
    </w:p>
    <w:p>
      <w:pPr>
        <w:sectPr>
          <w:pgSz w:w="11900" w:h="16838" w:orient="portrait"/>
          <w:cols w:equalWidth="0" w:num="1">
            <w:col w:w="11380"/>
          </w:cols>
          <w:pgMar w:left="280" w:top="553" w:right="239" w:bottom="6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assets: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Short-term investments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receivable,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Prepaid expenses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Advance income tax,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current assets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current assets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Operating lease right-of-use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Deferred tax assets,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Investment in equity affiliate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portion of long-term borrowings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Deferred revenue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Accrued employee costs</w:t>
      </w:r>
    </w:p>
    <w:p>
      <w:pPr>
        <w:spacing w:after="0" w:line="109" w:lineRule="exact"/>
        <w:rPr>
          <w:sz w:val="20"/>
          <w:szCs w:val="20"/>
          <w:color w:val="auto"/>
        </w:rPr>
      </w:pPr>
    </w:p>
    <w:p>
      <w:pPr>
        <w:jc w:val="right"/>
        <w:ind w:right="4160"/>
        <w:spacing w:after="0"/>
        <w:rPr>
          <w:sz w:val="20"/>
          <w:szCs w:val="20"/>
          <w:color w:val="auto"/>
        </w:rPr>
      </w:pPr>
      <w:r>
        <w:rPr>
          <w:rFonts w:ascii="Arial" w:cs="Arial" w:eastAsia="Arial" w:hAnsi="Arial"/>
          <w:sz w:val="14"/>
          <w:szCs w:val="14"/>
          <w:color w:val="auto"/>
        </w:rPr>
        <w:t>Accrued expenses and other current liabilities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Current portion of operating lease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Income taxes payable,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Current portion of finance lease liabilities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current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Long-term borrowings, less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Finance lease liabilities, less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taxes payable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Deferred tax liabilities,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Operating lease liabilities, less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non-current liabilities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contingencies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8"/>
              </w:rPr>
              <w:t>December 31, 2019</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December 31, 2018</w:t>
            </w:r>
          </w:p>
        </w:tc>
      </w:tr>
      <w:tr>
        <w:trPr>
          <w:trHeight w:val="798"/>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119,165</w:t>
            </w:r>
          </w:p>
        </w:tc>
        <w:tc>
          <w:tcPr>
            <w:tcW w:w="4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95,881</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202,238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184,489</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5,453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5,608</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171,864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164,752</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13,246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11,326</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9,639</w:t>
            </w:r>
          </w:p>
        </w:tc>
      </w:tr>
      <w:tr>
        <w:trPr>
          <w:trHeight w:val="276"/>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24,594</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28,240</w:t>
            </w:r>
          </w:p>
        </w:tc>
      </w:tr>
      <w:tr>
        <w:trPr>
          <w:trHeight w:val="250"/>
        </w:trPr>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541,258</w:t>
            </w:r>
          </w:p>
        </w:tc>
        <w:tc>
          <w:tcPr>
            <w:tcW w:w="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499,935</w:t>
            </w:r>
          </w:p>
        </w:tc>
      </w:tr>
      <w:tr>
        <w:trPr>
          <w:trHeight w:val="244"/>
        </w:trPr>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79,142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73,510</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86,396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2,642</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11,855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6,602</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73,982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95,495</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349,529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349,984</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36,016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31,015</w:t>
            </w:r>
          </w:p>
        </w:tc>
      </w:tr>
      <w:tr>
        <w:trPr>
          <w:trHeight w:val="276"/>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2,753</w:t>
            </w:r>
          </w:p>
        </w:tc>
      </w:tr>
      <w:tr>
        <w:trPr>
          <w:trHeight w:val="237"/>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1,183,088</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1,061,936</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785"/>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6,564</w:t>
            </w:r>
          </w:p>
        </w:tc>
        <w:tc>
          <w:tcPr>
            <w:tcW w:w="4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5,653</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40,867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21,423</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13,436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7,722</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71,626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54,893</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71,023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64,169</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24,148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1,012</w:t>
            </w:r>
          </w:p>
        </w:tc>
      </w:tr>
      <w:tr>
        <w:trPr>
          <w:trHeight w:val="276"/>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w:t>
            </w:r>
          </w:p>
        </w:tc>
      </w:tr>
      <w:tr>
        <w:trPr>
          <w:trHeight w:val="250"/>
        </w:trPr>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229,349</w:t>
            </w:r>
          </w:p>
        </w:tc>
        <w:tc>
          <w:tcPr>
            <w:tcW w:w="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155,095</w:t>
            </w:r>
          </w:p>
        </w:tc>
      </w:tr>
      <w:tr>
        <w:trPr>
          <w:trHeight w:val="244"/>
        </w:trPr>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194,131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263,241</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315</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8,445</w:t>
            </w:r>
          </w:p>
        </w:tc>
      </w:tr>
      <w:tr>
        <w:trPr>
          <w:trHeight w:val="270"/>
        </w:trPr>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74,709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11,712</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16,521</w:t>
            </w:r>
          </w:p>
        </w:tc>
      </w:tr>
      <w:tr>
        <w:trPr>
          <w:trHeight w:val="250"/>
        </w:trPr>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513,087</w:t>
            </w:r>
          </w:p>
        </w:tc>
        <w:tc>
          <w:tcPr>
            <w:tcW w:w="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443,617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-6199505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-5856605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-5513705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-5170805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-4827270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-4484370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-4141470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-3798570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-3455670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-3112135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-2752090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-2409190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-2066290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-1723390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-1379855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-1036955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-694055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-351155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-8255</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7140" w:space="720"/>
            <w:col w:w="3520"/>
          </w:cols>
          <w:pgMar w:left="280" w:top="553" w:right="239" w:bottom="697" w:gutter="0" w:footer="0" w:header="0"/>
          <w:type w:val="continuous"/>
        </w:sectPr>
      </w:pPr>
    </w:p>
    <w:p>
      <w:pPr>
        <w:spacing w:after="0"/>
        <w:rPr>
          <w:sz w:val="20"/>
          <w:szCs w:val="20"/>
          <w:color w:val="auto"/>
        </w:rPr>
      </w:pPr>
      <w:r>
        <w:rPr>
          <w:rFonts w:ascii="Arial" w:cs="Arial" w:eastAsia="Arial" w:hAnsi="Arial"/>
          <w:sz w:val="14"/>
          <w:szCs w:val="14"/>
          <w:color w:val="auto"/>
        </w:rPr>
        <w:t>Preferred stock, $0.001 par value; 15,000,000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ExlService Holdings, Inc. Stockholders’ equity:</w:t>
      </w:r>
    </w:p>
    <w:p>
      <w:pPr>
        <w:spacing w:after="0" w:line="109" w:lineRule="exact"/>
        <w:rPr>
          <w:sz w:val="20"/>
          <w:szCs w:val="20"/>
          <w:color w:val="auto"/>
        </w:rPr>
      </w:pPr>
    </w:p>
    <w:p>
      <w:pPr>
        <w:ind w:left="340" w:right="340"/>
        <w:spacing w:after="0" w:line="281" w:lineRule="auto"/>
        <w:rPr>
          <w:sz w:val="20"/>
          <w:szCs w:val="20"/>
          <w:color w:val="auto"/>
        </w:rPr>
      </w:pPr>
      <w:r>
        <w:rPr>
          <w:rFonts w:ascii="Arial" w:cs="Arial" w:eastAsia="Arial" w:hAnsi="Arial"/>
          <w:sz w:val="13"/>
          <w:szCs w:val="13"/>
          <w:color w:val="auto"/>
        </w:rPr>
        <w:t>Common stock, $0.001 par value; 100,000,000 shares authorized, 38,480,654 shares issued and 34,185,241 shares outstanding as of December 31, 2019 and 37,850,544 shares issued and 34,222,476 shares outstanding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rPr>
        <w:t>Additional paid-in capital</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00" w:type="dxa"/>
            <w:vAlign w:val="bottom"/>
          </w:tcPr>
          <w:p>
            <w:pPr>
              <w:ind w:left="340"/>
              <w:spacing w:after="0"/>
              <w:rPr>
                <w:sz w:val="20"/>
                <w:szCs w:val="20"/>
                <w:color w:val="auto"/>
              </w:rPr>
            </w:pPr>
            <w:r>
              <w:rPr>
                <w:rFonts w:ascii="Arial" w:cs="Arial" w:eastAsia="Arial" w:hAnsi="Arial"/>
                <w:sz w:val="14"/>
                <w:szCs w:val="14"/>
                <w:color w:val="auto"/>
              </w:rPr>
              <w:t>Retained earnings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340"/>
              <w:spacing w:after="0"/>
              <w:rPr>
                <w:sz w:val="20"/>
                <w:szCs w:val="20"/>
                <w:color w:val="auto"/>
              </w:rPr>
            </w:pPr>
            <w:r>
              <w:rPr>
                <w:rFonts w:ascii="Arial" w:cs="Arial" w:eastAsia="Arial" w:hAnsi="Arial"/>
                <w:sz w:val="14"/>
                <w:szCs w:val="14"/>
                <w:color w:val="auto"/>
              </w:rPr>
              <w:t>Accumulated other comprehensive loss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4"/>
                <w:szCs w:val="14"/>
                <w:b w:val="1"/>
                <w:bCs w:val="1"/>
                <w:color w:val="auto"/>
              </w:rPr>
              <w:t>Total including shares held in treasury</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4"/>
                <w:szCs w:val="14"/>
                <w:color w:val="auto"/>
                <w:w w:val="97"/>
              </w:rPr>
              <w:t>Less: 4,295,413 shares as of December 31, 2019 and 3,628,068 shares as of December 31, 2018, held in treasury, at cost</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740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4"/>
                <w:szCs w:val="14"/>
                <w:b w:val="1"/>
                <w:bCs w:val="1"/>
                <w:color w:val="auto"/>
              </w:rPr>
              <w:t>Total equity</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74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-1183640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-497840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-154940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-840740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621"/>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39</w:t>
            </w:r>
          </w:p>
        </w:tc>
        <w:tc>
          <w:tcPr>
            <w:tcW w:w="54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391,240</w:t>
            </w:r>
          </w:p>
        </w:tc>
        <w:tc>
          <w:tcPr>
            <w:tcW w:w="5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364,179</w:t>
            </w:r>
          </w:p>
        </w:tc>
      </w:tr>
      <w:tr>
        <w:trPr>
          <w:trHeight w:val="270"/>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551,903</w:t>
            </w:r>
          </w:p>
        </w:tc>
        <w:tc>
          <w:tcPr>
            <w:tcW w:w="5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484,244</w:t>
            </w:r>
          </w:p>
        </w:tc>
      </w:tr>
      <w:tr>
        <w:trPr>
          <w:trHeight w:val="276"/>
        </w:trPr>
        <w:tc>
          <w:tcPr>
            <w:tcW w:w="820" w:type="dxa"/>
            <w:vAlign w:val="bottom"/>
          </w:tcPr>
          <w:p>
            <w:pPr>
              <w:jc w:val="right"/>
              <w:ind w:right="108"/>
              <w:spacing w:after="0"/>
              <w:rPr>
                <w:sz w:val="20"/>
                <w:szCs w:val="20"/>
                <w:color w:val="auto"/>
              </w:rPr>
            </w:pPr>
            <w:r>
              <w:rPr>
                <w:rFonts w:ascii="Arial" w:cs="Arial" w:eastAsia="Arial" w:hAnsi="Arial"/>
                <w:sz w:val="14"/>
                <w:szCs w:val="14"/>
                <w:color w:val="auto"/>
              </w:rPr>
              <w:t>(84,892)</w:t>
            </w: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(83,467)</w:t>
            </w:r>
          </w:p>
        </w:tc>
      </w:tr>
      <w:tr>
        <w:trPr>
          <w:trHeight w:val="250"/>
        </w:trPr>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858,290</w:t>
            </w: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764,994</w:t>
            </w:r>
          </w:p>
        </w:tc>
      </w:tr>
      <w:tr>
        <w:trPr>
          <w:trHeight w:val="250"/>
        </w:trPr>
        <w:tc>
          <w:tcPr>
            <w:tcW w:w="820" w:type="dxa"/>
            <w:vAlign w:val="bottom"/>
          </w:tcPr>
          <w:p>
            <w:pPr>
              <w:jc w:val="right"/>
              <w:ind w:right="108"/>
              <w:spacing w:after="0"/>
              <w:rPr>
                <w:sz w:val="20"/>
                <w:szCs w:val="20"/>
                <w:color w:val="auto"/>
              </w:rPr>
            </w:pPr>
            <w:r>
              <w:rPr>
                <w:rFonts w:ascii="Arial" w:cs="Arial" w:eastAsia="Arial" w:hAnsi="Arial"/>
                <w:sz w:val="14"/>
                <w:szCs w:val="14"/>
                <w:color w:val="auto"/>
              </w:rPr>
              <w:t>(188,289)</w:t>
            </w: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(146,925)</w:t>
            </w:r>
          </w:p>
        </w:tc>
      </w:tr>
      <w:tr>
        <w:trPr>
          <w:trHeight w:val="244"/>
        </w:trPr>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670,001</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618,069</w:t>
            </w:r>
          </w:p>
        </w:tc>
      </w:tr>
      <w:tr>
        <w:trPr>
          <w:trHeight w:val="276"/>
        </w:trPr>
        <w:tc>
          <w:tcPr>
            <w:tcW w:w="8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r>
      <w:tr>
        <w:trPr>
          <w:trHeight w:val="250"/>
        </w:trPr>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670,001</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618,319</w:t>
            </w:r>
          </w:p>
        </w:tc>
      </w:tr>
      <w:tr>
        <w:trPr>
          <w:trHeight w:val="237"/>
        </w:trPr>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w w:val="89"/>
              </w:rPr>
              <w:t>1,183,088</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1,061,936</w:t>
            </w:r>
          </w:p>
        </w:tc>
      </w:tr>
      <w:tr>
        <w:trPr>
          <w:trHeight w:val="20"/>
        </w:trPr>
        <w:tc>
          <w:tcPr>
            <w:tcW w:w="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-8255</wp:posOffset>
            </wp:positionV>
            <wp:extent cx="10979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-359410</wp:posOffset>
            </wp:positionV>
            <wp:extent cx="10979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-702310</wp:posOffset>
            </wp:positionV>
            <wp:extent cx="10979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-650240</wp:posOffset>
            </wp:positionH>
            <wp:positionV relativeFrom="paragraph">
              <wp:posOffset>-1045845</wp:posOffset>
            </wp:positionV>
            <wp:extent cx="10979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ectPr>
          <w:pgSz w:w="11900" w:h="16838" w:orient="portrait"/>
          <w:cols w:equalWidth="0" w:num="2">
            <w:col w:w="8160" w:space="720"/>
            <w:col w:w="2500"/>
          </w:cols>
          <w:pgMar w:left="280" w:top="553" w:right="239" w:bottom="697"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364"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62" w:lineRule="exact"/>
        <w:rPr>
          <w:sz w:val="20"/>
          <w:szCs w:val="20"/>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157" w:lineRule="exact"/>
        <w:rPr>
          <w:rFonts w:ascii="Arial" w:cs="Arial" w:eastAsia="Arial" w:hAnsi="Arial"/>
          <w:sz w:val="18"/>
          <w:szCs w:val="18"/>
          <w:color w:val="auto"/>
        </w:rPr>
      </w:pPr>
    </w:p>
    <w:p>
      <w:pPr>
        <w:ind w:left="920" w:hanging="264"/>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157" w:lineRule="exact"/>
        <w:rPr>
          <w:rFonts w:ascii="Arial" w:cs="Arial" w:eastAsia="Arial" w:hAnsi="Arial"/>
          <w:sz w:val="18"/>
          <w:szCs w:val="18"/>
          <w:color w:val="auto"/>
        </w:rPr>
      </w:pPr>
    </w:p>
    <w:p>
      <w:pPr>
        <w:ind w:left="960" w:hanging="30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growth on a constant currency basis.</w:t>
      </w:r>
    </w:p>
    <w:p>
      <w:pPr>
        <w:spacing w:after="0" w:line="158" w:lineRule="exact"/>
        <w:rPr>
          <w:sz w:val="20"/>
          <w:szCs w:val="20"/>
          <w:color w:val="auto"/>
        </w:rPr>
      </w:pPr>
    </w:p>
    <w:p>
      <w:pPr>
        <w:jc w:val="both"/>
        <w:ind w:firstLine="405"/>
        <w:spacing w:after="0" w:line="318" w:lineRule="auto"/>
        <w:rPr>
          <w:sz w:val="20"/>
          <w:szCs w:val="20"/>
          <w:color w:val="auto"/>
        </w:rPr>
      </w:pPr>
      <w:r>
        <w:rPr>
          <w:rFonts w:ascii="Arial" w:cs="Arial" w:eastAsia="Arial" w:hAnsi="Arial"/>
          <w:sz w:val="17"/>
          <w:szCs w:val="17"/>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7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8"/>
          <w:szCs w:val="18"/>
          <w:color w:val="auto"/>
        </w:rPr>
        <w:t>EXL non-GAAP financial measures exclude, where applicable, stock-based compensation expense, amortization of acquisition-related intangible assets, impairment charges of acquired long-lived and intangible assets including goodwill, provision for litigation settlement, non-cash interest expense on convertible senior notes, restructuring charges and other acquisition-related expenses or benefits. Acquisition-related expenses or benefits include, changes in the fair value of earn-out consideration liabilities, external deal costs, integration expenses, direct and incremental travel costs and non-recurring benefits. In addition to excluding the above items, our adjusted net income and adjusted diluted EPS also excludes the effect of incremental income tax expense related to the U.S. Tax Cuts and Jobs Act of 2017 (the “Tax Reform Act”), non-recurring other tax adjustments and income tax impact of the above pre-tax items, as applicable. The income tax impact of each item is calculated by applying the statutory rate and local tax regulations in the jurisdiction in which the item was incurred.</w:t>
      </w:r>
    </w:p>
    <w:p>
      <w:pPr>
        <w:spacing w:after="0" w:line="84" w:lineRule="exact"/>
        <w:rPr>
          <w:sz w:val="20"/>
          <w:szCs w:val="20"/>
          <w:color w:val="auto"/>
        </w:rPr>
      </w:pPr>
    </w:p>
    <w:p>
      <w:pPr>
        <w:jc w:val="both"/>
        <w:ind w:firstLine="405"/>
        <w:spacing w:after="0" w:line="354" w:lineRule="auto"/>
        <w:rPr>
          <w:sz w:val="20"/>
          <w:szCs w:val="20"/>
          <w:color w:val="auto"/>
        </w:rPr>
      </w:pPr>
      <w:r>
        <w:rPr>
          <w:rFonts w:ascii="Arial" w:cs="Arial" w:eastAsia="Arial" w:hAnsi="Arial"/>
          <w:sz w:val="16"/>
          <w:szCs w:val="16"/>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49" w:lineRule="exact"/>
        <w:rPr>
          <w:sz w:val="20"/>
          <w:szCs w:val="20"/>
          <w:color w:val="auto"/>
        </w:rPr>
      </w:pPr>
    </w:p>
    <w:p>
      <w:pPr>
        <w:jc w:val="both"/>
        <w:ind w:firstLine="405"/>
        <w:spacing w:after="0" w:line="323" w:lineRule="auto"/>
        <w:rPr>
          <w:sz w:val="20"/>
          <w:szCs w:val="20"/>
          <w:color w:val="auto"/>
        </w:rPr>
      </w:pPr>
      <w:r>
        <w:rPr>
          <w:rFonts w:ascii="Arial" w:cs="Arial" w:eastAsia="Arial" w:hAnsi="Arial"/>
          <w:sz w:val="17"/>
          <w:szCs w:val="17"/>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71.10 during the quarter ended December 31, 2018 to 71.35 during the quarter ended December 31, 2019, representing a depreciation of 0.3%. The average exchange rate of the U.S. Dollar against the Philippine Peso decreased from 52.86 during the quarter ended December 31, 2018 to 50.73 during the quarter ended December 31, 2019, representing an</w:t>
      </w:r>
    </w:p>
    <w:p>
      <w:pPr>
        <w:sectPr>
          <w:pgSz w:w="11900" w:h="16838" w:orient="portrait"/>
          <w:cols w:equalWidth="0" w:num="1">
            <w:col w:w="11420"/>
          </w:cols>
          <w:pgMar w:left="240" w:top="675" w:right="239" w:bottom="1440" w:gutter="0" w:footer="0" w:header="0"/>
        </w:sectPr>
      </w:pPr>
    </w:p>
    <w:bookmarkStart w:id="13" w:name="page14"/>
    <w:bookmarkEnd w:id="13"/>
    <w:p>
      <w:pPr>
        <w:spacing w:after="0" w:line="324" w:lineRule="auto"/>
        <w:rPr>
          <w:sz w:val="20"/>
          <w:szCs w:val="20"/>
          <w:color w:val="auto"/>
        </w:rPr>
      </w:pPr>
      <w:r>
        <w:rPr>
          <w:rFonts w:ascii="Arial" w:cs="Arial" w:eastAsia="Arial" w:hAnsi="Arial"/>
          <w:sz w:val="18"/>
          <w:szCs w:val="18"/>
          <w:color w:val="auto"/>
        </w:rPr>
        <w:t>appreciation of 4.0%. The average exchange rate of the British Pound against the U.S. Dollar increased from 1.28 during the quarter ended December 31, 2018 to 1.30 during the quarter ended December 31, 2019, representing an appreciation of 1.8%.</w:t>
      </w:r>
    </w:p>
    <w:p>
      <w:pPr>
        <w:spacing w:after="0" w:line="170"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year ended December 31, 2019 and December 31, 2018, the three months ended December 31, 2019 and 2018 and the three months ended September 30, 2019:</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w w:val="90"/>
              </w:rPr>
              <w:t>Year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5"/>
          </w:tcPr>
          <w:p>
            <w:pPr>
              <w:jc w:val="right"/>
              <w:ind w:right="1019"/>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47"/>
        </w:trPr>
        <w:tc>
          <w:tcPr>
            <w:tcW w:w="54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gridSpan w:val="4"/>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8"/>
                <w:szCs w:val="18"/>
                <w:color w:val="auto"/>
              </w:rPr>
            </w:pPr>
          </w:p>
        </w:tc>
        <w:tc>
          <w:tcPr>
            <w:tcW w:w="202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47"/>
        </w:trPr>
        <w:tc>
          <w:tcPr>
            <w:tcW w:w="54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299"/>
              <w:spacing w:after="0"/>
              <w:rPr>
                <w:sz w:val="20"/>
                <w:szCs w:val="20"/>
                <w:color w:val="auto"/>
              </w:rPr>
            </w:pPr>
            <w:r>
              <w:rPr>
                <w:rFonts w:ascii="Arial" w:cs="Arial" w:eastAsia="Arial" w:hAnsi="Arial"/>
                <w:sz w:val="16"/>
                <w:szCs w:val="16"/>
                <w:b w:val="1"/>
                <w:bCs w:val="1"/>
                <w:color w:val="auto"/>
                <w:w w:val="84"/>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7"/>
        </w:trPr>
        <w:tc>
          <w:tcPr>
            <w:tcW w:w="54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(GAAP)</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67,659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56,726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21,356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3,857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19,044</w:t>
            </w:r>
          </w:p>
        </w:tc>
        <w:tc>
          <w:tcPr>
            <w:tcW w:w="0" w:type="dxa"/>
            <w:vAlign w:val="bottom"/>
          </w:tcPr>
          <w:p>
            <w:pPr>
              <w:spacing w:after="0"/>
              <w:rPr>
                <w:sz w:val="1"/>
                <w:szCs w:val="1"/>
                <w:color w:val="auto"/>
              </w:rPr>
            </w:pPr>
          </w:p>
        </w:tc>
      </w:tr>
      <w:tr>
        <w:trPr>
          <w:trHeight w:val="224"/>
        </w:trPr>
        <w:tc>
          <w:tcPr>
            <w:tcW w:w="5440" w:type="dxa"/>
            <w:vAlign w:val="bottom"/>
          </w:tcPr>
          <w:p>
            <w:pPr>
              <w:ind w:left="380"/>
              <w:spacing w:after="0"/>
              <w:rPr>
                <w:sz w:val="20"/>
                <w:szCs w:val="20"/>
                <w:color w:val="auto"/>
              </w:rPr>
            </w:pPr>
            <w:r>
              <w:rPr>
                <w:rFonts w:ascii="Arial" w:cs="Arial" w:eastAsia="Arial" w:hAnsi="Arial"/>
                <w:sz w:val="16"/>
                <w:szCs w:val="16"/>
                <w:color w:val="auto"/>
              </w:rPr>
              <w:t>add: Income tax expense/(benefit)</w:t>
            </w: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15,172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2,601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5,701</w:t>
            </w:r>
          </w:p>
        </w:tc>
        <w:tc>
          <w:tcPr>
            <w:tcW w:w="0" w:type="dxa"/>
            <w:vAlign w:val="bottom"/>
          </w:tcPr>
          <w:p>
            <w:pPr>
              <w:spacing w:after="0"/>
              <w:rPr>
                <w:sz w:val="1"/>
                <w:szCs w:val="1"/>
                <w:color w:val="auto"/>
              </w:rPr>
            </w:pPr>
          </w:p>
        </w:tc>
      </w:tr>
      <w:tr>
        <w:trPr>
          <w:trHeight w:val="47"/>
        </w:trPr>
        <w:tc>
          <w:tcPr>
            <w:tcW w:w="5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9"/>
              </w:rPr>
              <w:t>subtract: Interest expense, foreign exchange gain, net, loss from equity-</w:t>
            </w:r>
          </w:p>
        </w:tc>
        <w:tc>
          <w:tcPr>
            <w:tcW w:w="24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(6,378)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97"/>
              </w:rPr>
              <w:t>(10,302)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(2,551)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(2,323)</w:t>
            </w:r>
          </w:p>
        </w:tc>
        <w:tc>
          <w:tcPr>
            <w:tcW w:w="0" w:type="dxa"/>
            <w:vAlign w:val="bottom"/>
          </w:tcPr>
          <w:p>
            <w:pPr>
              <w:spacing w:after="0"/>
              <w:rPr>
                <w:sz w:val="1"/>
                <w:szCs w:val="1"/>
                <w:color w:val="auto"/>
              </w:rPr>
            </w:pPr>
          </w:p>
        </w:tc>
      </w:tr>
      <w:tr>
        <w:trPr>
          <w:trHeight w:val="98"/>
        </w:trPr>
        <w:tc>
          <w:tcPr>
            <w:tcW w:w="544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method investment and other income, net</w:t>
            </w:r>
          </w:p>
        </w:tc>
        <w:tc>
          <w:tcPr>
            <w:tcW w:w="24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44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440" w:type="dxa"/>
            <w:vAlign w:val="bottom"/>
          </w:tcPr>
          <w:p>
            <w:pPr>
              <w:ind w:left="40"/>
              <w:spacing w:after="0"/>
              <w:rPr>
                <w:sz w:val="20"/>
                <w:szCs w:val="20"/>
                <w:color w:val="auto"/>
              </w:rPr>
            </w:pPr>
            <w:r>
              <w:rPr>
                <w:rFonts w:ascii="Arial" w:cs="Arial" w:eastAsia="Arial" w:hAnsi="Arial"/>
                <w:sz w:val="16"/>
                <w:szCs w:val="16"/>
                <w:b w:val="1"/>
                <w:bCs w:val="1"/>
                <w:color w:val="auto"/>
              </w:rPr>
              <w:t>Income/(loss) from operations (GAAP)</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76,453</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49,821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23,314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(2,093)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22,422</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26,070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7,427</w:t>
            </w:r>
          </w:p>
        </w:tc>
        <w:tc>
          <w:tcPr>
            <w:tcW w:w="0" w:type="dxa"/>
            <w:vAlign w:val="bottom"/>
          </w:tcPr>
          <w:p>
            <w:pPr>
              <w:spacing w:after="0"/>
              <w:rPr>
                <w:sz w:val="1"/>
                <w:szCs w:val="1"/>
                <w:color w:val="auto"/>
              </w:rPr>
            </w:pPr>
          </w:p>
        </w:tc>
      </w:tr>
      <w:tr>
        <w:trPr>
          <w:trHeight w:val="224"/>
        </w:trPr>
        <w:tc>
          <w:tcPr>
            <w:tcW w:w="5440" w:type="dxa"/>
            <w:vAlign w:val="bottom"/>
          </w:tcPr>
          <w:p>
            <w:pPr>
              <w:ind w:left="380"/>
              <w:spacing w:after="0"/>
              <w:rPr>
                <w:sz w:val="20"/>
                <w:szCs w:val="20"/>
                <w:color w:val="auto"/>
              </w:rPr>
            </w:pPr>
            <w:r>
              <w:rPr>
                <w:rFonts w:ascii="Arial" w:cs="Arial" w:eastAsia="Arial" w:hAnsi="Arial"/>
                <w:sz w:val="16"/>
                <w:szCs w:val="16"/>
                <w:color w:val="auto"/>
              </w:rPr>
              <w:t>add: Amortization of acquisition-related intangibles</w:t>
            </w: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21,558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20,377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4,974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5,951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5,502</w:t>
            </w:r>
          </w:p>
        </w:tc>
        <w:tc>
          <w:tcPr>
            <w:tcW w:w="0" w:type="dxa"/>
            <w:vAlign w:val="bottom"/>
          </w:tcPr>
          <w:p>
            <w:pPr>
              <w:spacing w:after="0"/>
              <w:rPr>
                <w:sz w:val="1"/>
                <w:szCs w:val="1"/>
                <w:color w:val="auto"/>
              </w:rPr>
            </w:pPr>
          </w:p>
        </w:tc>
      </w:tr>
      <w:tr>
        <w:trPr>
          <w:trHeight w:val="47"/>
        </w:trPr>
        <w:tc>
          <w:tcPr>
            <w:tcW w:w="5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Impairment and restructuring charges (a)</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24"/>
        </w:trPr>
        <w:tc>
          <w:tcPr>
            <w:tcW w:w="5440" w:type="dxa"/>
            <w:vAlign w:val="bottom"/>
          </w:tcPr>
          <w:p>
            <w:pPr>
              <w:ind w:left="380"/>
              <w:spacing w:after="0"/>
              <w:rPr>
                <w:sz w:val="20"/>
                <w:szCs w:val="20"/>
                <w:color w:val="auto"/>
              </w:rPr>
            </w:pPr>
            <w:r>
              <w:rPr>
                <w:rFonts w:ascii="Arial" w:cs="Arial" w:eastAsia="Arial" w:hAnsi="Arial"/>
                <w:sz w:val="16"/>
                <w:szCs w:val="16"/>
                <w:color w:val="auto"/>
              </w:rPr>
              <w:t>add: Provision for litigation settlement (b)</w:t>
            </w:r>
          </w:p>
        </w:tc>
        <w:tc>
          <w:tcPr>
            <w:tcW w:w="24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Acquisition-related expenses (c)</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440" w:type="dxa"/>
            <w:vAlign w:val="bottom"/>
          </w:tcPr>
          <w:p>
            <w:pPr>
              <w:ind w:left="40"/>
              <w:spacing w:after="0"/>
              <w:rPr>
                <w:sz w:val="20"/>
                <w:szCs w:val="20"/>
                <w:color w:val="auto"/>
              </w:rPr>
            </w:pPr>
            <w:r>
              <w:rPr>
                <w:rFonts w:ascii="Arial" w:cs="Arial" w:eastAsia="Arial" w:hAnsi="Arial"/>
                <w:sz w:val="16"/>
                <w:szCs w:val="16"/>
                <w:b w:val="1"/>
                <w:bCs w:val="1"/>
                <w:color w:val="auto"/>
              </w:rPr>
              <w:t>Adjusted operating income (Non-GAAP)</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132,752</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118,850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34,195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30,740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35,840</w:t>
            </w:r>
          </w:p>
        </w:tc>
        <w:tc>
          <w:tcPr>
            <w:tcW w:w="0" w:type="dxa"/>
            <w:vAlign w:val="bottom"/>
          </w:tcPr>
          <w:p>
            <w:pPr>
              <w:spacing w:after="0"/>
              <w:rPr>
                <w:sz w:val="1"/>
                <w:szCs w:val="1"/>
                <w:color w:val="auto"/>
              </w:rPr>
            </w:pPr>
          </w:p>
        </w:tc>
      </w:tr>
      <w:tr>
        <w:trPr>
          <w:trHeight w:val="73"/>
        </w:trPr>
        <w:tc>
          <w:tcPr>
            <w:tcW w:w="54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13.4%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13.5%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13.1%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14.3%</w:t>
            </w:r>
          </w:p>
        </w:tc>
        <w:tc>
          <w:tcPr>
            <w:tcW w:w="0" w:type="dxa"/>
            <w:vAlign w:val="bottom"/>
          </w:tcPr>
          <w:p>
            <w:pPr>
              <w:spacing w:after="0"/>
              <w:rPr>
                <w:sz w:val="1"/>
                <w:szCs w:val="1"/>
                <w:color w:val="auto"/>
              </w:rPr>
            </w:pPr>
          </w:p>
        </w:tc>
      </w:tr>
      <w:tr>
        <w:trPr>
          <w:trHeight w:val="224"/>
        </w:trPr>
        <w:tc>
          <w:tcPr>
            <w:tcW w:w="5440" w:type="dxa"/>
            <w:vAlign w:val="bottom"/>
          </w:tcPr>
          <w:p>
            <w:pPr>
              <w:ind w:left="380"/>
              <w:spacing w:after="0"/>
              <w:rPr>
                <w:sz w:val="20"/>
                <w:szCs w:val="20"/>
                <w:color w:val="auto"/>
              </w:rPr>
            </w:pPr>
            <w:r>
              <w:rPr>
                <w:rFonts w:ascii="Arial" w:cs="Arial" w:eastAsia="Arial" w:hAnsi="Arial"/>
                <w:sz w:val="16"/>
                <w:szCs w:val="16"/>
                <w:color w:val="auto"/>
              </w:rPr>
              <w:t>add: Depreciation</w:t>
            </w: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30,423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28,189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7,541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7,430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7,545</w:t>
            </w:r>
          </w:p>
        </w:tc>
        <w:tc>
          <w:tcPr>
            <w:tcW w:w="0" w:type="dxa"/>
            <w:vAlign w:val="bottom"/>
          </w:tcPr>
          <w:p>
            <w:pPr>
              <w:spacing w:after="0"/>
              <w:rPr>
                <w:sz w:val="1"/>
                <w:szCs w:val="1"/>
                <w:color w:val="auto"/>
              </w:rPr>
            </w:pPr>
          </w:p>
        </w:tc>
      </w:tr>
      <w:tr>
        <w:trPr>
          <w:trHeight w:val="47"/>
        </w:trPr>
        <w:tc>
          <w:tcPr>
            <w:tcW w:w="54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163,175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147,039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41,736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38,170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43,385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16.5%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16.7%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16.2%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i w:val="1"/>
                <w:iCs w:val="1"/>
                <w:color w:val="auto"/>
              </w:rPr>
              <w:t>16.2%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420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0" w:lineRule="exact"/>
        <w:rPr>
          <w:sz w:val="20"/>
          <w:szCs w:val="20"/>
          <w:color w:val="auto"/>
        </w:rPr>
      </w:pPr>
    </w:p>
    <w:p>
      <w:pPr>
        <w:ind w:left="260" w:hanging="225"/>
        <w:spacing w:after="0"/>
        <w:tabs>
          <w:tab w:leader="none" w:pos="2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impairment and restructuring charges related to wind down of the Health Integrated business.</w:t>
      </w:r>
    </w:p>
    <w:p>
      <w:pPr>
        <w:spacing w:after="0" w:line="22" w:lineRule="exact"/>
        <w:rPr>
          <w:rFonts w:ascii="Arial" w:cs="Arial" w:eastAsia="Arial" w:hAnsi="Arial"/>
          <w:sz w:val="16"/>
          <w:szCs w:val="16"/>
          <w:i w:val="1"/>
          <w:iCs w:val="1"/>
          <w:color w:val="auto"/>
        </w:rPr>
      </w:pPr>
    </w:p>
    <w:p>
      <w:pPr>
        <w:ind w:left="260" w:hanging="225"/>
        <w:spacing w:after="0"/>
        <w:tabs>
          <w:tab w:leader="none" w:pos="2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provision for litigation settlement recorded during the three months ended March 31, 2018.</w:t>
      </w:r>
    </w:p>
    <w:p>
      <w:pPr>
        <w:spacing w:after="0" w:line="18" w:lineRule="exact"/>
        <w:rPr>
          <w:rFonts w:ascii="Arial" w:cs="Arial" w:eastAsia="Arial" w:hAnsi="Arial"/>
          <w:sz w:val="16"/>
          <w:szCs w:val="16"/>
          <w:i w:val="1"/>
          <w:iCs w:val="1"/>
          <w:color w:val="auto"/>
        </w:rPr>
      </w:pPr>
    </w:p>
    <w:p>
      <w:pPr>
        <w:ind w:left="260" w:hanging="225"/>
        <w:spacing w:after="0"/>
        <w:tabs>
          <w:tab w:leader="none" w:pos="2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acquisition-related expenses.</w:t>
      </w:r>
    </w:p>
    <w:p>
      <w:pPr>
        <w:sectPr>
          <w:pgSz w:w="11900" w:h="16838" w:orient="portrait"/>
          <w:cols w:equalWidth="0" w:num="1">
            <w:col w:w="11420"/>
          </w:cols>
          <w:pgMar w:left="240" w:top="69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90"/>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80" w:type="dxa"/>
            <w:vAlign w:val="bottom"/>
            <w:gridSpan w:val="6"/>
          </w:tcPr>
          <w:p>
            <w:pPr>
              <w:jc w:val="right"/>
              <w:ind w:right="999"/>
              <w:spacing w:after="0"/>
              <w:rPr>
                <w:sz w:val="20"/>
                <w:szCs w:val="20"/>
                <w:color w:val="auto"/>
              </w:rPr>
            </w:pPr>
            <w:r>
              <w:rPr>
                <w:rFonts w:ascii="Arial" w:cs="Arial" w:eastAsia="Arial" w:hAnsi="Arial"/>
                <w:sz w:val="16"/>
                <w:szCs w:val="16"/>
                <w:b w:val="1"/>
                <w:bCs w:val="1"/>
                <w:color w:val="auto"/>
                <w:w w:val="94"/>
              </w:rPr>
              <w:t>Three months ended</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gridSpan w:val="4"/>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gridSpan w:val="5"/>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December 31,</w:t>
            </w:r>
          </w:p>
        </w:tc>
        <w:tc>
          <w:tcPr>
            <w:tcW w:w="220" w:type="dxa"/>
            <w:vAlign w:val="bottom"/>
          </w:tcPr>
          <w:p>
            <w:pPr>
              <w:spacing w:after="0"/>
              <w:rPr>
                <w:sz w:val="18"/>
                <w:szCs w:val="18"/>
                <w:color w:val="auto"/>
              </w:rPr>
            </w:pPr>
          </w:p>
        </w:tc>
        <w:tc>
          <w:tcPr>
            <w:tcW w:w="202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47"/>
        </w:trPr>
        <w:tc>
          <w:tcPr>
            <w:tcW w:w="5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 (GAAP)</w:t>
            </w: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380" w:type="dxa"/>
            <w:vAlign w:val="bottom"/>
            <w:vMerge w:val="continue"/>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67,659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56,726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21,356</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3,857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19,044</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Stock-based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26,070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7,427</w:t>
            </w: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Arial" w:cs="Arial" w:eastAsia="Arial" w:hAnsi="Arial"/>
                <w:sz w:val="16"/>
                <w:szCs w:val="16"/>
                <w:color w:val="auto"/>
              </w:rPr>
              <w:t>add: Amortization of acquisition-related intangibles</w:t>
            </w:r>
          </w:p>
        </w:tc>
        <w:tc>
          <w:tcPr>
            <w:tcW w:w="2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21,558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20,377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5,951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5,502</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Impairment and restructuring charges (a)</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Arial" w:cs="Arial" w:eastAsia="Arial" w:hAnsi="Arial"/>
                <w:sz w:val="16"/>
                <w:szCs w:val="16"/>
                <w:color w:val="auto"/>
              </w:rPr>
              <w:t>add: Provision for litigation settlement (b)</w:t>
            </w: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Acquisition-related (benefits)/expenses (c)</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Arial" w:cs="Arial" w:eastAsia="Arial" w:hAnsi="Arial"/>
                <w:sz w:val="16"/>
                <w:szCs w:val="16"/>
                <w:color w:val="auto"/>
              </w:rPr>
              <w:t>add: Non-cash interest expense related to convertible senior notes (d)</w:t>
            </w:r>
          </w:p>
        </w:tc>
        <w:tc>
          <w:tcPr>
            <w:tcW w:w="2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2,472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subtract: Effect of Tax Reform Act and other non-recurring tax</w:t>
            </w:r>
          </w:p>
        </w:tc>
        <w:tc>
          <w:tcPr>
            <w:tcW w:w="22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53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expenses/(benefits) (e)</w:t>
            </w:r>
          </w:p>
        </w:tc>
        <w:tc>
          <w:tcPr>
            <w:tcW w:w="22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380" w:type="dxa"/>
            <w:vAlign w:val="bottom"/>
            <w:tcBorders>
              <w:bottom w:val="single" w:sz="8" w:color="CCEEFF"/>
            </w:tcBorders>
            <w:vMerge w:val="continue"/>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Arial" w:cs="Arial" w:eastAsia="Arial" w:hAnsi="Arial"/>
                <w:sz w:val="16"/>
                <w:szCs w:val="16"/>
                <w:color w:val="auto"/>
              </w:rPr>
              <w:t>subtract: Tax impact on stock-based compensation expense (f)</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(1,790)</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Arial" w:cs="Arial" w:eastAsia="Arial" w:hAnsi="Arial"/>
                <w:sz w:val="16"/>
                <w:szCs w:val="16"/>
                <w:color w:val="auto"/>
              </w:rPr>
              <w:t>subtract: Tax impact on impairment and restructuring charges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subtract: Tax impact on provision for litigation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380" w:type="dxa"/>
            <w:vAlign w:val="bottom"/>
          </w:tcPr>
          <w:p>
            <w:pPr>
              <w:ind w:left="20"/>
              <w:spacing w:after="0"/>
              <w:rPr>
                <w:sz w:val="20"/>
                <w:szCs w:val="20"/>
                <w:color w:val="auto"/>
              </w:rPr>
            </w:pPr>
            <w:r>
              <w:rPr>
                <w:rFonts w:ascii="Arial" w:cs="Arial" w:eastAsia="Arial" w:hAnsi="Arial"/>
                <w:sz w:val="16"/>
                <w:szCs w:val="16"/>
                <w:color w:val="auto"/>
              </w:rPr>
              <w:t>subtract: Tax impact on acquisition-related expenses/(benefits)</w:t>
            </w:r>
          </w:p>
        </w:tc>
        <w:tc>
          <w:tcPr>
            <w:tcW w:w="2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subtract: Tax impact on non-cash interest expense related to convertible senior</w:t>
            </w:r>
          </w:p>
        </w:tc>
        <w:tc>
          <w:tcPr>
            <w:tcW w:w="22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98"/>
        </w:trPr>
        <w:tc>
          <w:tcPr>
            <w:tcW w:w="53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22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538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107,368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96,994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27,513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25,749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29,257</w:t>
            </w:r>
          </w:p>
        </w:tc>
        <w:tc>
          <w:tcPr>
            <w:tcW w:w="0" w:type="dxa"/>
            <w:vAlign w:val="bottom"/>
          </w:tcPr>
          <w:p>
            <w:pPr>
              <w:spacing w:after="0"/>
              <w:rPr>
                <w:sz w:val="1"/>
                <w:szCs w:val="1"/>
                <w:color w:val="auto"/>
              </w:rPr>
            </w:pPr>
          </w:p>
        </w:tc>
      </w:tr>
      <w:tr>
        <w:trPr>
          <w:trHeight w:val="73"/>
        </w:trPr>
        <w:tc>
          <w:tcPr>
            <w:tcW w:w="53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0.79</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0.84</w:t>
            </w:r>
          </w:p>
        </w:tc>
        <w:tc>
          <w:tcPr>
            <w:tcW w:w="0" w:type="dxa"/>
            <w:vAlign w:val="bottom"/>
          </w:tcPr>
          <w:p>
            <w:pPr>
              <w:spacing w:after="0"/>
              <w:rPr>
                <w:sz w:val="1"/>
                <w:szCs w:val="1"/>
                <w:color w:val="auto"/>
              </w:rPr>
            </w:pPr>
          </w:p>
        </w:tc>
      </w:tr>
      <w:tr>
        <w:trPr>
          <w:trHeight w:val="33"/>
        </w:trPr>
        <w:tc>
          <w:tcPr>
            <w:tcW w:w="5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40" w:hanging="227"/>
        <w:spacing w:after="0"/>
        <w:tabs>
          <w:tab w:leader="none" w:pos="6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impairment and restructuring charges related to wind down of the Health Integrated business.</w:t>
      </w:r>
    </w:p>
    <w:p>
      <w:pPr>
        <w:spacing w:after="0" w:line="221" w:lineRule="exact"/>
        <w:rPr>
          <w:rFonts w:ascii="Arial" w:cs="Arial" w:eastAsia="Arial" w:hAnsi="Arial"/>
          <w:sz w:val="16"/>
          <w:szCs w:val="16"/>
          <w:i w:val="1"/>
          <w:iCs w:val="1"/>
          <w:color w:val="auto"/>
        </w:rPr>
      </w:pPr>
    </w:p>
    <w:p>
      <w:pPr>
        <w:ind w:left="640" w:hanging="227"/>
        <w:spacing w:after="0"/>
        <w:tabs>
          <w:tab w:leader="none" w:pos="6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provision for litigation settlement recorded during the three months ended March 31, 2018.</w:t>
      </w:r>
    </w:p>
    <w:p>
      <w:pPr>
        <w:spacing w:after="0" w:line="221" w:lineRule="exact"/>
        <w:rPr>
          <w:rFonts w:ascii="Arial" w:cs="Arial" w:eastAsia="Arial" w:hAnsi="Arial"/>
          <w:sz w:val="16"/>
          <w:szCs w:val="16"/>
          <w:i w:val="1"/>
          <w:iCs w:val="1"/>
          <w:color w:val="auto"/>
        </w:rPr>
      </w:pPr>
    </w:p>
    <w:p>
      <w:pPr>
        <w:ind w:left="640" w:hanging="227"/>
        <w:spacing w:after="0"/>
        <w:tabs>
          <w:tab w:leader="none" w:pos="6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 related expenses and one-time benefits.</w:t>
      </w:r>
    </w:p>
    <w:p>
      <w:pPr>
        <w:spacing w:after="0" w:line="113" w:lineRule="exact"/>
        <w:rPr>
          <w:rFonts w:ascii="Arial" w:cs="Arial" w:eastAsia="Arial" w:hAnsi="Arial"/>
          <w:sz w:val="16"/>
          <w:szCs w:val="16"/>
          <w:i w:val="1"/>
          <w:iCs w:val="1"/>
          <w:color w:val="auto"/>
        </w:rPr>
      </w:pPr>
    </w:p>
    <w:p>
      <w:pPr>
        <w:ind w:left="640" w:hanging="227"/>
        <w:spacing w:after="0"/>
        <w:tabs>
          <w:tab w:leader="none" w:pos="6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non-cash interest expense related to convertible senior notes.</w:t>
      </w:r>
    </w:p>
    <w:p>
      <w:pPr>
        <w:spacing w:after="0" w:line="113" w:lineRule="exact"/>
        <w:rPr>
          <w:rFonts w:ascii="Arial" w:cs="Arial" w:eastAsia="Arial" w:hAnsi="Arial"/>
          <w:sz w:val="16"/>
          <w:szCs w:val="16"/>
          <w:i w:val="1"/>
          <w:iCs w:val="1"/>
          <w:color w:val="auto"/>
        </w:rPr>
      </w:pPr>
    </w:p>
    <w:p>
      <w:pPr>
        <w:jc w:val="both"/>
        <w:ind w:left="660" w:hanging="247"/>
        <w:spacing w:after="0" w:line="253" w:lineRule="auto"/>
        <w:tabs>
          <w:tab w:leader="none" w:pos="651"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 2019, the Company recorded non-recurring tax benefits of $1,663 and $3,134 during the three months ended and year ended December 31, 2019, respectively, related to certain deferred tax assets and liabilities. In 2018, the Company finalized its transition tax expense under the Tax Reform Act and recorded tax expense of $5,012 and $176 during the three months ended and year ended December 31, 2018, respectively. The Company also recorded non-recurring tax benefits of $6,274 with respect to its unused 2018 foreign branch income tax credits under IRC regulations issued in December 2018 and certain deferred tax assets of $1,712 during the three months ended and year ended December 31, 2018.</w:t>
      </w:r>
    </w:p>
    <w:p>
      <w:pPr>
        <w:spacing w:after="0" w:line="191" w:lineRule="exact"/>
        <w:rPr>
          <w:rFonts w:ascii="Arial" w:cs="Arial" w:eastAsia="Arial" w:hAnsi="Arial"/>
          <w:sz w:val="16"/>
          <w:szCs w:val="16"/>
          <w:i w:val="1"/>
          <w:iCs w:val="1"/>
          <w:color w:val="auto"/>
        </w:rPr>
      </w:pPr>
    </w:p>
    <w:p>
      <w:pPr>
        <w:jc w:val="both"/>
        <w:ind w:left="660" w:hanging="247"/>
        <w:spacing w:after="0" w:line="261" w:lineRule="auto"/>
        <w:tabs>
          <w:tab w:leader="none" w:pos="612"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Tax impact includes $2,306 and $7,227 for the year ended December 31, 2019 and 2018 respectively, $1,211 and $1,789 during the three months ended December 31, 2019 and 2018 respectively, and $21 during the three months ended September 30, 2019 related to discrete benefit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10060" w:firstLine="8"/>
        <w:spacing w:after="0" w:line="323" w:lineRule="auto"/>
        <w:tabs>
          <w:tab w:leader="none" w:pos="4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Roman"/>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2020-02-27T05:45:56Z</dcterms:created>
  <dcterms:modified xsi:type="dcterms:W3CDTF">2020-02-27T05:45:56Z</dcterms:modified>
</cp:coreProperties>
</file>