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rPr>
          <w:sz w:val="20"/>
          <w:szCs w:val="20"/>
          <w:color w:val="auto"/>
        </w:rPr>
      </w:pPr>
      <w:r>
        <w:rPr>
          <w:rFonts w:ascii="Courier New" w:cs="Courier New" w:eastAsia="Courier New" w:hAnsi="Courier New"/>
          <w:sz w:val="18"/>
          <w:szCs w:val="18"/>
          <w:color w:val="auto"/>
        </w:rPr>
        <w:t>Name of Issuer: ExlService Holdings Inc.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302081104</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1,770,784</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1,770,784</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1,770,784</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5.5%</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ExlService Holdings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rPr>
          <w:sz w:val="20"/>
          <w:szCs w:val="20"/>
          <w:color w:val="auto"/>
        </w:rPr>
      </w:pPr>
      <w:r>
        <w:rPr>
          <w:rFonts w:ascii="Courier New" w:cs="Courier New" w:eastAsia="Courier New" w:hAnsi="Courier New"/>
          <w:sz w:val="18"/>
          <w:szCs w:val="18"/>
          <w:color w:val="auto"/>
        </w:rPr>
        <w:t>280 Park Avenue, 38th Floor, New York, NY 10017</w:t>
      </w:r>
    </w:p>
    <w:p>
      <w:pPr>
        <w:spacing w:after="0" w:line="237"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150 Social Hall Avenue, Salt Lake City, UT 84111</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302081104</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1,770,784</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1,770,784</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1,770,784</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2012.</w:t>
      </w:r>
    </w:p>
    <w:p>
      <w:pPr>
        <w:spacing w:after="0" w:line="238" w:lineRule="auto"/>
        <w:rPr>
          <w:sz w:val="20"/>
          <w:szCs w:val="20"/>
          <w:color w:val="auto"/>
        </w:rPr>
      </w:pPr>
      <w:r>
        <w:rPr>
          <w:rFonts w:ascii="Courier New" w:cs="Courier New" w:eastAsia="Courier New" w:hAnsi="Courier New"/>
          <w:sz w:val="18"/>
          <w:szCs w:val="18"/>
          <w:color w:val="auto"/>
        </w:rPr>
        <w:t>Date: 02/14/13</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2019-12-07T08:39:00Z</dcterms:created>
  <dcterms:modified xsi:type="dcterms:W3CDTF">2019-12-07T08:39:00Z</dcterms:modified>
</cp:coreProperties>
</file>