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April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On April 30, 2011, ExlService Holdings, Inc. (“</w:t>
      </w:r>
      <w:r>
        <w:rPr>
          <w:rFonts w:ascii="Arial" w:cs="Arial" w:eastAsia="Arial" w:hAnsi="Arial"/>
          <w:sz w:val="18"/>
          <w:szCs w:val="18"/>
          <w:u w:val="single" w:color="auto"/>
          <w:color w:val="auto"/>
        </w:rPr>
        <w:t>EXL</w:t>
      </w:r>
      <w:r>
        <w:rPr>
          <w:rFonts w:ascii="Arial" w:cs="Arial" w:eastAsia="Arial" w:hAnsi="Arial"/>
          <w:sz w:val="18"/>
          <w:szCs w:val="18"/>
          <w:color w:val="auto"/>
        </w:rPr>
        <w:t>”) and F&amp;A BPO Merger Sub, Inc., a Delaware corporation and a wholly owned subsidiary of EXL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a definitive Merger Agreement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Business Process Outsourcing, Inc., a Cayman Islands exempted company (“</w:t>
      </w:r>
      <w:r>
        <w:rPr>
          <w:rFonts w:ascii="Arial" w:cs="Arial" w:eastAsia="Arial" w:hAnsi="Arial"/>
          <w:sz w:val="18"/>
          <w:szCs w:val="18"/>
          <w:u w:val="single" w:color="auto"/>
          <w:color w:val="auto"/>
        </w:rPr>
        <w:t>OPI</w:t>
      </w:r>
      <w:r>
        <w:rPr>
          <w:rFonts w:ascii="Arial" w:cs="Arial" w:eastAsia="Arial" w:hAnsi="Arial"/>
          <w:sz w:val="18"/>
          <w:szCs w:val="18"/>
          <w:color w:val="auto"/>
        </w:rPr>
        <w:t>”) and Shareholder Representative Services LLC, a Colorado limited liability company. OPI is a leading global provider of finance and accounting outsourcing services.</w:t>
      </w:r>
    </w:p>
    <w:p>
      <w:pPr>
        <w:spacing w:after="0" w:line="143" w:lineRule="exact"/>
        <w:rPr>
          <w:sz w:val="20"/>
          <w:szCs w:val="20"/>
          <w:color w:val="auto"/>
        </w:rPr>
      </w:pPr>
    </w:p>
    <w:p>
      <w:pPr>
        <w:ind w:right="360" w:firstLine="913"/>
        <w:spacing w:after="0" w:line="306" w:lineRule="auto"/>
        <w:rPr>
          <w:sz w:val="20"/>
          <w:szCs w:val="20"/>
          <w:color w:val="auto"/>
        </w:rPr>
      </w:pPr>
      <w:r>
        <w:rPr>
          <w:rFonts w:ascii="Arial" w:cs="Arial" w:eastAsia="Arial" w:hAnsi="Arial"/>
          <w:sz w:val="16"/>
          <w:szCs w:val="16"/>
          <w:color w:val="auto"/>
        </w:rPr>
        <w:t>Under the terms of the Merger Agreement and subject to the conditions set forth therein, Merger Sub will merge with and into OPI and OPI will survive and become a wholly owned subsidiary of EXL (the “</w:t>
      </w:r>
      <w:r>
        <w:rPr>
          <w:rFonts w:ascii="Arial" w:cs="Arial" w:eastAsia="Arial" w:hAnsi="Arial"/>
          <w:sz w:val="16"/>
          <w:szCs w:val="16"/>
          <w:u w:val="single" w:color="auto"/>
          <w:color w:val="auto"/>
        </w:rPr>
        <w:t>Merger</w:t>
      </w:r>
      <w:r>
        <w:rPr>
          <w:rFonts w:ascii="Arial" w:cs="Arial" w:eastAsia="Arial" w:hAnsi="Arial"/>
          <w:sz w:val="16"/>
          <w:szCs w:val="16"/>
          <w:color w:val="auto"/>
        </w:rPr>
        <w:t>”). The aggregate consideration for all the outstanding capital stock of OPI will be $91,000,000 in cash, subject to adjustment based on working capital, OPI’s debt and certain transaction expenses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w:t>
      </w:r>
    </w:p>
    <w:p>
      <w:pPr>
        <w:spacing w:after="0" w:line="107"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EXL anticipates that it will finance the Merger with existing cash on the balance sheet as well as the proceeds of a revolving credit facility. The terms and definitive documentation of such revolving credit facility are currently being negotiated.</w:t>
      </w:r>
    </w:p>
    <w:p>
      <w:pPr>
        <w:spacing w:after="0" w:line="132" w:lineRule="exact"/>
        <w:rPr>
          <w:sz w:val="20"/>
          <w:szCs w:val="20"/>
          <w:color w:val="auto"/>
        </w:rPr>
      </w:pPr>
    </w:p>
    <w:p>
      <w:pPr>
        <w:ind w:right="440" w:firstLine="913"/>
        <w:spacing w:after="0" w:line="306" w:lineRule="auto"/>
        <w:rPr>
          <w:sz w:val="20"/>
          <w:szCs w:val="20"/>
          <w:color w:val="auto"/>
        </w:rPr>
      </w:pPr>
      <w:r>
        <w:rPr>
          <w:rFonts w:ascii="Arial" w:cs="Arial" w:eastAsia="Arial" w:hAnsi="Arial"/>
          <w:sz w:val="16"/>
          <w:szCs w:val="16"/>
          <w:color w:val="auto"/>
        </w:rPr>
        <w:t>The Merger is expected to close (the “</w:t>
      </w:r>
      <w:r>
        <w:rPr>
          <w:rFonts w:ascii="Arial" w:cs="Arial" w:eastAsia="Arial" w:hAnsi="Arial"/>
          <w:sz w:val="16"/>
          <w:szCs w:val="16"/>
          <w:u w:val="single" w:color="auto"/>
          <w:color w:val="auto"/>
        </w:rPr>
        <w:t>Closing</w:t>
      </w:r>
      <w:r>
        <w:rPr>
          <w:rFonts w:ascii="Arial" w:cs="Arial" w:eastAsia="Arial" w:hAnsi="Arial"/>
          <w:sz w:val="16"/>
          <w:szCs w:val="16"/>
          <w:color w:val="auto"/>
        </w:rPr>
        <w:t>”) during the second quarter of 2011 and is subject to customary and other closing conditions, including the completion of the restructuring of OPI and its subsidiaries prior to the Closing whereby, among other things, OPI will de-register as a Cayman Islands exempted company and become a domesticated Delaware corporation (the “</w:t>
      </w:r>
      <w:r>
        <w:rPr>
          <w:rFonts w:ascii="Arial" w:cs="Arial" w:eastAsia="Arial" w:hAnsi="Arial"/>
          <w:sz w:val="16"/>
          <w:szCs w:val="16"/>
          <w:u w:val="single" w:color="auto"/>
          <w:color w:val="auto"/>
        </w:rPr>
        <w:t>Restructuring</w:t>
      </w:r>
      <w:r>
        <w:rPr>
          <w:rFonts w:ascii="Arial" w:cs="Arial" w:eastAsia="Arial" w:hAnsi="Arial"/>
          <w:sz w:val="16"/>
          <w:szCs w:val="16"/>
          <w:color w:val="auto"/>
        </w:rPr>
        <w:t>”). The Merger is not subject to a financing contingency.</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Merger Agreement contains customary representations, warranties and covenants of each of OPI, EXL and Merger Sub.</w:t>
      </w:r>
    </w:p>
    <w:p>
      <w:pPr>
        <w:spacing w:after="0" w:line="17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EXL has placed a $10 million deposit on the purchase price into an escrow account as security for EXL’s and Merger Sub’s obligations to consummate the Merger. A portion of the Merger Consideration otherwise payable in the Merger will be placed into escrow as security for the indemnification obligations of OPI’s stockholders under the Merger Agreement.</w:t>
      </w:r>
    </w:p>
    <w:p>
      <w:pPr>
        <w:spacing w:after="0" w:line="140"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Concurrently with the execution of the Merger Agreement, significant stockholders of OPI have each entered into Support Agreements with EXL (the “</w:t>
      </w:r>
      <w:r>
        <w:rPr>
          <w:rFonts w:ascii="Arial" w:cs="Arial" w:eastAsia="Arial" w:hAnsi="Arial"/>
          <w:sz w:val="16"/>
          <w:szCs w:val="16"/>
          <w:u w:val="single" w:color="auto"/>
          <w:color w:val="auto"/>
        </w:rPr>
        <w:t>Support Agreements</w:t>
      </w:r>
      <w:r>
        <w:rPr>
          <w:rFonts w:ascii="Arial" w:cs="Arial" w:eastAsia="Arial" w:hAnsi="Arial"/>
          <w:sz w:val="16"/>
          <w:szCs w:val="16"/>
          <w:color w:val="auto"/>
        </w:rPr>
        <w:t>”). Pursuant to the Support Agreements, the stockholders have agreed, in their capacity as stockholders of OPI, to, among other things, vote their shares of OPI to approve the Restructuring, the Merger Agreement and the Merger. The shares subject to the Support Agreements represent an aggregate of approximately 92% of the voting power of OPI stock outstanding as of April 28, 2011.</w:t>
      </w:r>
    </w:p>
    <w:p>
      <w:pPr>
        <w:spacing w:after="0" w:line="11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foregoing summary of the Merger Agreement, Support Agreements and the transactions contemplated thereby do not purport to be complete and are subject to, and qualified in their entirety by, the full text of the Merger Agreement and Support Agreements.</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On May 2, 2011, the Company reported its results of operations for the three months ended March 31, 2011. A copy of the press release issued by the Company concerning the foregoing is furnished herewith as Exhibit 99.1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On April 27, 2011, the Company’s Board of Directors adopted the Amended and Restated By-Laws of ExlService Holdings, Inc., which reflect the fact that the Company’s Chairman of the Board of Directors need not be an executive officer of the Company. A copy of the Amended and Restated By-Laws is attached hereto as Exhibit 3.1.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On May 2, 2011, EXL issued a joint press release with OPI announcing the execution of the Merger Agreement. A copy of the press release is attached hereto as Exhibit 99.2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This Current Report on Form 8-K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2340" w:type="dxa"/>
            <w:vAlign w:val="bottom"/>
          </w:tcPr>
          <w:p>
            <w:pPr>
              <w:spacing w:after="0"/>
              <w:rPr>
                <w:sz w:val="14"/>
                <w:szCs w:val="14"/>
                <w:color w:val="auto"/>
              </w:rPr>
            </w:pPr>
          </w:p>
        </w:tc>
      </w:tr>
      <w:tr>
        <w:trPr>
          <w:trHeight w:val="316"/>
        </w:trPr>
        <w:tc>
          <w:tcPr>
            <w:tcW w:w="680" w:type="dxa"/>
            <w:vAlign w:val="bottom"/>
          </w:tcPr>
          <w:p>
            <w:pPr>
              <w:jc w:val="right"/>
              <w:ind w:right="97"/>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8"/>
              </w:rPr>
              <w:t>Third Amended and Restated By-Laws</w:t>
            </w:r>
          </w:p>
        </w:tc>
      </w:tr>
      <w:tr>
        <w:trPr>
          <w:trHeight w:val="324"/>
        </w:trPr>
        <w:tc>
          <w:tcPr>
            <w:tcW w:w="680" w:type="dxa"/>
            <w:vAlign w:val="bottom"/>
          </w:tcPr>
          <w:p>
            <w:pPr>
              <w:jc w:val="right"/>
              <w:ind w:right="97"/>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9"/>
              </w:rPr>
              <w:t>Press Release dated May 2, 2011.</w:t>
            </w:r>
          </w:p>
        </w:tc>
      </w:tr>
      <w:tr>
        <w:trPr>
          <w:trHeight w:val="324"/>
        </w:trPr>
        <w:tc>
          <w:tcPr>
            <w:tcW w:w="680" w:type="dxa"/>
            <w:vAlign w:val="bottom"/>
          </w:tcPr>
          <w:p>
            <w:pPr>
              <w:jc w:val="right"/>
              <w:ind w:right="97"/>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9"/>
              </w:rPr>
              <w:t>Press Release dated May 2, 2011.</w:t>
            </w:r>
          </w:p>
        </w:tc>
      </w:tr>
    </w:tbl>
    <w:p>
      <w:pPr>
        <w:spacing w:after="0"/>
        <w:rPr>
          <w:sz w:val="20"/>
          <w:szCs w:val="20"/>
          <w:color w:val="auto"/>
        </w:rPr>
        <w:sectPr>
          <w:pgSz w:w="11900" w:h="16838" w:orient="portrait"/>
          <w:cols w:equalWidth="0" w:num="1">
            <w:col w:w="10219"/>
          </w:cols>
          <w:pgMar w:left="240" w:top="27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2, 2011</w:t>
      </w:r>
      <w:r>
        <w:rPr>
          <w:sz w:val="20"/>
          <w:szCs w:val="20"/>
          <w:color w:val="auto"/>
        </w:rPr>
        <w:tab/>
      </w:r>
      <w:r>
        <w:rPr>
          <w:rFonts w:ascii="Arial" w:cs="Arial" w:eastAsia="Arial" w:hAnsi="Arial"/>
          <w:sz w:val="16"/>
          <w:szCs w:val="16"/>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Amit Shashank</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General Counsel and Corporate Secretary</w:t>
      </w:r>
    </w:p>
    <w:p>
      <w:pPr>
        <w:sectPr>
          <w:pgSz w:w="11900" w:h="16838" w:orient="portrait"/>
          <w:cols w:equalWidth="0" w:num="1">
            <w:col w:w="11400"/>
          </w:cols>
          <w:pgMar w:left="240" w:top="274" w:right="259" w:bottom="1440" w:gutter="0" w:footer="0" w:header="0"/>
        </w:sectPr>
      </w:pPr>
    </w:p>
    <w:bookmarkStart w:id="5" w:name="page6"/>
    <w:bookmarkEnd w:id="5"/>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2340" w:type="dxa"/>
            <w:vAlign w:val="bottom"/>
          </w:tcPr>
          <w:p>
            <w:pPr>
              <w:spacing w:after="0"/>
              <w:rPr>
                <w:sz w:val="14"/>
                <w:szCs w:val="14"/>
                <w:color w:val="auto"/>
              </w:rPr>
            </w:pPr>
          </w:p>
        </w:tc>
      </w:tr>
      <w:tr>
        <w:trPr>
          <w:trHeight w:val="316"/>
        </w:trPr>
        <w:tc>
          <w:tcPr>
            <w:tcW w:w="680" w:type="dxa"/>
            <w:vAlign w:val="bottom"/>
          </w:tcPr>
          <w:p>
            <w:pPr>
              <w:jc w:val="right"/>
              <w:ind w:right="97"/>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8"/>
              </w:rPr>
              <w:t>Third Amended and Restated By-Laws</w:t>
            </w:r>
          </w:p>
        </w:tc>
      </w:tr>
      <w:tr>
        <w:trPr>
          <w:trHeight w:val="324"/>
        </w:trPr>
        <w:tc>
          <w:tcPr>
            <w:tcW w:w="680" w:type="dxa"/>
            <w:vAlign w:val="bottom"/>
          </w:tcPr>
          <w:p>
            <w:pPr>
              <w:jc w:val="right"/>
              <w:ind w:right="97"/>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9"/>
              </w:rPr>
              <w:t>Press Release dated May 2, 2011.</w:t>
            </w:r>
          </w:p>
        </w:tc>
      </w:tr>
      <w:tr>
        <w:trPr>
          <w:trHeight w:val="324"/>
        </w:trPr>
        <w:tc>
          <w:tcPr>
            <w:tcW w:w="680" w:type="dxa"/>
            <w:vAlign w:val="bottom"/>
          </w:tcPr>
          <w:p>
            <w:pPr>
              <w:jc w:val="right"/>
              <w:ind w:right="97"/>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9"/>
              </w:rPr>
              <w:t>Press Release dated May 2, 2011.</w:t>
            </w:r>
          </w:p>
        </w:tc>
      </w:tr>
    </w:tbl>
    <w:p>
      <w:pPr>
        <w:sectPr>
          <w:pgSz w:w="11900" w:h="16838" w:orient="portrait"/>
          <w:cols w:equalWidth="0" w:num="1">
            <w:col w:w="10219"/>
          </w:cols>
          <w:pgMar w:left="240" w:top="274"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these By-laws, unless the context otherwise requires, the term:</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By-laws</w:t>
      </w:r>
      <w:r>
        <w:rPr>
          <w:rFonts w:ascii="Arial" w:cs="Arial" w:eastAsia="Arial" w:hAnsi="Arial"/>
          <w:sz w:val="18"/>
          <w:szCs w:val="18"/>
          <w:color w:val="auto"/>
        </w:rPr>
        <w:t>” means these Amended and Restated By-Laws of the Corporation, as further amended from time to time.</w:t>
      </w:r>
    </w:p>
    <w:p>
      <w:pPr>
        <w:spacing w:after="0" w:line="171" w:lineRule="exact"/>
        <w:rPr>
          <w:sz w:val="20"/>
          <w:szCs w:val="20"/>
          <w:color w:val="auto"/>
        </w:rPr>
      </w:pPr>
    </w:p>
    <w:p>
      <w:pPr>
        <w:ind w:right="940" w:firstLine="913"/>
        <w:spacing w:after="0" w:line="268"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Corporation, as further amended, supplemented or restated from time to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 of Directors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Corporation.</w:t>
      </w:r>
    </w:p>
    <w:p>
      <w:pPr>
        <w:sectPr>
          <w:pgSz w:w="11900" w:h="16838" w:orient="portrait"/>
          <w:cols w:equalWidth="0" w:num="1">
            <w:col w:w="11420"/>
          </w:cols>
          <w:pgMar w:left="240" w:top="125" w:right="239" w:bottom="1440" w:gutter="0" w:footer="0" w:header="0"/>
        </w:sectPr>
      </w:pPr>
    </w:p>
    <w:bookmarkStart w:id="7" w:name="page8"/>
    <w:bookmarkEnd w:id="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means the Chief Financial Officer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Controller</w:t>
      </w:r>
      <w:r>
        <w:rPr>
          <w:rFonts w:ascii="Arial" w:cs="Arial" w:eastAsia="Arial" w:hAnsi="Arial"/>
          <w:sz w:val="18"/>
          <w:szCs w:val="18"/>
          <w:color w:val="auto"/>
        </w:rPr>
        <w:t>” means the Controller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Corporation</w:t>
      </w:r>
      <w:r>
        <w:rPr>
          <w:rFonts w:ascii="Arial" w:cs="Arial" w:eastAsia="Arial" w:hAnsi="Arial"/>
          <w:sz w:val="18"/>
          <w:szCs w:val="18"/>
          <w:color w:val="auto"/>
        </w:rPr>
        <w:t>” means ExlService Holdings, Inc.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Directors</w:t>
      </w:r>
      <w:r>
        <w:rPr>
          <w:rFonts w:ascii="Arial" w:cs="Arial" w:eastAsia="Arial" w:hAnsi="Arial"/>
          <w:sz w:val="18"/>
          <w:szCs w:val="18"/>
          <w:color w:val="auto"/>
        </w:rPr>
        <w:t>” means directors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Entire Board</w:t>
      </w:r>
      <w:r>
        <w:rPr>
          <w:rFonts w:ascii="Arial" w:cs="Arial" w:eastAsia="Arial" w:hAnsi="Arial"/>
          <w:sz w:val="18"/>
          <w:szCs w:val="18"/>
          <w:color w:val="auto"/>
        </w:rPr>
        <w:t>” means all then authorized directors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thereto.</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IPO Date</w:t>
      </w:r>
      <w:r>
        <w:rPr>
          <w:rFonts w:ascii="Arial" w:cs="Arial" w:eastAsia="Arial" w:hAnsi="Arial"/>
          <w:sz w:val="18"/>
          <w:szCs w:val="18"/>
          <w:color w:val="auto"/>
        </w:rPr>
        <w:t>” ” means the date upon which the Corporation consummates the initial public offering of shares of common stock of the Corporation pursuant to an effective Registration Statement filed under the Securities Act.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Lead Director</w:t>
      </w:r>
      <w:r>
        <w:rPr>
          <w:rFonts w:ascii="Arial" w:cs="Arial" w:eastAsia="Arial" w:hAnsi="Arial"/>
          <w:sz w:val="18"/>
          <w:szCs w:val="18"/>
          <w:color w:val="auto"/>
        </w:rPr>
        <w:t>” means the Lead Director of the Corporation.</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Stockholders</w:t>
      </w:r>
      <w:r>
        <w:rPr>
          <w:rFonts w:ascii="Arial" w:cs="Arial" w:eastAsia="Arial" w:hAnsi="Arial"/>
          <w:sz w:val="18"/>
          <w:szCs w:val="18"/>
          <w:color w:val="auto"/>
        </w:rPr>
        <w:t>” means stockholders of the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1.22 “</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STOCKHOLDERS</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Every meeting of Stockholders may be held at such place, within or without the State of Delaware, as may be designated by resolution of the Board from time to time. The Board may, in its sole discretion, determine that the meeting of Stockholders shall not be held at any place, but may instead be held solely by means of remote communication in accordance with Delaware law.</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 If required by applicable law, a meeting of Stockholders shall be held annually for the election of Directors at such date and time as may be designated by resolution of the Board from time to time. Any other business may be transacted at the annual meeting as shall have been properly brought before the meeting.</w:t>
      </w:r>
    </w:p>
    <w:p>
      <w:pPr>
        <w:spacing w:after="0" w:line="140" w:lineRule="exact"/>
        <w:rPr>
          <w:sz w:val="20"/>
          <w:szCs w:val="20"/>
          <w:color w:val="auto"/>
        </w:rPr>
      </w:pPr>
    </w:p>
    <w:p>
      <w:pPr>
        <w:jc w:val="both"/>
        <w:ind w:right="400" w:firstLine="913"/>
        <w:spacing w:after="0" w:line="30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Unless otherwise prescribed by applicable law and subject to the express terms of any series of shares of preferred stock, special meetings of Stockholders may be called only by (a) the Chairman or (b) a majority of the members of the Board, and may not be called by any other person or persons. Business transacted at any special meeting of Stockholders shall be limited to the purpose stated in the notice.</w:t>
      </w:r>
    </w:p>
    <w:p>
      <w:pPr>
        <w:spacing w:after="0" w:line="10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Fixing Record Date</w:t>
      </w:r>
      <w:r>
        <w:rPr>
          <w:rFonts w:ascii="Arial" w:cs="Arial" w:eastAsia="Arial" w:hAnsi="Arial"/>
          <w:sz w:val="18"/>
          <w:szCs w:val="18"/>
          <w:color w:val="auto"/>
        </w:rPr>
        <w:t>. For the purpose of (a) determining the Stockholders entitled (i) to notice of or to vote at any meeting of Stockholders or any adjournment thereof or (ii) to receive payment of any dividend or other distribution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9" w:name="page10"/>
    <w:bookmarkEnd w:id="9"/>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allotment of any rights, or entitled to exercise any rights in respect of any change, conversion or exchange of stock; or (b) any other lawful action, the Board may fix a record date, which record date shall not precede the date upon which the resolution fixing the record date was adopted by the Board and which record date, unless otherwise required by applicable law, shall not be (y) in the case of clause (a)(i) above, more than 60 nor less than 10 days before the date of such meeting and (z) in the case of clause (a)(ii) or (b) above, more than 60 days prior to such action. If no such record date is fixed:</w:t>
      </w:r>
    </w:p>
    <w:p>
      <w:pPr>
        <w:spacing w:after="0" w:line="113"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2.4.1 the record date for determining Stockholders entitled to notice of or to vote at a meeting of Stockholders shall be the close of business on the day next preceding the day on which notice is given, or, if notice is waived, the close of business on the day next preceding the day on which the meeting is held; and</w:t>
      </w:r>
    </w:p>
    <w:p>
      <w:pPr>
        <w:spacing w:after="0" w:line="140" w:lineRule="exact"/>
        <w:rPr>
          <w:sz w:val="20"/>
          <w:szCs w:val="20"/>
          <w:color w:val="auto"/>
        </w:rPr>
      </w:pPr>
    </w:p>
    <w:p>
      <w:pPr>
        <w:ind w:right="220" w:firstLine="1484"/>
        <w:spacing w:after="0" w:line="256" w:lineRule="auto"/>
        <w:rPr>
          <w:sz w:val="20"/>
          <w:szCs w:val="20"/>
          <w:color w:val="auto"/>
        </w:rPr>
      </w:pPr>
      <w:r>
        <w:rPr>
          <w:rFonts w:ascii="Arial" w:cs="Arial" w:eastAsia="Arial" w:hAnsi="Arial"/>
          <w:sz w:val="18"/>
          <w:szCs w:val="18"/>
          <w:color w:val="auto"/>
        </w:rPr>
        <w:t>2.4.2 the record date for determining Stockholders for any purpose other than those specified in Section 2.4.1 hereof shall be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spacing w:after="0" w:line="14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 of Meetings of Stockholders</w:t>
      </w:r>
      <w:r>
        <w:rPr>
          <w:rFonts w:ascii="Arial" w:cs="Arial" w:eastAsia="Arial" w:hAnsi="Arial"/>
          <w:sz w:val="18"/>
          <w:szCs w:val="18"/>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 if any, by which Stockholders and proxy holders may be deemed to be present in person and vote at such meeting, and, in the case of a special meeting, the purpose or purposes for which the meeting is called. Unless otherwise provided by applicable law, the Certificate of Incorporation or these By-laws, notice of any 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 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spacing w:after="0" w:line="127" w:lineRule="exact"/>
        <w:rPr>
          <w:sz w:val="20"/>
          <w:szCs w:val="20"/>
          <w:color w:val="auto"/>
        </w:rPr>
      </w:pPr>
    </w:p>
    <w:p>
      <w:pPr>
        <w:jc w:val="both"/>
        <w:ind w:right="300" w:firstLine="913"/>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Waivers of Notice</w:t>
      </w:r>
      <w:r>
        <w:rPr>
          <w:rFonts w:ascii="Arial" w:cs="Arial" w:eastAsia="Arial" w:hAnsi="Arial"/>
          <w:sz w:val="18"/>
          <w:szCs w:val="18"/>
          <w:color w:val="auto"/>
        </w:rPr>
        <w:t>. Whenever giving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examine the stock ledger, the list of Stockholders or the books of the Corporation, or to vote in person or by proxy at any meeting of Stockholders.</w:t>
      </w:r>
    </w:p>
    <w:p>
      <w:pPr>
        <w:spacing w:after="0" w:line="19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Quorum of Stockholders; Adjournment</w:t>
      </w:r>
      <w:r>
        <w:rPr>
          <w:rFonts w:ascii="Arial" w:cs="Arial" w:eastAsia="Arial" w:hAnsi="Arial"/>
          <w:sz w:val="16"/>
          <w:szCs w:val="16"/>
          <w:color w:val="auto"/>
        </w:rPr>
        <w:t xml:space="preserve">. Except as otherwise provided by applicable law, the Certificate of Incorporation or these By-laws, at each meeting of Stockholders, the presence in person or by proxy of the holders of a majority in voting power of all outstanding shares of stock entitled to vote at the meeting of Stockholders, shall constitute a quorum for the transaction of any business at such meeting, except that, where a separate vote by a class or series of classes is required, a quorum shall consist of no less than a majority in voting power of the shares of such classes or series of classes. When a quorum is present to organize a meeting of Stockholders and for purposes of voting on any matter, the quorum for such meeting or matter is not broken by the subsequent withdrawal of any Stockholder. In the absence of a quorum, the person presiding over the meeting or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limit the right of the Corporation to vote stock, including but not limited to its own stock, held by it in a fiduciary capacity.</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Voting; Proxies</w:t>
      </w:r>
      <w:r>
        <w:rPr>
          <w:rFonts w:ascii="Arial" w:cs="Arial" w:eastAsia="Arial" w:hAnsi="Arial"/>
          <w:sz w:val="16"/>
          <w:szCs w:val="16"/>
          <w:color w:val="auto"/>
        </w:rPr>
        <w:t>. Unless otherwise provided in the Certificate of Incorporation, every Stockholder entitled to vote at any meeting of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be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a plurality of the votes cast shall be sufficient to elect Directors as more fully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12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Voting Procedures and Inspectors of Election at Meetings of Stockholders</w:t>
      </w:r>
      <w:r>
        <w:rPr>
          <w:rFonts w:ascii="Arial" w:cs="Arial" w:eastAsia="Arial" w:hAnsi="Arial"/>
          <w:sz w:val="16"/>
          <w:szCs w:val="16"/>
          <w:color w:val="auto"/>
        </w:rPr>
        <w:t>.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Conduct of Meetings; Director Nominations; Meeting Business and Other Stockholder Proposals</w:t>
      </w:r>
      <w:r>
        <w:rPr>
          <w:rFonts w:ascii="Arial" w:cs="Arial" w:eastAsia="Arial" w:hAnsi="Arial"/>
          <w:sz w:val="18"/>
          <w:szCs w:val="18"/>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may adopt by resolution such rules and regulations for the conduct of the meeting of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it shall deem</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15" w:name="page16"/>
    <w:bookmarkEnd w:id="15"/>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At each meeting of Stockholders, the Chairman, or if there is no Chairman or if there be one and the Chairman is absent, the CEO, or in the absence of the CEO, the Lead Director, or in the absence of the Lead Director, the President, or in the absence of the President,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are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applicable to Stockholders of record of the Corporation, their duly authorized and constituted proxies or such other persons as the person presiding over the meeting shall determine; (iv) restrictions on entry to the meeting after the time fixed for the commencement thereof; and</w:t>
      </w:r>
    </w:p>
    <w:p>
      <w:pPr>
        <w:spacing w:after="0" w:line="4" w:lineRule="exact"/>
        <w:rPr>
          <w:sz w:val="20"/>
          <w:szCs w:val="20"/>
          <w:color w:val="auto"/>
        </w:rPr>
      </w:pPr>
    </w:p>
    <w:p>
      <w:pPr>
        <w:ind w:right="360" w:firstLine="8"/>
        <w:spacing w:after="0" w:line="255"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6" w:name="page17"/>
    <w:bookmarkEnd w:id="1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such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spacing w:after="0" w:line="120"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 Only persons who are nominated in accordance with the following procedures shall be eligible for election as Directors. Nominations of persons for election to the Board may be made at an annual meeting or special meeting of Stockholders only (i) by or at the direction of the Board, (ii) by any nominating committee designated by the Board or (iii) by any Stockholder of the Corporation who was a Stockholder of record of the Corporation at the time the notice provided for in this Section 2.11 is delivered to the Secretary, who is entitled to vote for the election of Directors at the meeting and who complies with the applicable provisions of Section 2.11.4 hereof (persons nominated in accordance with (iii) above are referred to herein as “Stockholder nominees”).</w:t>
      </w:r>
    </w:p>
    <w:p>
      <w:pPr>
        <w:spacing w:after="0" w:line="14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 xml:space="preserve">2.11.3. </w:t>
      </w:r>
      <w:r>
        <w:rPr>
          <w:rFonts w:ascii="Arial" w:cs="Arial" w:eastAsia="Arial" w:hAnsi="Arial"/>
          <w:sz w:val="15"/>
          <w:szCs w:val="15"/>
          <w:u w:val="single" w:color="auto"/>
          <w:color w:val="auto"/>
        </w:rPr>
        <w:t>Meeting Business</w:t>
      </w:r>
      <w:r>
        <w:rPr>
          <w:rFonts w:ascii="Arial" w:cs="Arial" w:eastAsia="Arial" w:hAnsi="Arial"/>
          <w:sz w:val="15"/>
          <w:szCs w:val="15"/>
          <w:color w:val="auto"/>
        </w:rPr>
        <w:t>: At any annual meeting of Stockholders, only such business shall be conducted as shall have been properly brought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before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 w:name="page18"/>
    <w:bookmarkEnd w:id="17"/>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To be properly brought before an annual meeting of Stockholders, (i) business must be specified in the notice of meeting (or any supplement thereto) given by or at the direction of the Board, (ii) otherwise properly brought before the meeting by or at the direction of the Board or (iii) otherwise properly brought before the meeting by a Stockholder who was a Stockholder of record of the Corporation at the time the notice provided for in this Section 2.11 is delivered to the Secretary, who is entitled to vote at the meeting and who complies with the applicable provisions of Section 2.11.4 hereof (business brought before the meeting in accordance with (iii) above is referred to as “Stockholder business”).</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2.11.4. </w:t>
      </w:r>
      <w:r>
        <w:rPr>
          <w:rFonts w:ascii="Arial" w:cs="Arial" w:eastAsia="Arial" w:hAnsi="Arial"/>
          <w:sz w:val="16"/>
          <w:szCs w:val="16"/>
          <w:u w:val="single" w:color="auto"/>
          <w:color w:val="auto"/>
        </w:rPr>
        <w:t>Other Stockholder Proposals</w:t>
      </w:r>
      <w:r>
        <w:rPr>
          <w:rFonts w:ascii="Arial" w:cs="Arial" w:eastAsia="Arial" w:hAnsi="Arial"/>
          <w:sz w:val="16"/>
          <w:szCs w:val="16"/>
          <w:color w:val="auto"/>
        </w:rPr>
        <w:t>: In addition to any other applicable requirements, at any annual or special meeting of Stockholders</w:t>
      </w:r>
    </w:p>
    <w:p>
      <w:pPr>
        <w:spacing w:after="0" w:line="38" w:lineRule="exact"/>
        <w:rPr>
          <w:sz w:val="20"/>
          <w:szCs w:val="20"/>
          <w:color w:val="auto"/>
        </w:rPr>
      </w:pPr>
    </w:p>
    <w:p>
      <w:pPr>
        <w:ind w:firstLine="8"/>
        <w:spacing w:after="0" w:line="288" w:lineRule="auto"/>
        <w:tabs>
          <w:tab w:leader="none" w:pos="21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 w:name="page19"/>
    <w:bookmarkEnd w:id="18"/>
    <w:p>
      <w:pPr>
        <w:ind w:right="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and not less than the later of (a) ninety (90) days prior to such special meeting or (b) the tenth (10th) day following the day on which the notice of such special meeting was made by mail or Public Disclosure (as defined below); provided, however, that in the event that either (i) the annual meeting of Stockholders is advanced by more than thirty (30) days, or delayed by more than seventy (70) days, from the first anniversary of the prior year’s annual meeting of Stockholders,</w:t>
      </w:r>
    </w:p>
    <w:p>
      <w:pPr>
        <w:spacing w:after="0" w:line="1" w:lineRule="exact"/>
        <w:rPr>
          <w:sz w:val="20"/>
          <w:szCs w:val="20"/>
          <w:color w:val="auto"/>
        </w:rPr>
      </w:pPr>
    </w:p>
    <w:p>
      <w:pPr>
        <w:ind w:firstLine="8"/>
        <w:spacing w:after="0" w:line="252" w:lineRule="auto"/>
        <w:tabs>
          <w:tab w:leader="none" w:pos="25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annual meeting was held during the prior year or (iii) in the case of the Corporation’s first annual meeting of Stockholders following its IPO Date, notice by the Stockholder to be timely must be received (i) no earlier than one hundred and twenty (120) days prior to such annual meeting and (ii) 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14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Notwithstanding anything in the immediately preceding paragraph to the contrary, in the event that the number of directors to be elected to the Board at an annual meeting is increased and there is no public announcement by the Corporation naming the nominees for the additional directorships at least one hundred (100) days prior to the first anniversary of the preceding year’s annual meeting, a Notice of Nomination shall also be considered timely, but only with respect to nominees for the additional directorships, if it shall be delivered at the Office of the Corporation, addressed to the attention of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Secretary, not later than the close of business on the tenth (10th) day following the day on which such public announcement is first made by the Corporation.</w:t>
      </w:r>
    </w:p>
    <w:p>
      <w:pPr>
        <w:spacing w:after="0" w:line="19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Notice of Nomination shall set forth (i) the name and record address of the Stockholder and/or beneficial owner proposing to make nominations,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nomination, (iv) all information regarding each Stockholder nominee that would be required to be set forth in a definitive proxy statement filed with the Securities and Exchange Commission pursuant to Section 14 of the Exchange Act and the written consent of each such Stockholder nominee to being named in a proxy statement as a nominee and to serve if elected and (v) all other information that would be required to be filed with the Securities and Exchange Commission if the person proposing such nominations were a participant in a solicitation subject to Section 14 of the Exchange Act or any successor statute thereto. The Corporation may require any Stockholder nominee to furnish such other information as it may reasonably require to determine the eligibility of such Stockholder nominee to serve as a Director of the Corporation. The person presiding over the meeting shall, if the facts warrant, determine and declare to the meeting that any proposed nomination of a Stockholder nominee was not made in accordance with the foregoing procedures and, if he or she should so determine, shall so declare to the meeting, and the defective nomination shall be disregarded.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0" w:name="page21"/>
    <w:bookmarkEnd w:id="20"/>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Notice of Business shall set forth (i) the name and record address of the Stockholder and/or beneficial owner proposing such Stockholder business,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the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Securities and Exchange Commission if the person proposing such Stockholder business were a participant in a solicitation subject to Section 14 of the Exchange Act. Notwithstanding anything in these By-laws to the contrary, no business shall be conducted at the annual meeting of Stockholders except in accordance with the procedures set forth in Section 2.11.3 and this Section 2.11.4, provided, however, that nothing in this Section 2.11.4 shall be deemed to preclude discussion by any Stockholder of any business properly brought before the annual meeting in accordance with said procedures. Notwithstanding anything else to the contrary in these By-laws, any Stockholder business may be excluded if the exclusion of such Stockholder business is permitted by the applicable regulations of the Securities and Exchange Commission. Only such business shall be conducted at a special meeting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1" w:name="page22"/>
    <w:bookmarkEnd w:id="21"/>
    <w:p>
      <w:pPr>
        <w:jc w:val="both"/>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as shall have been brought before the special meeting pursuant to the Corporation’s notice of meeting. The person presiding over the meeting shall, if the facts warrant, determine and declare to the meeting, that business was not properly brought before the meeting in accordance with the foregoing procedures and, if he or she should so determine, shall so declare to the meeting, and any such business not properly brought before the meeting shall not be transacted.</w:t>
      </w:r>
    </w:p>
    <w:p>
      <w:pPr>
        <w:spacing w:after="0" w:line="88"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Notwithstanding the foregoing provisions of this Section 2.11, if the Stockholder (or a qualified representative of the Stockholder) does not appear at the annual or special meeting of Stockholders to present the Stockholder nomination or the Stockholder business, as applicable, such nomination shall be disregarded and such business shall not be transacted, notwithstanding that proxies in respect of such vote may have been received by the Corporation.</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For purposes of this Section 2.11, “Public Disclosure” shall be deemed to be first made when disclosure of such date of the annual or special meeting of Stockholders, as the case may be, is first made in a press release reported by the Dow Jones News Services, Associated Press or comparable national news service, or in a document publicly filed by the Corporation with the Securities and Exchange Commission pursuant to Sections 13, 14 or 15(d) of the Exchange Act.</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Notwithstanding the foregoing, a Stockholder shall also comply with all applicable requirements of the Exchange Act and the rules and regulations thereunder with respect to the matters set forth in this Section 2.11. Nothing in this Section 2.11 shall be deemed to affect any rights of the holders of any series of preferred stock of the Corporation pursuant to any applicable provision of the Certificate of Incorporation.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2" w:name="page23"/>
    <w:bookmarkEnd w:id="2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6"/>
          <w:szCs w:val="16"/>
          <w:u w:val="single" w:color="auto"/>
          <w:color w:val="auto"/>
        </w:rPr>
        <w:t>Order of Business</w:t>
      </w:r>
      <w:r>
        <w:rPr>
          <w:rFonts w:ascii="Arial" w:cs="Arial" w:eastAsia="Arial" w:hAnsi="Arial"/>
          <w:sz w:val="16"/>
          <w:szCs w:val="16"/>
          <w:color w:val="auto"/>
        </w:rPr>
        <w:t>. The order of business at all meetings of Stockholders shall be as determined by the person presiding over the meeting.</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3</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171"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Powers</w:t>
      </w:r>
      <w:r>
        <w:rPr>
          <w:rFonts w:ascii="Arial" w:cs="Arial" w:eastAsia="Arial" w:hAnsi="Arial"/>
          <w:sz w:val="16"/>
          <w:szCs w:val="16"/>
          <w:color w:val="auto"/>
        </w:rPr>
        <w:t>.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spacing w:after="0" w:line="10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Number; Qualification; Term of Office</w:t>
      </w:r>
      <w:r>
        <w:rPr>
          <w:rFonts w:ascii="Arial" w:cs="Arial" w:eastAsia="Arial" w:hAnsi="Arial"/>
          <w:sz w:val="16"/>
          <w:szCs w:val="16"/>
          <w:color w:val="auto"/>
        </w:rPr>
        <w:t>.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The Board (other than those Directors elected by the holders of any series of Preferred Stock provided for or fixed pursuant to the provisions of the Certificate of Incorporation (the “Preferred Stock Directors”)) shall be divided into three classes, as nearly equal in number as possible, designated Class I, Class II and Class</w:t>
      </w:r>
    </w:p>
    <w:p>
      <w:pPr>
        <w:spacing w:after="0" w:line="2" w:lineRule="exact"/>
        <w:rPr>
          <w:sz w:val="20"/>
          <w:szCs w:val="20"/>
          <w:color w:val="auto"/>
        </w:rPr>
      </w:pPr>
    </w:p>
    <w:p>
      <w:pPr>
        <w:ind w:right="260" w:firstLine="8"/>
        <w:spacing w:after="0" w:line="255"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I Directors shall initially serve until the first annual meeting of Stockholders held after the IPO Date; Class II Directors shall initially serve until the second annual meeting of Stockholders held after the IPO Date; and Class III Directors shall initially serve until the third annual meeting of Stockholders held after the IPO Date. Commencing with the first annual meeting of Stockholders held after the IPO</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3" w:name="page24"/>
    <w:bookmarkEnd w:id="2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Directors of each class the term of which shall then expire shall be elected to hold office for a term expiring at the third succeeding annual meeting of Stockholders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p>
    <w:p>
      <w:pPr>
        <w:spacing w:after="0" w:line="107"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Election</w:t>
      </w:r>
      <w:r>
        <w:rPr>
          <w:rFonts w:ascii="Arial" w:cs="Arial" w:eastAsia="Arial" w:hAnsi="Arial"/>
          <w:sz w:val="16"/>
          <w:szCs w:val="16"/>
          <w:color w:val="auto"/>
        </w:rPr>
        <w:t>. Directors shall, except as otherwise required by applicable law or by the Certificate of Incorporation, be elected by a plurality of the votes cast at a meeting of Stockholders by the holders of shares present in person or represented by proxy at the meeting and entitled to vote in the election.</w:t>
      </w:r>
    </w:p>
    <w:p>
      <w:pPr>
        <w:spacing w:after="0" w:line="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Unless otherwise provided by applicable law or the Certificate of Incorporation and subject to the rights of the holders of any series of Preferred Stock then outstanding, any newly created Directorships resulting from any increase in the authorized number of Directors or any vacancies in the Board resulting from death, resignation, retirement, disqualification, removal from office or other cause shall be filled solely by the affirmative vote of a majority of the remaining Directors then in office although less than a quorum, or by a sole remaining Director, and Directors so chosen shall hold office until the expiration of the term of office of the Director whom he or she has replaced and until his or her successor is duly elected and qualified or until such Director’s earlier death, disqualification, resignation or removal. No decrease in the number of Directors constituting the Board shall shorten the term of any incumbent Director. When any Director shall give notice of resignation effective at a future date, the Board may fill such</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vacancy to take effect when such resignation shall become effective in accordance with the General Corporation Law.</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upon notice given in writing or by electronic transmission to the Corporation. Such resignation shall take effect at the time therein specified, and, unless otherwise specified in such resignation, the acceptance of such resignation shall not be necessary to make it effective.</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Removal</w:t>
      </w:r>
      <w:r>
        <w:rPr>
          <w:rFonts w:ascii="Arial" w:cs="Arial" w:eastAsia="Arial" w:hAnsi="Arial"/>
          <w:sz w:val="18"/>
          <w:szCs w:val="18"/>
          <w:color w:val="auto"/>
        </w:rPr>
        <w:t>. Except for Preferred Stock Directors, any Director, or the Entire Board, may be removed from office at any time, but only for cause and only by the affirmative vote of at least 66-2/3% of the total voting power of the outstanding shares of stock of the Corporation entitled to vote generally in the election of Directors, voting together as a single class.</w:t>
      </w:r>
    </w:p>
    <w:p>
      <w:pPr>
        <w:spacing w:after="0" w:line="14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Compensation</w:t>
      </w:r>
      <w:r>
        <w:rPr>
          <w:rFonts w:ascii="Arial" w:cs="Arial" w:eastAsia="Arial" w:hAnsi="Arial"/>
          <w:sz w:val="16"/>
          <w:szCs w:val="16"/>
          <w:color w:val="auto"/>
        </w:rPr>
        <w:t>.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3.7 shall preclude any Director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serving the Corporation or its subsidiaries in any other capacity and receiving proper compensation therefor.</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 State of Delaware as shall from time to time be determined by the Board.</w:t>
      </w:r>
    </w:p>
    <w:p>
      <w:pPr>
        <w:spacing w:after="0" w:line="132"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may be held at any time or place, within or without the State of Delaware, whenever called by the Chairman, the Lead Director, the CEO, the President or the Secretary or by any two or more Directors then serving as Directors on at least 24 hours’ notice to each Director given by one of the means specified in Section 3.12 hereof other than by mail, or on at least three days’ notice if given by mail.</w:t>
      </w:r>
    </w:p>
    <w:p>
      <w:pPr>
        <w:spacing w:after="0" w:line="107"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Telephone Meetings</w:t>
      </w:r>
      <w:r>
        <w:rPr>
          <w:rFonts w:ascii="Arial" w:cs="Arial" w:eastAsia="Arial" w:hAnsi="Arial"/>
          <w:sz w:val="16"/>
          <w:szCs w:val="16"/>
          <w:color w:val="auto"/>
        </w:rPr>
        <w:t>. Directors or members of any committee designated by the Board may participate in a meeting of the Board or of such committee by means of conference telephone or other communications equipment by means of which all persons participating in the meeting can hear each other, and participation in a meeting pursuant to this Section 3.10 shall constitute presence in person at such meeting.</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Adjourned Meetings</w:t>
      </w:r>
      <w:r>
        <w:rPr>
          <w:rFonts w:ascii="Arial" w:cs="Arial" w:eastAsia="Arial" w:hAnsi="Arial"/>
          <w:sz w:val="18"/>
          <w:szCs w:val="18"/>
          <w:color w:val="auto"/>
        </w:rPr>
        <w:t>.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3.12 hereof other than by mail, or at least three (3) days’ notice if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mail. Any business may be transacted at an adjourned meeting that might have been transacted at the meeting as originally called.</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Notice Procedure</w:t>
      </w:r>
      <w:r>
        <w:rPr>
          <w:rFonts w:ascii="Arial" w:cs="Arial" w:eastAsia="Arial" w:hAnsi="Arial"/>
          <w:sz w:val="18"/>
          <w:szCs w:val="18"/>
          <w:color w:val="auto"/>
        </w:rPr>
        <w:t>. Subject to Sections 3.9 and 3.10 hereof, whenever, under the provisions of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telex, telecopy or other means of electronic transmission.</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the giving of any notice to Directors is required by applicable law, the Certificate of Incorporation or these By-laws, a waiver thereof, in writing, signed by the person or persons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written waiver of notice unless so required by applicable law, the Certificate of Incorporation or these By-laws.</w:t>
      </w:r>
    </w:p>
    <w:p>
      <w:pPr>
        <w:spacing w:after="0" w:line="12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Chairman, or in the absence of the Chairman, the Lead Director, or, in the absence of the Lead Director, the CEO or, in the absence of the CEO, a chairman chosen by a majority of the Directors present, shall preside. The Secretary shall act as secretary at each meeting of the Board.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the Secretary shall be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14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Quorum of Directors</w:t>
      </w:r>
      <w:r>
        <w:rPr>
          <w:rFonts w:ascii="Arial" w:cs="Arial" w:eastAsia="Arial" w:hAnsi="Arial"/>
          <w:sz w:val="18"/>
          <w:szCs w:val="18"/>
          <w:color w:val="auto"/>
        </w:rPr>
        <w:t>. The presence in person of a majority of the Entire Board shall be necessary and sufficient to constitute a quorum for the transaction of business at any meeting of the Board.</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Action by Majority Vote</w:t>
      </w:r>
      <w:r>
        <w:rPr>
          <w:rFonts w:ascii="Arial" w:cs="Arial" w:eastAsia="Arial" w:hAnsi="Arial"/>
          <w:sz w:val="18"/>
          <w:szCs w:val="18"/>
          <w:color w:val="auto"/>
        </w:rPr>
        <w:t>. Except as otherwise expressly required by applicable law, the Certificate of Incorporation or these By-laws, the act of a majority of the Directors present at a meeting at which a quorum is present shall be the act of the Board.</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4</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COMMITTEES OF THE BOARD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may, by resolution, designate one or more committees, each committee to consist of one or more of the Directors of the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may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8" w:name="page29"/>
    <w:bookmarkEnd w:id="2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(including Section 141(c)(2) of the General Corporation Law as it exists now or may hereafter be amended)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The Board may remove any Director from any committee at any time, with or without cause. Unless otherwise specified in the resolution of the Board designating a committee or the charter for such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 such rules each committee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conduct its business in the same manner as the Board conducts its business pursuant to Article 3 of these By-laws.</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5</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OFFICERS</w:t>
      </w:r>
    </w:p>
    <w:p>
      <w:pPr>
        <w:spacing w:after="0" w:line="171" w:lineRule="exact"/>
        <w:rPr>
          <w:sz w:val="20"/>
          <w:szCs w:val="20"/>
          <w:color w:val="auto"/>
        </w:rPr>
      </w:pPr>
    </w:p>
    <w:p>
      <w:pPr>
        <w:jc w:val="both"/>
        <w:ind w:right="120" w:firstLine="913"/>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Positions</w:t>
      </w:r>
      <w:r>
        <w:rPr>
          <w:rFonts w:ascii="Arial" w:cs="Arial" w:eastAsia="Arial" w:hAnsi="Arial"/>
          <w:sz w:val="18"/>
          <w:szCs w:val="18"/>
          <w:color w:val="auto"/>
        </w:rPr>
        <w:t>. The officers of the Corporation shall be a CEO, a President, a Secretary, a Treasurer and such other officers as the Board may elect, including a Chairman, a Chief Financial Officer, a Controller, one or more Vice Presidents and one or more Assistant Secretaries and Assistant Treasurers, who shall exercise such powers and perform such duties as shall be determined from time to time by resolution of the Board.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Election</w:t>
      </w:r>
      <w:r>
        <w:rPr>
          <w:rFonts w:ascii="Arial" w:cs="Arial" w:eastAsia="Arial" w:hAnsi="Arial"/>
          <w:sz w:val="16"/>
          <w:szCs w:val="16"/>
          <w:color w:val="auto"/>
        </w:rPr>
        <w:t>. The officers of the Corporation shall be elected by the Board at its annual meeting or at such other time or times as the Board shall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16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Term of Office</w:t>
      </w:r>
      <w:r>
        <w:rPr>
          <w:rFonts w:ascii="Arial" w:cs="Arial" w:eastAsia="Arial" w:hAnsi="Arial"/>
          <w:sz w:val="16"/>
          <w:szCs w:val="16"/>
          <w:color w:val="auto"/>
        </w:rPr>
        <w:t>.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30" w:name="page31"/>
    <w:bookmarkEnd w:id="30"/>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of the Corporation, if any. Any officer may be removed at any time, with or without cause, by the Board. Any vacancy occurring in any office of the Corporation may be filled by the Board. The removal of an officer, with or without cause, shall be without prejudice to the officer’s contract rights, if any. The election or appointment of an officer shall not of itself create contract rights.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Fidelity Bonds</w:t>
      </w:r>
      <w:r>
        <w:rPr>
          <w:rFonts w:ascii="Arial" w:cs="Arial" w:eastAsia="Arial" w:hAnsi="Arial"/>
          <w:sz w:val="18"/>
          <w:szCs w:val="18"/>
          <w:color w:val="auto"/>
        </w:rPr>
        <w:t>. The Corporation may secure the fidelity of any or all of its officers or agents by bond or otherwise.</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if one shall have been appointed, shall preside at all meetings of the Board and shall exercise such powers and perform such other duties as shall be determined from time to time by resolution of the Board.</w:t>
      </w:r>
    </w:p>
    <w:p>
      <w:pPr>
        <w:spacing w:after="0" w:line="13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CEO shall have general supervision over, and direction of, the business and affairs of the Corporation, subject, however, to the control of the Board and of any duly authorized committee of the Board. The CEO shall preside at all meetings of the Stockholders and at all meetings of the Board at which the Chairman (if there be one) is not present. The CEO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CEO shall perform all duties incident to the office of CEO of a corporation and such other duties as may from time to time be assigned to the CEO by resolution of the Board.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1" w:name="page32"/>
    <w:bookmarkEnd w:id="31"/>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5.7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have general supervision over, and direction of, the business and affairs of the Corporation, subject, however to the control of the CEO and the Board and any duly authorized committee of the Board. In the absence of the CEO, the President shall preside at meetings of the Stockholders and at meetings of the Board at which the Chairman (if there be one) and the Lead Director are not present. The President may sign and execute in the name of the Corporation deeds, mortgages, bonds, contracts and other instruments, except in cases in which the signing and execution thereof shall be expressly delegated by resolution of the Board or by these By-laws to the CEO or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spacing w:after="0" w:line="11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overall supervision of the financial operations of the Corporation and shall perform all duties incident to the office of chief financial officer of a corporation and such other duties as may from time to time be assigned the Chief Financial Officer by the CEO or resolution of the Board.</w:t>
      </w:r>
    </w:p>
    <w:p>
      <w:pPr>
        <w:spacing w:after="0" w:line="140"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Controller</w:t>
      </w:r>
      <w:r>
        <w:rPr>
          <w:rFonts w:ascii="Arial" w:cs="Arial" w:eastAsia="Arial" w:hAnsi="Arial"/>
          <w:sz w:val="16"/>
          <w:szCs w:val="16"/>
          <w:color w:val="auto"/>
        </w:rPr>
        <w:t>. The Controller shall be the chief accounting officer of the Corporation and shall perform all duties incident to the office of controller of a corporation and such other duties as may from time to time be assigned the Controller by the CEO, the Chief Financial Officer or resolution of the Board.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2" w:name="page33"/>
    <w:bookmarkEnd w:id="32"/>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5.10 </w:t>
      </w:r>
      <w:r>
        <w:rPr>
          <w:rFonts w:ascii="Arial" w:cs="Arial" w:eastAsia="Arial" w:hAnsi="Arial"/>
          <w:sz w:val="16"/>
          <w:szCs w:val="16"/>
          <w:u w:val="single" w:color="auto"/>
          <w:color w:val="auto"/>
        </w:rPr>
        <w:t>Vice Presidents</w:t>
      </w:r>
      <w:r>
        <w:rPr>
          <w:rFonts w:ascii="Arial" w:cs="Arial" w:eastAsia="Arial" w:hAnsi="Arial"/>
          <w:sz w:val="16"/>
          <w:szCs w:val="16"/>
          <w:color w:val="auto"/>
        </w:rPr>
        <w:t>. The Vice-Presidents shall perform such duties as may from time to time be assigned to such Vice Presidents by the CEO, the President or resolution of the Board. At the request of the CEO or, in the absence of the CEO, the President, or, in the President’s absence, at the request of the Board, the Vice Presidents shall (in such order as may be designated by the Board, or, in the absence of any such designation, in order of seniority based on age) perform all of the duties of the President and, in so performing, shall have all the powers of, and be subject to all restrictions upon, the President. Any Vice President may sign 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w:t>
      </w:r>
    </w:p>
    <w:p>
      <w:pPr>
        <w:spacing w:after="0" w:line="118"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5.11 </w:t>
      </w:r>
      <w:r>
        <w:rPr>
          <w:rFonts w:ascii="Arial" w:cs="Arial" w:eastAsia="Arial" w:hAnsi="Arial"/>
          <w:sz w:val="15"/>
          <w:szCs w:val="15"/>
          <w:u w:val="single" w:color="auto"/>
          <w:color w:val="auto"/>
        </w:rPr>
        <w:t>Secretary</w:t>
      </w:r>
      <w:r>
        <w:rPr>
          <w:rFonts w:ascii="Arial" w:cs="Arial" w:eastAsia="Arial" w:hAnsi="Arial"/>
          <w:sz w:val="15"/>
          <w:szCs w:val="15"/>
          <w:color w:val="auto"/>
        </w:rPr>
        <w:t>.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the CEO or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33" w:name="page34"/>
    <w:bookmarkEnd w:id="33"/>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affix the seal of the Corporation and to attest the same by such officer’s signature. The Secretary or an Assistant Secretary may also attest all instruments signed by the CEO, the 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by the CEO or by the President.</w:t>
      </w:r>
    </w:p>
    <w:p>
      <w:pPr>
        <w:spacing w:after="0" w:line="143"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CEO, the President or the Board, whenever the CEO, the President or the Board shall require the Treasurer so to do, an account of the financial condition of the Corporation and of all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4" w:name="page35"/>
    <w:bookmarkEnd w:id="3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transactions of the Corporation; disburse the funds of the Corporation as ordered by the Board; and, in general, perform all duties incident to the office of Treasurer of a corporation and such other duties as may from time to time be assigned to the Treasurer by resolution of the Board, by the CEO or by the President.</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Assistant Secretaries and Assistant Treasurers shall perform such duties as shall be assigned to them by the Secretary or by the Treasurer, respectively, or by resolution of the Board, by the CEO or by the President.</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6</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INDEMNIFICATION</w:t>
      </w:r>
    </w:p>
    <w:p>
      <w:pPr>
        <w:spacing w:after="0" w:line="17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in connection with such Proceeding. Notwithstanding the preceding sentence, except as otherwise provided in Section 6.3, the Corporation shall</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280" w:right="339" w:bottom="1440" w:gutter="0" w:footer="0" w:header="0"/>
        </w:sectPr>
      </w:pPr>
    </w:p>
    <w:bookmarkStart w:id="35" w:name="page36"/>
    <w:bookmarkEnd w:id="3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required to indemnify a Covered Person in connection with a Proceeding (or part thereof) commenced by such Covered Person only if the commencement of such Proceeding (or part thereof) by the Covered Person was authorized by the Board.</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xml:space="preserve">. The Corporation shall pay the expenses (including attorneys’ fees) incurred by a Covered Person in defending any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113"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1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6 shall not be exclusive of any other rights that such Covered Person may have or hereafter acquire under any statute, provision of the Certificate of Incorporation, these By-laws, agreement, vote of stockholders or disinterested directors or otherwise.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80" w:right="339" w:bottom="1440" w:gutter="0" w:footer="0" w:header="0"/>
        </w:sectPr>
      </w:pPr>
    </w:p>
    <w:bookmarkStart w:id="36" w:name="page37"/>
    <w:bookmarkEnd w:id="36"/>
    <w:p>
      <w:pPr>
        <w:ind w:right="3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40"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Article 6 shall not adversely affect any right or protection hereunder of any Covered Person in respect of any act or omission occurring prior to the time of such repeal or modification.</w:t>
      </w:r>
    </w:p>
    <w:p>
      <w:pPr>
        <w:spacing w:after="0" w:line="85"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Other Indemnification and Prepayment of Expenses</w:t>
      </w:r>
      <w:r>
        <w:rPr>
          <w:rFonts w:ascii="Arial" w:cs="Arial" w:eastAsia="Arial" w:hAnsi="Arial"/>
          <w:sz w:val="16"/>
          <w:szCs w:val="16"/>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7</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Certificates Representing Shares</w:t>
      </w:r>
      <w:r>
        <w:rPr>
          <w:rFonts w:ascii="Arial" w:cs="Arial" w:eastAsia="Arial" w:hAnsi="Arial"/>
          <w:sz w:val="16"/>
          <w:szCs w:val="16"/>
          <w:color w:val="auto"/>
        </w:rPr>
        <w:t>. The shares of stock of the Corporation shall be represented by certificates, or shall be uncertificated shares that may be evidenced by a book-entry system maintained by the registrar of such stock, or a combination of both. To the extent that shares are represented by certificates, such certificates shall be in such form as shall be approved by the Board. Every holder of stock, upon such holder’s request therefor, shall be entitled to have a certificate signed by or in the name of the Corporation by the Chairman, if any, the CEO, the President or a</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37" w:name="page38"/>
    <w:bookmarkEnd w:id="37"/>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 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spacing w:after="0" w:line="9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43"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Form of Records</w:t>
      </w:r>
      <w:r>
        <w:rPr>
          <w:rFonts w:ascii="Arial" w:cs="Arial" w:eastAsia="Arial" w:hAnsi="Arial"/>
          <w:sz w:val="16"/>
          <w:szCs w:val="16"/>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80"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kept upon the request of any person entitled to inspect such records pursuant to applicable law.</w:t>
      </w:r>
    </w:p>
    <w:p>
      <w:pPr>
        <w:spacing w:after="0" w:line="171"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Seal</w:t>
      </w:r>
      <w:r>
        <w:rPr>
          <w:rFonts w:ascii="Arial" w:cs="Arial" w:eastAsia="Arial" w:hAnsi="Arial"/>
          <w:sz w:val="16"/>
          <w:szCs w:val="16"/>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provisions of the Certificate of Incorporation, these By-laws may be altered, amended or repealed and new By-laws may be adopted either (i) by the Board or (ii) by the affirmative vote of at least 66-2/3% of the voting power of shares of stock present in person or represented by proxy and entitled to vote thereon. The power of the Board to alter, amend or repeal By-laws or to adopt new By-laws shall not divest or limit the power of Stockholders to alter, amend or repeal By-laws or to adopt new By-laws.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EXL REPORTS 2011 FIRST QUARTER RESULTS</w:t>
      </w:r>
    </w:p>
    <w:p>
      <w:pPr>
        <w:spacing w:after="0" w:line="177" w:lineRule="exact"/>
        <w:rPr>
          <w:sz w:val="20"/>
          <w:szCs w:val="20"/>
          <w:color w:val="auto"/>
        </w:rPr>
      </w:pPr>
    </w:p>
    <w:p>
      <w:pPr>
        <w:ind w:left="2960"/>
        <w:spacing w:after="0"/>
        <w:rPr>
          <w:sz w:val="20"/>
          <w:szCs w:val="20"/>
          <w:color w:val="auto"/>
        </w:rPr>
      </w:pPr>
      <w:r>
        <w:rPr>
          <w:rFonts w:ascii="Arial" w:cs="Arial" w:eastAsia="Arial" w:hAnsi="Arial"/>
          <w:sz w:val="18"/>
          <w:szCs w:val="18"/>
          <w:b w:val="1"/>
          <w:bCs w:val="1"/>
          <w:i w:val="1"/>
          <w:iCs w:val="1"/>
          <w:color w:val="auto"/>
        </w:rPr>
        <w:t>Quarterly Revenues of $72.9 Million and 14.3% Adjusted Operating Margin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Increases Calendar Year Revenue Guidance to Between $347.0 Million to $355.0 Million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Representing Annual Growth of 37.3% to 40.5%</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Announces Agreement to Acquire Outsource Partners International (OPI),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 Leading Global Provider of Finance and Accounting Outsourcing Services</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New York, NY – May 2, 2011 – ExlService Holdings, Inc. (NASDAQ: EXLS), a leading provider of outsourcing and transformation services, today announced its financial results for the quarter ended March 31, 2011.</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Rohit Kapoor, President and CEO, commented: “EXL delivered solid first quarter results. Our domain-centric and customer focused approach has resulted in an increased volume of business opportunities from existing clients and success in winning new customers. For example, we are especially excited about a strategic client win in which a large U.S. bank recently selected us to provide a range of outsourcing and transformation services. I am also excited about EXL’s recently announced acquisition of OPI. Our two companies have similar strategies in terms of sharp domain focus and high-touch client relationship management. By combining forces and integrating our respective outsourcing and transformation offerings we will provide our clients with higher levels of customer service and a broader range of solutions.”</w:t>
      </w:r>
    </w:p>
    <w:p>
      <w:pPr>
        <w:spacing w:after="0" w:line="1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Vishal Chhibbar, CFO, commented: “I am pleased with EXL’s revenues and adjusted operating margin performance in the first quarter. EXL delivered strong first quarter revenues of $72.9 million, 33.8% above last year’s first quarter. Our financial performance this quarter is robust as compared to last year across a number of financial metrics. Outsourcing revenues totaled $56.8 million (up 36.7%), transformation revenues of $16.1 million, (up 24.6%), Net income of $8.4 million (up 48.7%), adjusted EBITDA of $14.6 million (up 28.4%), diluted EPS of $0.27 (up 42.1%), and adjusted diluted EPS of $0.33 (up 37.9%).</w:t>
      </w:r>
    </w:p>
    <w:p>
      <w:pPr>
        <w:spacing w:after="0" w:line="11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acquisition of OPI is attractive both strategically and financially. We expect the transaction to be accretive to both GAAP EPS and adjusted EPS in 2011. We are pleased to increase our calendar year 2011 guidance based on the strong performance during the first quarter and momentum in EXL’s business, as well as to include the acquisition of OPI. We now expect revenues of between $347.0 million to $355.0 million representing year-over-year growth of 37.3% to 40.5% assuming the OPI acquisition closes on or prior to June 1, 2011. We are maintaining our adjusted operating margin guidance of 13.0% to 14.0%, after having considered the OPI acquisition and the recent appreciation of the Indian rupee.”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right="4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for the quarter ended March 31, 2011 were $72.9 million compared to $54.5 million for the quarter ended March 31, 2010 and $70.0 million for the quarter ended December 31, 2010. Outsourcing services revenues for the quarter ended March 31, 2011 were $56.8 million compared to $41.6 million in the quarter ended March 31, 2010 and $53.5 million in the quarter ended December 31, 2010. Transformation services revenues for the quarter ended March 31, 2011 were $16.1 million compared to $12.9 million in the quarter ended March 31, 2010 and $16.6 million in the quarter ended December 31, 2010.</w:t>
      </w:r>
    </w:p>
    <w:p>
      <w:pPr>
        <w:spacing w:after="0" w:line="61" w:lineRule="exact"/>
        <w:rPr>
          <w:rFonts w:ascii="Arial" w:cs="Arial" w:eastAsia="Arial" w:hAnsi="Arial"/>
          <w:sz w:val="18"/>
          <w:szCs w:val="18"/>
          <w:color w:val="auto"/>
        </w:rPr>
      </w:pPr>
    </w:p>
    <w:p>
      <w:pPr>
        <w:jc w:val="both"/>
        <w:ind w:left="900" w:right="140" w:hanging="325"/>
        <w:spacing w:after="0" w:line="323"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Gross margin for the quarter ended March 31, 2011 was 39.3% compared to 42.2% for the quarter ended March 31, 2010 and 40.4% for the quarter ended December 31, 2010. Outsourcing services gross margin for the quarter ended March 31, 2011 was 39.8% compared to 43.3% for the quarter ended March 31, 2010 and 40.8% for the quarter ended December 31, 2010. Transformation services gross margin for the quarter ended March 31, 2011 was 37.9% compared to 38.7% for the quarter ended March 31, 2010 and 39.1% for the quarter ended December 31, 2010.</w:t>
      </w:r>
    </w:p>
    <w:p>
      <w:pPr>
        <w:spacing w:after="0" w:line="16" w:lineRule="exact"/>
        <w:rPr>
          <w:rFonts w:ascii="Arial" w:cs="Arial" w:eastAsia="Arial" w:hAnsi="Arial"/>
          <w:sz w:val="15"/>
          <w:szCs w:val="15"/>
          <w:color w:val="auto"/>
        </w:rPr>
      </w:pPr>
    </w:p>
    <w:p>
      <w:pPr>
        <w:ind w:left="900" w:right="28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margin for the quarter ended March 31, 2011 was 10.3% compared to 11.9% for the quarter ended March 31, 2010 and 11.1% for the quarter ended December 31, 2010. Adjusted operating margin, excluding the impact of stock-based compensation expense and amortization of intangibles, for the quarter ended March 31, 2011 was 14.3% compared to 15.6% for the quarter ended March 31, 2010 and 15.1% for the quarter ended December 31, 2010.</w:t>
      </w:r>
    </w:p>
    <w:p>
      <w:pPr>
        <w:spacing w:after="0" w:line="62" w:lineRule="exact"/>
        <w:rPr>
          <w:rFonts w:ascii="Arial" w:cs="Arial" w:eastAsia="Arial" w:hAnsi="Arial"/>
          <w:sz w:val="18"/>
          <w:szCs w:val="18"/>
          <w:color w:val="auto"/>
        </w:rPr>
      </w:pPr>
    </w:p>
    <w:p>
      <w:pPr>
        <w:jc w:val="both"/>
        <w:ind w:left="900" w:right="8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income for the quarter ended March 31, 2011 was $8.4 million compared to $5.6 million for the quarter ended March 31, 2010 and $8.3 million for the quarter ended December 31, 2010. Adjusted EBITDA for the quarter ended March 31, 2011 was $14.6 million compared to $11.4 million for the quarter ended March 31, 2010 and $14.6 million for the quarter ended December 31, 2010.</w:t>
      </w:r>
    </w:p>
    <w:p>
      <w:pPr>
        <w:spacing w:after="0" w:line="25"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2011 was $0.27 compared to $0.19 for the quarter ended March 31, 2010 and $0.27 for the quarter ended December 31, 2010. Adjusted diluted earnings per share for the quarter ended March 31, 2011 was $0.33 compared to $0.24 in the quarter ended March 31, 2010 and $0.29 for the quarter ended December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Acquire Outsource Partners International (OPI)</w:t>
      </w:r>
    </w:p>
    <w:p>
      <w:pPr>
        <w:spacing w:after="0" w:line="96" w:lineRule="exact"/>
        <w:rPr>
          <w:sz w:val="20"/>
          <w:szCs w:val="20"/>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30, 2011, EXL signed a definitive agreement to acquire OPI, a leading global provider of F&amp;A outsourcing services with approximately 80 clients.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is expected to be accretive to GAAP EPS and adjusted EPS in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Enterprise value for the acquisition is $91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 had revenues of $76 million as of December 31, 2010 and has achieved organic long-term revenue growth in excess of 15%.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EXL will utilize existing cash and a working capital revolver to fund the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transaction is expected to close by June 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Won 2 new clients in outsourcing services and 2 new clients in transformation services, including selection by a large U.S. bank to provide a range of outsourcing and transformation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with the migration of 26 new processes during the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our headcount as of March 31, 2011 to approximately 13,000 compared to approximately 11,800 as of March 31, 2010.</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Experienced attrition in the first quarter of 32.4% for billable employees compared to 32.7% in the first quarter of 2010 and 35.5% for the fourth quarter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Outlook</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is updating the guidance for calendar year 2011 based on current exchange rates and assuming the OPI acquisition closes on or prior to June 1,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1" w:name="page42"/>
    <w:bookmarkEnd w:id="41"/>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Revenues of between $347.0 million - $355.0 million from $295.0 million - $305.0 million.</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margin, excluding the impact of stock-based compensation expense and amortization of intangibles, remains unchanged at between 13.0% – 14.0%.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EXL will host a conference call on Tuesday, May 3, 2011 at 10:00 a.m. (ET) to discuss the Company’s quarterly operating and financial results. The conference call will be available live via the internet by accessing the investor relations section of EXL’s website at www.exlservice.com, where the accompanying investor-friendly spreadsheet of historical operating and financial data and a presentation with details of the OPI acquisition can also be accessed. Please go to the website at least fifteen minutes prior to the call to register, download and install any necessary audio software.</w:t>
      </w:r>
    </w:p>
    <w:p>
      <w:pPr>
        <w:spacing w:after="0" w:line="11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 listen to the conference call via phone, please dial 1-877-303-6384 or 1-224-357-2191 and enter “58183604”. For those who cannot access the live broadcast, a replay will be available by dialing 1-800-642-1687 or 1-706-645-9291 and entering “58183604” from two hours after the end of the call until 11:59 p.m. (ET) on May 17, 2011. The replay will also be available on the EXL website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logistics, and travel sectors. Find additional information about EXL at www.exlservice.com.</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by ExlService Holdings, Inc. (the “Company”).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2" w:name="page43"/>
    <w:bookmarkEnd w:id="42"/>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44,219</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21,180</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income/(expense):</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29,620,218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29,128,741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30,911,066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30,157,956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60" w:type="dxa"/>
            <w:vAlign w:val="bottom"/>
          </w:tcPr>
          <w:p>
            <w:pPr>
              <w:jc w:val="right"/>
              <w:ind w:right="30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112,543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5"/>
              </w:rPr>
              <w:t>Accounts receivable, net of allowance for doubtful accounts of $246 each at March 31, 2011 and December 31, 2010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income-tax,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177,021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Fixed assets, net of accumulated depreciation of $52,996 at March 31, 2011 and $48,723 at December 31, 2010</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37,530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15,353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43,411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311,491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44,359</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57,137</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29,846,835 shares issued and 29,592,619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outstanding as of March 31, 2011 and 29,690,463 shares issued and 29,437,961 shares outstanding as of 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139,015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120,627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261,406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249,595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7"/>
              </w:rPr>
              <w:t>Less: 254,216 shares as of March 31, 2011 and 252,502 shares as of December 31, 2010, held in treasury, at cost</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260,303</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260,323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311,491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three items which do not directly link to the Company’s ongoing performance: (i) stock-based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 from operations. Adjusted EBITDA does not represent cash flows from operations as defined by GAAP.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quarter ended March 31, 2011, March 31, 2010 and December 31, 2010:</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right"/>
              <w:ind w:right="860"/>
              <w:spacing w:after="0" w:line="149" w:lineRule="exact"/>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8,361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5,623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add: Income tax provision and Other income/(expense)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7,508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6,476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32"/>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1,828</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10,392</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8,485</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i w:val="1"/>
                <w:iCs w:val="1"/>
                <w:color w:val="auto"/>
              </w:rPr>
              <w:t>14.3%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15.6%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32"/>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2,892</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w w:val="83"/>
              </w:rPr>
              <w:t>14,608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3"/>
              </w:rPr>
              <w:t>11,377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14,616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i w:val="1"/>
                <w:iCs w:val="1"/>
                <w:color w:val="auto"/>
              </w:rPr>
              <w:t>20.0%</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20.9%</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20.9%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Three Months</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w:t>
            </w:r>
          </w:p>
        </w:tc>
      </w:tr>
      <w:tr>
        <w:trPr>
          <w:trHeight w:val="149"/>
        </w:trPr>
        <w:tc>
          <w:tcPr>
            <w:tcW w:w="6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6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left="258"/>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6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8,361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5,623</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8,296</w:t>
            </w: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2,248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(1,785)</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Adjusted net income</w:t>
            </w: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10,087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7,137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9,078</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0.33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0.29</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Agrees to Acquire Outsource Partners International</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May 2, 2011: ExlService Holdings, Inc. (“EXL”) (NASDAQ: EXLS), a leading provider of transformation and outsourcing services, today announced that is has signed a definitive agreement to acquire Outsource Partners International (“OPI”), a leading global provider of finance &amp; accounting (“F&amp;A”) outsourcing services. With this acquisition, EXL establishes itself as one of the leading third-party service providers in global F&amp;A outsourcing.</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Rohit Kapoor, President and CEO of EXL stated “I am extremely excited about EXL’s acquisition of OPI. OPI is one of the largest pure-play providers of complex F&amp;A outsourcing in the market today. OPI has over 3,700 professionals globally, approximately 80 clients, and an extremely talented management team. By combining EXL’s F&amp;A outsourcing and transformation capabilities with OPI’s end-to-end F&amp;A outsourcing capabilities and proprietary platforms, we will assemble a comprehensive set of F&amp;A solutions. These solutions will be of tremendous relevance to the CFO’s organization. The acquisition furthers EXL’s strategic objective of leveraging technology and proprietary intellectual property in our solution offerings. We will also firmly establish our onshore outsourcing presence in the U.S. while enhancing our European and Asian delivery footprint. OPI’s and EXL’s cultures are aligned and customer centric. Our respective high-touch relationship management models are highly complementary and by combining forces we will be able to provide our clients with a broader range of transformation and outsourcing solutions. I am extremely pleased to welcome the entire OPI team to the EXL family, and we look forward to an exciting and successful future.”</w:t>
      </w:r>
    </w:p>
    <w:p>
      <w:pPr>
        <w:spacing w:after="0" w:line="3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Clarence Schmitz, Chairman and CEO of OPI stated “This transaction enables the logical next step in OPI’s growth. I am confident it will bring tremendous benefits to OPI’s clients, as well as enhance opportunities for our employees around the world. We are bringing together OPI’s domain expertise in F&amp;A and EXL’s differentiated transformation and outsourcing capabilities. The combined company will have the ability to meet an even broader range of client requirements and to accelerate our investments in proprietary F&amp;A platforms and solutions. OPI’s clients will benefit from the addition of EXL’s transformational skill sets, a broader geographic delivery footprint, and its strong balance sheet.”</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Clarence Schmitz and Kishore Mirchandani, President of OPI, will join the management team of EXL after the close of the transaction.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EXL will host a conference call on May 3, 2011 at 10:00 a.m. (ET) to discuss the acquisition and answer investor questions. The conference call will be available live via the internet by accessing the investor relations section of EXL’s website at </w:t>
      </w:r>
      <w:r>
        <w:rPr>
          <w:rFonts w:ascii="Arial" w:cs="Arial" w:eastAsia="Arial" w:hAnsi="Arial"/>
          <w:sz w:val="18"/>
          <w:szCs w:val="18"/>
          <w:u w:val="single" w:color="auto"/>
          <w:color w:val="auto"/>
        </w:rPr>
        <w:t>www.exlservice.com</w:t>
      </w:r>
      <w:r>
        <w:rPr>
          <w:rFonts w:ascii="Arial" w:cs="Arial" w:eastAsia="Arial" w:hAnsi="Arial"/>
          <w:sz w:val="18"/>
          <w:szCs w:val="18"/>
          <w:color w:val="auto"/>
        </w:rPr>
        <w:t>, where the accompanying presentation providing additional data on the transaction can now be accessed. Please go to the website at least fifteen minutes prior to the call to register, download and install any necessary audio software.</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 listen to the conference call via phone, please dial 1-877-303-6384 or 1-224-357-2191 and enter “58183604”. For those who cannot access the live broadcast, a replay will be available by dialing 1-800-642-1687 or 1-706-645-9291 and entering “58183604” from two hours after the end of the call until 11:59 p.m. (ET) on May 17, 2011. The replay will also be available on the EXL website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Avendus Capital and FT Partners served as financial and strategic advisors to OPI as part of the transaction.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logistics, and travel sectors.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Outsource Partners International</w:t>
      </w:r>
    </w:p>
    <w:p>
      <w:pPr>
        <w:spacing w:after="0" w:line="96"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 xml:space="preserve">Outsource Partners International (OPI) is a professional services firm dedicated to the outsourcing of finance &amp; accounting business processes, analytics, and related consulting and advisory services. OPI has more than 3,700 professionals operating in its offices throughout the United States, India, United Kingdom, Bulgaria and Malaysia. Benefits realized by OPI clients include improved efficiency, effectiveness, flexibility, quality, and compliance. </w:t>
      </w:r>
      <w:r>
        <w:rPr>
          <w:rFonts w:ascii="Arial" w:cs="Arial" w:eastAsia="Arial" w:hAnsi="Arial"/>
          <w:sz w:val="15"/>
          <w:szCs w:val="15"/>
          <w:u w:val="single" w:color="auto"/>
          <w:color w:val="auto"/>
        </w:rPr>
        <w:t>www.opiglobal.com</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w:t>
      </w:r>
    </w:p>
    <w:p>
      <w:pPr>
        <w:sectPr>
          <w:pgSz w:w="11900" w:h="16838" w:orient="portrait"/>
          <w:cols w:equalWidth="0" w:num="1">
            <w:col w:w="11360"/>
          </w:cols>
          <w:pgMar w:left="240" w:top="280" w:right="299" w:bottom="1440" w:gutter="0" w:footer="0" w:header="0"/>
        </w:sectPr>
      </w:pPr>
    </w:p>
    <w:bookmarkStart w:id="48" w:name="page49"/>
    <w:bookmarkEnd w:id="48"/>
    <w:p>
      <w:pPr>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5"/>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1."/>
      <w:numFmt w:val="upperLetter"/>
      <w:start w:val="61"/>
    </w:lvl>
  </w:abstractNum>
  <w:abstractNum w:abstractNumId="5">
    <w:nsid w:val="515F007C"/>
    <w:multiLevelType w:val="hybridMultilevel"/>
    <w:lvl w:ilvl="0">
      <w:lvlJc w:val="left"/>
      <w:lvlText w:val="(%1)"/>
      <w:numFmt w:val="decimal"/>
      <w:start w:val="2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2019-12-11T00:11:11Z</dcterms:created>
  <dcterms:modified xsi:type="dcterms:W3CDTF">2019-12-11T00:11:11Z</dcterms:modified>
</cp:coreProperties>
</file>