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2220"/>
        <w:spacing w:after="0" w:line="238" w:lineRule="auto"/>
        <w:rPr>
          <w:sz w:val="20"/>
          <w:szCs w:val="20"/>
          <w:color w:val="auto"/>
        </w:rPr>
      </w:pPr>
      <w:r>
        <w:rPr>
          <w:rFonts w:ascii="Courier New" w:cs="Courier New" w:eastAsia="Courier New" w:hAnsi="Courier New"/>
          <w:sz w:val="18"/>
          <w:szCs w:val="18"/>
          <w:color w:val="auto"/>
        </w:rPr>
        <w:t>PURSUANT TO SECTION 13 OR 15(d) OF THE</w:t>
      </w: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Report (date of earliest event reported): June 13, 2007</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EXLSERVICE HOLDINGS, INC.</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50" w:right="1440" w:bottom="0" w:gutter="0" w:footer="0" w:header="0"/>
        </w:sectPr>
      </w:pP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001-33089</w:t>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(Commission File No.)</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82-0572194</w:t>
      </w:r>
    </w:p>
    <w:p>
      <w:pPr>
        <w:ind w:left="3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060" w:space="420"/>
            <w:col w:w="2220" w:space="620"/>
            <w:col w:w="3899"/>
          </w:cols>
          <w:pgMar w:left="240" w:top="250" w:right="1440" w:bottom="0" w:gutter="0" w:footer="0" w:header="0"/>
          <w:type w:val="continuous"/>
        </w:sect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350 PARK AVENUE</w:t>
      </w:r>
    </w:p>
    <w:p>
      <w:pPr>
        <w:ind w:left="2960"/>
        <w:spacing w:after="0" w:line="238" w:lineRule="auto"/>
        <w:rPr>
          <w:sz w:val="20"/>
          <w:szCs w:val="20"/>
          <w:color w:val="auto"/>
        </w:rPr>
      </w:pPr>
      <w:r>
        <w:rPr>
          <w:rFonts w:ascii="Courier New" w:cs="Courier New" w:eastAsia="Courier New" w:hAnsi="Courier New"/>
          <w:sz w:val="18"/>
          <w:szCs w:val="18"/>
          <w:color w:val="auto"/>
        </w:rPr>
        <w:t>NEW YORK, NEW YORK 10022</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(212) 277-7100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ectPr>
          <w:pgSz w:w="11900" w:h="16838" w:orient="portrait"/>
          <w:cols w:equalWidth="0" w:num="1">
            <w:col w:w="10219"/>
          </w:cols>
          <w:pgMar w:left="240" w:top="250" w:right="1440" w:bottom="0" w:gutter="0" w:footer="0" w:header="0"/>
          <w:type w:val="continuous"/>
        </w:sectPr>
      </w:pPr>
    </w:p>
    <w:p>
      <w:pPr>
        <w:spacing w:after="0" w:line="224" w:lineRule="exact"/>
        <w:rPr>
          <w:sz w:val="24"/>
          <w:szCs w:val="24"/>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jc w:val="both"/>
        <w:ind w:left="740" w:right="187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Written communications pursuant to Rule 425 under the Securities Act (17 CFR 230.425)</w:t>
      </w:r>
    </w:p>
    <w:p>
      <w:pPr>
        <w:spacing w:after="0" w:line="208" w:lineRule="exact"/>
        <w:rPr>
          <w:sz w:val="24"/>
          <w:szCs w:val="24"/>
          <w:color w:val="auto"/>
        </w:rPr>
      </w:pPr>
    </w:p>
    <w:p>
      <w:pPr>
        <w:jc w:val="both"/>
        <w:ind w:left="740" w:right="187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Soliciting material pursuant to Rule 14a-12 under the Exchange Act (17 CFR 240.14a-12)</w:t>
      </w:r>
    </w:p>
    <w:p>
      <w:pPr>
        <w:spacing w:after="0" w:line="208" w:lineRule="exact"/>
        <w:rPr>
          <w:sz w:val="24"/>
          <w:szCs w:val="24"/>
          <w:color w:val="auto"/>
        </w:rPr>
      </w:pPr>
    </w:p>
    <w:p>
      <w:pPr>
        <w:jc w:val="both"/>
        <w:ind w:left="740" w:right="187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Pre-commencement communications pursuant to Rule 14d-2(b) under the Exchange Act (17 CFR 240.14d-2(b))</w:t>
      </w:r>
    </w:p>
    <w:p>
      <w:pPr>
        <w:spacing w:after="0" w:line="208" w:lineRule="exact"/>
        <w:rPr>
          <w:sz w:val="24"/>
          <w:szCs w:val="24"/>
          <w:color w:val="auto"/>
        </w:rPr>
      </w:pPr>
    </w:p>
    <w:p>
      <w:pPr>
        <w:jc w:val="both"/>
        <w:ind w:left="740" w:right="187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Pre-commencement communications pursuant to Rule 13e-4(c) under the Exchange Act (17 CFR 240.13e-4(c))</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5.02</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DEPARTURE</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OF</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DIRECTORS</w:t>
            </w:r>
          </w:p>
        </w:tc>
        <w:tc>
          <w:tcPr>
            <w:tcW w:w="520" w:type="dxa"/>
            <w:vAlign w:val="bottom"/>
          </w:tcPr>
          <w:p>
            <w:pPr>
              <w:ind w:left="200"/>
              <w:spacing w:after="0"/>
              <w:rPr>
                <w:sz w:val="20"/>
                <w:szCs w:val="20"/>
                <w:color w:val="auto"/>
              </w:rPr>
            </w:pPr>
            <w:r>
              <w:rPr>
                <w:rFonts w:ascii="Courier New" w:cs="Courier New" w:eastAsia="Courier New" w:hAnsi="Courier New"/>
                <w:sz w:val="18"/>
                <w:szCs w:val="18"/>
                <w:color w:val="auto"/>
              </w:rPr>
              <w:t>OR</w:t>
            </w:r>
          </w:p>
        </w:tc>
        <w:tc>
          <w:tcPr>
            <w:tcW w:w="1160" w:type="dxa"/>
            <w:vAlign w:val="bottom"/>
          </w:tcPr>
          <w:p>
            <w:pPr>
              <w:ind w:left="100"/>
              <w:spacing w:after="0"/>
              <w:rPr>
                <w:sz w:val="20"/>
                <w:szCs w:val="20"/>
                <w:color w:val="auto"/>
              </w:rPr>
            </w:pPr>
            <w:r>
              <w:rPr>
                <w:rFonts w:ascii="Courier New" w:cs="Courier New" w:eastAsia="Courier New" w:hAnsi="Courier New"/>
                <w:sz w:val="18"/>
                <w:szCs w:val="18"/>
                <w:color w:val="auto"/>
              </w:rPr>
              <w:t>CERTAIN</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4"/>
              </w:rPr>
              <w:t>OFFICERS;</w:t>
            </w:r>
          </w:p>
        </w:tc>
        <w:tc>
          <w:tcPr>
            <w:tcW w:w="1160" w:type="dxa"/>
            <w:vAlign w:val="bottom"/>
          </w:tcPr>
          <w:p>
            <w:pPr>
              <w:ind w:left="260"/>
              <w:spacing w:after="0"/>
              <w:rPr>
                <w:sz w:val="20"/>
                <w:szCs w:val="20"/>
                <w:color w:val="auto"/>
              </w:rPr>
            </w:pPr>
            <w:r>
              <w:rPr>
                <w:rFonts w:ascii="Courier New" w:cs="Courier New" w:eastAsia="Courier New" w:hAnsi="Courier New"/>
                <w:sz w:val="18"/>
                <w:szCs w:val="18"/>
                <w:color w:val="auto"/>
              </w:rPr>
              <w:t>ELECTION</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OF</w:t>
            </w:r>
          </w:p>
        </w:tc>
      </w:tr>
      <w:tr>
        <w:trPr>
          <w:trHeight w:val="203"/>
        </w:trPr>
        <w:tc>
          <w:tcPr>
            <w:tcW w:w="1440" w:type="dxa"/>
            <w:vAlign w:val="bottom"/>
          </w:tcPr>
          <w:p>
            <w:pPr>
              <w:spacing w:after="0"/>
              <w:rPr>
                <w:sz w:val="17"/>
                <w:szCs w:val="17"/>
                <w:color w:val="auto"/>
              </w:rPr>
            </w:pP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DIRECTORS;</w:t>
            </w:r>
          </w:p>
        </w:tc>
        <w:tc>
          <w:tcPr>
            <w:tcW w:w="3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APPOINTMENT</w:t>
            </w:r>
          </w:p>
        </w:tc>
        <w:tc>
          <w:tcPr>
            <w:tcW w:w="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w:t>
            </w:r>
          </w:p>
        </w:tc>
        <w:tc>
          <w:tcPr>
            <w:tcW w:w="1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CERTAIN</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OFFICERS;</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COMPENSATORY</w:t>
            </w:r>
          </w:p>
        </w:tc>
      </w:tr>
      <w:tr>
        <w:trPr>
          <w:trHeight w:val="203"/>
        </w:trPr>
        <w:tc>
          <w:tcPr>
            <w:tcW w:w="1440" w:type="dxa"/>
            <w:vAlign w:val="bottom"/>
          </w:tcPr>
          <w:p>
            <w:pPr>
              <w:spacing w:after="0"/>
              <w:rPr>
                <w:sz w:val="17"/>
                <w:szCs w:val="17"/>
                <w:color w:val="auto"/>
              </w:rPr>
            </w:pPr>
          </w:p>
        </w:tc>
        <w:tc>
          <w:tcPr>
            <w:tcW w:w="436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rPr>
              <w:t>ARRANGEMENTS OF CERTAIN OFFICERS.</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05"/>
        </w:trPr>
        <w:tc>
          <w:tcPr>
            <w:tcW w:w="1440" w:type="dxa"/>
            <w:vAlign w:val="bottom"/>
          </w:tcPr>
          <w:p>
            <w:pPr>
              <w:spacing w:after="0"/>
              <w:rPr>
                <w:sz w:val="24"/>
                <w:szCs w:val="24"/>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On  June</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w w:val="92"/>
              </w:rPr>
              <w:t>13,</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2007,  Mr.</w:t>
            </w:r>
          </w:p>
        </w:tc>
        <w:tc>
          <w:tcPr>
            <w:tcW w:w="168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6"/>
              </w:rPr>
              <w:t>Rohit  Kapoor,</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who is</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currently</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the</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President of ExlService</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Holdings, Inc.</w:t>
            </w:r>
          </w:p>
        </w:tc>
        <w:tc>
          <w:tcPr>
            <w:tcW w:w="1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(the "Company"),</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took on</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additional</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role of Chief</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Operating</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Officer of the</w:t>
            </w:r>
          </w:p>
        </w:tc>
        <w:tc>
          <w:tcPr>
            <w:tcW w:w="1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Company.</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r>
    </w:tbl>
    <w:p>
      <w:pPr>
        <w:spacing w:after="0" w:line="207" w:lineRule="exact"/>
        <w:rPr>
          <w:sz w:val="24"/>
          <w:szCs w:val="24"/>
          <w:color w:val="auto"/>
        </w:rPr>
      </w:pPr>
    </w:p>
    <w:p>
      <w:pPr>
        <w:jc w:val="both"/>
        <w:ind w:right="1879" w:firstLine="1475"/>
        <w:spacing w:after="0" w:line="237" w:lineRule="auto"/>
        <w:rPr>
          <w:sz w:val="20"/>
          <w:szCs w:val="20"/>
          <w:color w:val="auto"/>
        </w:rPr>
      </w:pPr>
      <w:r>
        <w:rPr>
          <w:rFonts w:ascii="Courier New" w:cs="Courier New" w:eastAsia="Courier New" w:hAnsi="Courier New"/>
          <w:sz w:val="18"/>
          <w:szCs w:val="18"/>
          <w:color w:val="auto"/>
        </w:rPr>
        <w:t>Information regarding Mr. Kapoor's business experience and any related person transactions between Mr. Kapoor and the Company can be found in the Company's Definitive Proxy Statement with regard to its 2007 Annual Meeting of Stockholders, which Definitive Proxy Statement was filed with the Securities and Exchange Commission on April 25, 2007.</w:t>
      </w:r>
    </w:p>
    <w:p>
      <w:pPr>
        <w:spacing w:after="0" w:line="203"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7.01</w:t>
      </w:r>
      <w:r>
        <w:rPr>
          <w:sz w:val="20"/>
          <w:szCs w:val="20"/>
          <w:color w:val="auto"/>
        </w:rPr>
        <w:tab/>
      </w:r>
      <w:r>
        <w:rPr>
          <w:rFonts w:ascii="Courier New" w:cs="Courier New" w:eastAsia="Courier New" w:hAnsi="Courier New"/>
          <w:sz w:val="16"/>
          <w:szCs w:val="16"/>
          <w:color w:val="auto"/>
        </w:rPr>
        <w:t>REGULATION FD DISCLOSURE.</w:t>
      </w:r>
    </w:p>
    <w:p>
      <w:pPr>
        <w:spacing w:after="0" w:line="207" w:lineRule="exact"/>
        <w:rPr>
          <w:sz w:val="24"/>
          <w:szCs w:val="24"/>
          <w:color w:val="auto"/>
        </w:rPr>
      </w:pPr>
    </w:p>
    <w:p>
      <w:pPr>
        <w:jc w:val="both"/>
        <w:ind w:right="1879" w:firstLine="1475"/>
        <w:spacing w:after="0" w:line="279" w:lineRule="auto"/>
        <w:rPr>
          <w:sz w:val="20"/>
          <w:szCs w:val="20"/>
          <w:color w:val="auto"/>
        </w:rPr>
      </w:pPr>
      <w:r>
        <w:rPr>
          <w:rFonts w:ascii="Courier New" w:cs="Courier New" w:eastAsia="Courier New" w:hAnsi="Courier New"/>
          <w:sz w:val="16"/>
          <w:szCs w:val="16"/>
          <w:color w:val="auto"/>
        </w:rPr>
        <w:t>On June 18, 2007, the Company issued a press release announcing the results of its 2007 Annual Meeting of Stockholders, which was held on June 13, 2007. A copy of the press release is attached as Exhibit 99.1 hereto.</w:t>
      </w:r>
    </w:p>
    <w:p>
      <w:pPr>
        <w:spacing w:after="0" w:line="173"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w:t>
      </w:r>
    </w:p>
    <w:p>
      <w:pPr>
        <w:sectPr>
          <w:pgSz w:w="11900" w:h="16838" w:orient="portrait"/>
          <w:cols w:equalWidth="0" w:num="1">
            <w:col w:w="10219"/>
          </w:cols>
          <w:pgMar w:left="240" w:top="250" w:right="1440" w:bottom="0" w:gutter="0" w:footer="0" w:header="0"/>
          <w:type w:val="continuous"/>
        </w:sectPr>
      </w:pPr>
    </w:p>
    <w:bookmarkStart w:id="1" w:name="page2"/>
    <w:bookmarkEnd w:id="1"/>
    <w:p>
      <w:pPr>
        <w:spacing w:after="0" w:line="6" w:lineRule="exact"/>
        <w:rPr>
          <w:sz w:val="20"/>
          <w:szCs w:val="20"/>
          <w:color w:val="auto"/>
        </w:rPr>
      </w:pPr>
    </w:p>
    <w:p>
      <w:pPr>
        <w:jc w:val="both"/>
        <w:ind w:right="20"/>
        <w:spacing w:after="0" w:line="236" w:lineRule="auto"/>
        <w:rPr>
          <w:sz w:val="20"/>
          <w:szCs w:val="20"/>
          <w:color w:val="auto"/>
        </w:rPr>
      </w:pPr>
      <w:r>
        <w:rPr>
          <w:rFonts w:ascii="Courier New" w:cs="Courier New" w:eastAsia="Courier New" w:hAnsi="Courier New"/>
          <w:sz w:val="18"/>
          <w:szCs w:val="18"/>
          <w:color w:val="auto"/>
        </w:rPr>
        <w:t>EXHIBIT NO. ----------- 99.1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dated June 18, 2007</w:t>
      </w:r>
    </w:p>
    <w:p>
      <w:pPr>
        <w:sectPr>
          <w:pgSz w:w="11900" w:h="16838" w:orient="portrait"/>
          <w:cols w:equalWidth="0" w:num="2">
            <w:col w:w="1180" w:space="720"/>
            <w:col w:w="7359"/>
          </w:cols>
          <w:pgMar w:left="1200" w:top="136"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879" w:firstLine="1475"/>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EXLSERVICE HOLDINGS, INC.</w:t>
      </w:r>
    </w:p>
    <w:p>
      <w:pPr>
        <w:ind w:left="432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18, 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Amit Shashank</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tabs>
          <w:tab w:leader="none" w:pos="1240" w:val="left"/>
        </w:tabs>
        <w:rPr>
          <w:sz w:val="20"/>
          <w:szCs w:val="20"/>
          <w:color w:val="auto"/>
        </w:rPr>
      </w:pPr>
      <w:r>
        <w:rPr>
          <w:rFonts w:ascii="Courier New" w:cs="Courier New" w:eastAsia="Courier New" w:hAnsi="Courier New"/>
          <w:sz w:val="18"/>
          <w:szCs w:val="18"/>
          <w:color w:val="auto"/>
        </w:rPr>
        <w:t>Name:</w:t>
        <w:tab/>
        <w:t>Amit Shashank</w:t>
      </w:r>
    </w:p>
    <w:p>
      <w:pPr>
        <w:spacing w:after="0" w:line="3" w:lineRule="exact"/>
        <w:rPr>
          <w:sz w:val="20"/>
          <w:szCs w:val="20"/>
          <w:color w:val="auto"/>
        </w:rPr>
      </w:pPr>
    </w:p>
    <w:p>
      <w:pPr>
        <w:ind w:left="420"/>
        <w:spacing w:after="0"/>
        <w:tabs>
          <w:tab w:leader="none" w:pos="1240" w:val="left"/>
        </w:tabs>
        <w:rPr>
          <w:sz w:val="20"/>
          <w:szCs w:val="20"/>
          <w:color w:val="auto"/>
        </w:rPr>
      </w:pPr>
      <w:r>
        <w:rPr>
          <w:rFonts w:ascii="Courier New" w:cs="Courier New" w:eastAsia="Courier New" w:hAnsi="Courier New"/>
          <w:sz w:val="16"/>
          <w:szCs w:val="16"/>
          <w:color w:val="auto"/>
        </w:rPr>
        <w:t>Title:</w:t>
        <w:tab/>
        <w:t>Vice President, General Counsel</w:t>
      </w:r>
    </w:p>
    <w:p>
      <w:pPr>
        <w:spacing w:after="0" w:line="16"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and Corporate Secretary</w:t>
      </w:r>
    </w:p>
    <w:p>
      <w:pPr>
        <w:sectPr>
          <w:pgSz w:w="11900" w:h="16838" w:orient="portrait"/>
          <w:cols w:equalWidth="0" w:num="3">
            <w:col w:w="540" w:space="200"/>
            <w:col w:w="2440" w:space="720"/>
            <w:col w:w="6319"/>
          </w:cols>
          <w:pgMar w:left="240" w:top="919" w:right="1440" w:bottom="1440" w:gutter="0" w:footer="0" w:header="0"/>
          <w:type w:val="continuous"/>
        </w:sectPr>
      </w:pPr>
    </w:p>
    <w:bookmarkStart w:id="3" w:name="page4"/>
    <w:bookmarkEnd w:id="3"/>
    <w:p>
      <w:pPr>
        <w:ind w:left="252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9259"/>
          </w:cols>
          <w:pgMar w:left="1200" w:top="925"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236" w:lineRule="auto"/>
        <w:rPr>
          <w:sz w:val="20"/>
          <w:szCs w:val="20"/>
          <w:color w:val="auto"/>
        </w:rPr>
      </w:pPr>
      <w:r>
        <w:rPr>
          <w:rFonts w:ascii="Courier New" w:cs="Courier New" w:eastAsia="Courier New" w:hAnsi="Courier New"/>
          <w:sz w:val="18"/>
          <w:szCs w:val="18"/>
          <w:color w:val="auto"/>
        </w:rPr>
        <w:t>EXHIBIT NO. ----------- 99.1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dated June 18, 2007</w:t>
      </w:r>
    </w:p>
    <w:p>
      <w:pPr>
        <w:sectPr>
          <w:pgSz w:w="11900" w:h="16838" w:orient="portrait"/>
          <w:cols w:equalWidth="0" w:num="2">
            <w:col w:w="1180" w:space="720"/>
            <w:col w:w="7359"/>
          </w:cols>
          <w:pgMar w:left="1200" w:top="925" w:right="1440" w:bottom="1440" w:gutter="0" w:footer="0" w:header="0"/>
          <w:type w:val="continuous"/>
        </w:sectPr>
      </w:pPr>
    </w:p>
    <w:bookmarkStart w:id="4" w:name="page5"/>
    <w:bookmarkEnd w:id="4"/>
    <w:p>
      <w:pPr>
        <w:jc w:val="right"/>
        <w:ind w:right="1879"/>
        <w:spacing w:after="0"/>
        <w:rPr>
          <w:sz w:val="20"/>
          <w:szCs w:val="20"/>
          <w:color w:val="auto"/>
        </w:rPr>
      </w:pPr>
      <w:r>
        <w:rPr>
          <w:rFonts w:ascii="Courier New" w:cs="Courier New" w:eastAsia="Courier New" w:hAnsi="Courier New"/>
          <w:sz w:val="18"/>
          <w:szCs w:val="18"/>
          <w:color w:val="auto"/>
        </w:rPr>
        <w:t>EXHIBIT 99.1</w:t>
      </w:r>
    </w:p>
    <w:p>
      <w:pPr>
        <w:spacing w:after="0" w:line="4" w:lineRule="exact"/>
        <w:rPr>
          <w:sz w:val="20"/>
          <w:szCs w:val="20"/>
          <w:color w:val="auto"/>
        </w:rPr>
      </w:pPr>
    </w:p>
    <w:p>
      <w:pPr>
        <w:ind w:left="7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[GRAPHIC OMITTED - LOGO]</w:t>
      </w:r>
    </w:p>
    <w:p>
      <w:pPr>
        <w:spacing w:after="0" w:line="238" w:lineRule="auto"/>
        <w:rPr>
          <w:sz w:val="20"/>
          <w:szCs w:val="20"/>
          <w:color w:val="auto"/>
        </w:rPr>
      </w:pPr>
      <w:r>
        <w:rPr>
          <w:rFonts w:ascii="Courier New" w:cs="Courier New" w:eastAsia="Courier New" w:hAnsi="Courier New"/>
          <w:sz w:val="18"/>
          <w:szCs w:val="18"/>
          <w:color w:val="auto"/>
        </w:rPr>
        <w:t>EXL</w:t>
      </w:r>
    </w:p>
    <w:p>
      <w:pPr>
        <w:spacing w:after="0"/>
        <w:rPr>
          <w:sz w:val="20"/>
          <w:szCs w:val="20"/>
          <w:color w:val="auto"/>
        </w:rPr>
      </w:pPr>
      <w:r>
        <w:rPr>
          <w:rFonts w:ascii="Courier New" w:cs="Courier New" w:eastAsia="Courier New" w:hAnsi="Courier New"/>
          <w:sz w:val="18"/>
          <w:szCs w:val="18"/>
          <w:color w:val="auto"/>
        </w:rPr>
        <w:t>SERVICE</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global solutions,</w:t>
      </w:r>
    </w:p>
    <w:p>
      <w:pPr>
        <w:spacing w:after="0"/>
        <w:rPr>
          <w:sz w:val="20"/>
          <w:szCs w:val="20"/>
          <w:color w:val="auto"/>
        </w:rPr>
      </w:pPr>
      <w:r>
        <w:rPr>
          <w:rFonts w:ascii="Courier New" w:cs="Courier New" w:eastAsia="Courier New" w:hAnsi="Courier New"/>
          <w:sz w:val="18"/>
          <w:szCs w:val="18"/>
          <w:color w:val="auto"/>
        </w:rPr>
        <w:t>value delivered.</w:t>
      </w:r>
    </w:p>
    <w:p>
      <w:pPr>
        <w:ind w:left="5480"/>
        <w:spacing w:after="0" w:line="237" w:lineRule="auto"/>
        <w:rPr>
          <w:sz w:val="20"/>
          <w:szCs w:val="20"/>
          <w:color w:val="auto"/>
        </w:rPr>
      </w:pPr>
      <w:r>
        <w:rPr>
          <w:rFonts w:ascii="Courier New" w:cs="Courier New" w:eastAsia="Courier New" w:hAnsi="Courier New"/>
          <w:sz w:val="18"/>
          <w:szCs w:val="18"/>
          <w:color w:val="auto"/>
        </w:rPr>
        <w:t>350 Park Avenue</w:t>
      </w:r>
    </w:p>
    <w:p>
      <w:pPr>
        <w:ind w:left="5480"/>
        <w:spacing w:after="0"/>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ectPr>
          <w:pgSz w:w="11900" w:h="16838" w:orient="portrait"/>
          <w:cols w:equalWidth="0" w:num="1">
            <w:col w:w="10219"/>
          </w:cols>
          <w:pgMar w:left="240" w:top="136"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 Jarrod Yahes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Head of Investor Relations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38" w:lineRule="auto"/>
        <w:rPr>
          <w:sz w:val="20"/>
          <w:szCs w:val="20"/>
          <w:color w:val="auto"/>
        </w:rPr>
      </w:pPr>
      <w:r>
        <w:rPr>
          <w:rFonts w:ascii="Courier New" w:cs="Courier New" w:eastAsia="Courier New" w:hAnsi="Courier New"/>
          <w:sz w:val="18"/>
          <w:szCs w:val="18"/>
          <w:color w:val="auto"/>
        </w:rPr>
        <w:t>(212) 277-7109</w:t>
      </w:r>
    </w:p>
    <w:p>
      <w:pPr>
        <w:spacing w:after="0"/>
        <w:rPr>
          <w:sz w:val="20"/>
          <w:szCs w:val="20"/>
          <w:color w:val="auto"/>
        </w:rPr>
      </w:pPr>
      <w:r>
        <w:rPr>
          <w:rFonts w:ascii="Courier New" w:cs="Courier New" w:eastAsia="Courier New" w:hAnsi="Courier New"/>
          <w:sz w:val="18"/>
          <w:szCs w:val="18"/>
          <w:color w:val="auto"/>
        </w:rPr>
        <w:t>ir@exlservice.com</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Kerry Kelly-Guiliano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Dynamics</w:t>
      </w:r>
    </w:p>
    <w:p>
      <w:pPr>
        <w:spacing w:after="0" w:line="238" w:lineRule="auto"/>
        <w:rPr>
          <w:sz w:val="20"/>
          <w:szCs w:val="20"/>
          <w:color w:val="auto"/>
        </w:rPr>
      </w:pPr>
      <w:r>
        <w:rPr>
          <w:rFonts w:ascii="Courier New" w:cs="Courier New" w:eastAsia="Courier New" w:hAnsi="Courier New"/>
          <w:sz w:val="18"/>
          <w:szCs w:val="18"/>
          <w:color w:val="auto"/>
        </w:rPr>
        <w:t>(617) 747-3603</w:t>
      </w:r>
    </w:p>
    <w:p>
      <w:pPr>
        <w:spacing w:after="0"/>
        <w:rPr>
          <w:sz w:val="20"/>
          <w:szCs w:val="20"/>
          <w:color w:val="auto"/>
        </w:rPr>
      </w:pPr>
      <w:r>
        <w:rPr>
          <w:rFonts w:ascii="Courier New" w:cs="Courier New" w:eastAsia="Courier New" w:hAnsi="Courier New"/>
          <w:sz w:val="18"/>
          <w:szCs w:val="18"/>
          <w:color w:val="auto"/>
        </w:rPr>
        <w:t>kerry.guiliano@fd.com</w:t>
      </w:r>
    </w:p>
    <w:p>
      <w:pPr>
        <w:spacing w:after="0" w:line="402" w:lineRule="exact"/>
        <w:rPr>
          <w:sz w:val="20"/>
          <w:szCs w:val="20"/>
          <w:color w:val="auto"/>
        </w:rPr>
      </w:pPr>
    </w:p>
    <w:p>
      <w:pPr>
        <w:sectPr>
          <w:pgSz w:w="11900" w:h="16838" w:orient="portrait"/>
          <w:cols w:equalWidth="0" w:num="2">
            <w:col w:w="4760" w:space="720"/>
            <w:col w:w="4739"/>
          </w:cols>
          <w:pgMar w:left="240" w:top="136" w:right="1440" w:bottom="1440" w:gutter="0" w:footer="0" w:header="0"/>
          <w:type w:val="continuous"/>
        </w:sectPr>
      </w:pP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EXL ANNOUNCES RESULTS FROM 2007 ANNUAL MEETING OF STOCKHOLDERS</w:t>
      </w:r>
    </w:p>
    <w:p>
      <w:pPr>
        <w:spacing w:after="0" w:line="207"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NEW YORK, NY - JUNE 18, 2007 - ExlService Holdings, Inc. ("EXL") (NASDAQ: EXLS) announced results from the Company's 2007 Annual Meeting of Stockholders held on Wednesday, June 13, 2007.</w:t>
      </w:r>
    </w:p>
    <w:p>
      <w:pPr>
        <w:spacing w:after="0" w:line="209" w:lineRule="exact"/>
        <w:rPr>
          <w:sz w:val="20"/>
          <w:szCs w:val="20"/>
          <w:color w:val="auto"/>
        </w:rPr>
      </w:pPr>
    </w:p>
    <w:p>
      <w:pPr>
        <w:jc w:val="both"/>
        <w:ind w:right="1879"/>
        <w:spacing w:after="0" w:line="271" w:lineRule="auto"/>
        <w:rPr>
          <w:sz w:val="20"/>
          <w:szCs w:val="20"/>
          <w:color w:val="auto"/>
        </w:rPr>
      </w:pPr>
      <w:r>
        <w:rPr>
          <w:rFonts w:ascii="Courier New" w:cs="Courier New" w:eastAsia="Courier New" w:hAnsi="Courier New"/>
          <w:sz w:val="16"/>
          <w:szCs w:val="16"/>
          <w:color w:val="auto"/>
        </w:rPr>
        <w:t>All nominees proposed for election as Class I directors of the Company were elected by a majority of shareholders entitled to vote on the matter with a quorum of shareholders present in person or by proxy. The following individuals were elected as Class I directors serving for a three-year term expiring at the Annual Meeting of Stockholders of the Company in 2010: Edward "Ted" V. Dardani and Rohit Kapoor. Ted, Partner of Oak Hill Capital Partners, L.P., has served as a member of the EXL Board of Directors since April 2005. Rohit is a co-founder of EXL and has served as President of EXL since November 2002.</w:t>
      </w:r>
    </w:p>
    <w:p>
      <w:pPr>
        <w:spacing w:after="0" w:line="186"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Also on the meeting's agenda was a proposal to ratify the selection of Ernst &amp; Young LLP as the independent registered public accounting firm of the Company for fiscal year 2007. This proposal was approved by a majority vote of shareholders entitled to vote on the matter with a quorum of shareholders present in person or by proxy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EXLSERVICE HOLDINGS, INC.:</w:t>
      </w:r>
    </w:p>
    <w:p>
      <w:pPr>
        <w:spacing w:after="0" w:line="207"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ExlService Holdings, Inc. (NASDAQ: EXLS), is a recognized provider of offshore solutions including business process outsourcing (BPO), research and analytics and advisory services. It primarily serves the needs of Global 1000 companies in the banking, financial services and insurance sector. EXL is headquartered at 350 Park Avenue, New York, NY. Find additional information about EXL at www.exlservice.com.</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2019-12-15T10:56:31Z</dcterms:created>
  <dcterms:modified xsi:type="dcterms:W3CDTF">2019-12-15T10:56:31Z</dcterms:modified>
</cp:coreProperties>
</file>