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Saltzman Nancy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EVP &amp; Gen. Counsel/Corp. Sec'y</w:t>
      </w:r>
    </w:p>
    <w:p>
      <w:pPr>
        <w:spacing w:after="0" w:line="33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04/21/2016</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4,000</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4,000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04/21/2016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1,479</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51.39</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2,521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04/21/2016</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4,000</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300"/>
              <w:spacing w:after="0" w:line="149" w:lineRule="exact"/>
              <w:rPr>
                <w:sz w:val="20"/>
                <w:szCs w:val="20"/>
                <w:color w:val="auto"/>
              </w:rPr>
            </w:pPr>
            <w:r>
              <w:rPr>
                <w:rFonts w:ascii="Arial" w:cs="Arial" w:eastAsia="Arial" w:hAnsi="Arial"/>
                <w:sz w:val="14"/>
                <w:szCs w:val="14"/>
                <w:color w:val="0000FF"/>
                <w:w w:val="88"/>
              </w:rPr>
              <w:t>14,000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April 21, 2016. Pursuant to the Company's 2006 Omnibus Award Plan, pursuant to which such restricted stock units were granted, the closing price of the Common Stock on the Nasdaq Global Select Market on the preceding day is used for purposes of computing tax reporting and withholding.</w:t>
      </w:r>
    </w:p>
    <w:p>
      <w:pPr>
        <w:ind w:left="40" w:right="3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April 21, 2014, the reporting person was granted 20,000 restricted stock units, 10 percent of the restricted stock units became vested on April 21, 2015, an additional 20 percent of the restricted stock units became vested on April 21, 2016, an additional 30 percent of the restricted stock units will vest on April 21, 2017, and the remaining 40 percent of the restricted stock units will vest on April 21, 2018.</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04/25/2016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645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2019-12-08T02:26:11Z</dcterms:created>
  <dcterms:modified xsi:type="dcterms:W3CDTF">2019-12-08T02:26:11Z</dcterms:modified>
</cp:coreProperties>
</file>