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22,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001-33089</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82-0572194</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280 Park Avenue, 38th Floor</w:t>
            </w:r>
          </w:p>
        </w:tc>
        <w:tc>
          <w:tcPr>
            <w:tcW w:w="168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New York, New York 10017</w:t>
            </w:r>
          </w:p>
        </w:tc>
        <w:tc>
          <w:tcPr>
            <w:tcW w:w="168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Registrant’s telephone number, including area code: (212) 277-7100</w:t>
            </w:r>
          </w:p>
        </w:tc>
        <w:tc>
          <w:tcPr>
            <w:tcW w:w="1680" w:type="dxa"/>
            <w:vAlign w:val="bottom"/>
          </w:tcPr>
          <w:p>
            <w:pPr>
              <w:spacing w:after="0"/>
              <w:rPr>
                <w:sz w:val="24"/>
                <w:szCs w:val="24"/>
                <w:color w:val="auto"/>
              </w:rPr>
            </w:pP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rPr>
              <w:t>NOT APPLICABLE</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(Former name or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right="5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right="40" w:firstLine="311"/>
        <w:spacing w:after="0" w:line="257" w:lineRule="auto"/>
        <w:rPr>
          <w:sz w:val="20"/>
          <w:szCs w:val="20"/>
          <w:color w:val="auto"/>
        </w:rPr>
      </w:pPr>
      <w:r>
        <w:rPr>
          <w:rFonts w:ascii="Arial" w:cs="Arial" w:eastAsia="Arial" w:hAnsi="Arial"/>
          <w:sz w:val="18"/>
          <w:szCs w:val="18"/>
          <w:color w:val="auto"/>
        </w:rPr>
        <w:t>On June 22, 2017, at the Annual Meeting of Stockholders of ExlService Holdings, Inc. (the “Company”), the Company’s stockholders voted on the following items: (1) the election of three Class II members of the board of directors of the Company, (2) the ratification of the selection of Ernst &amp; Young LLP as the independent registered public accounting firm of the Company for fiscal year 2017; (3) the approval, on a non-binding advisory basis, of the compensation of the named executive officers of the Company (“Say-on-Pay”); and (4) the determination, on a non-binding advisory basis, of how frequently the stockholders should hold the Say-on-Pay vote.</w:t>
      </w:r>
    </w:p>
    <w:p>
      <w:pPr>
        <w:spacing w:after="0" w:line="188" w:lineRule="exact"/>
        <w:rPr>
          <w:sz w:val="20"/>
          <w:szCs w:val="20"/>
          <w:color w:val="auto"/>
        </w:rPr>
      </w:pPr>
    </w:p>
    <w:p>
      <w:pPr>
        <w:ind w:right="100" w:firstLine="311"/>
        <w:spacing w:after="0" w:line="264" w:lineRule="auto"/>
        <w:rPr>
          <w:sz w:val="20"/>
          <w:szCs w:val="20"/>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Each of the three nominees for election to the board of directors was duly elected to serve as a director until the annual meeting of stockholders in 2020 or until his or her successor is duly elected and qualified in accordance with the by-laws of the Company. The final results of the voting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r>
              <w:rPr>
                <w:rFonts w:ascii="Arial" w:cs="Arial" w:eastAsia="Arial" w:hAnsi="Arial"/>
                <w:sz w:val="18"/>
                <w:szCs w:val="18"/>
                <w:b w:val="1"/>
                <w:bCs w:val="1"/>
                <w:color w:val="auto"/>
              </w:rPr>
              <w:t>Nominees</w:t>
            </w:r>
          </w:p>
        </w:tc>
        <w:tc>
          <w:tcPr>
            <w:tcW w:w="3020" w:type="dxa"/>
            <w:vAlign w:val="bottom"/>
          </w:tcPr>
          <w:p>
            <w:pPr>
              <w:jc w:val="center"/>
              <w:ind w:left="890"/>
              <w:spacing w:after="0"/>
              <w:rPr>
                <w:sz w:val="20"/>
                <w:szCs w:val="20"/>
                <w:color w:val="auto"/>
              </w:rPr>
            </w:pPr>
            <w:r>
              <w:rPr>
                <w:rFonts w:ascii="Arial" w:cs="Arial" w:eastAsia="Arial" w:hAnsi="Arial"/>
                <w:sz w:val="18"/>
                <w:szCs w:val="18"/>
                <w:b w:val="1"/>
                <w:bCs w:val="1"/>
                <w:color w:val="auto"/>
                <w:w w:val="96"/>
              </w:rPr>
              <w:t>For</w:t>
            </w:r>
          </w:p>
        </w:tc>
        <w:tc>
          <w:tcPr>
            <w:tcW w:w="1880" w:type="dxa"/>
            <w:vAlign w:val="bottom"/>
          </w:tcPr>
          <w:p>
            <w:pPr>
              <w:ind w:left="620"/>
              <w:spacing w:after="0"/>
              <w:rPr>
                <w:sz w:val="20"/>
                <w:szCs w:val="20"/>
                <w:color w:val="auto"/>
              </w:rPr>
            </w:pPr>
            <w:r>
              <w:rPr>
                <w:rFonts w:ascii="Arial" w:cs="Arial" w:eastAsia="Arial" w:hAnsi="Arial"/>
                <w:sz w:val="18"/>
                <w:szCs w:val="18"/>
                <w:b w:val="1"/>
                <w:bCs w:val="1"/>
                <w:color w:val="auto"/>
              </w:rPr>
              <w:t>Against</w:t>
            </w:r>
          </w:p>
        </w:tc>
        <w:tc>
          <w:tcPr>
            <w:tcW w:w="176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Abstain</w:t>
            </w:r>
          </w:p>
        </w:tc>
        <w:tc>
          <w:tcPr>
            <w:tcW w:w="200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Broker Non-Votes</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David B. Kelso</w:t>
            </w:r>
          </w:p>
        </w:tc>
        <w:tc>
          <w:tcPr>
            <w:tcW w:w="302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88"/>
              </w:rPr>
              <w:t>30,910,312</w:t>
            </w:r>
          </w:p>
        </w:tc>
        <w:tc>
          <w:tcPr>
            <w:tcW w:w="1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328,300</w:t>
            </w:r>
          </w:p>
        </w:tc>
        <w:tc>
          <w:tcPr>
            <w:tcW w:w="17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8"/>
              </w:rPr>
              <w:t>1,410</w:t>
            </w:r>
          </w:p>
        </w:tc>
        <w:tc>
          <w:tcPr>
            <w:tcW w:w="20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9"/>
              </w:rPr>
              <w:t>1,275,083</w:t>
            </w:r>
          </w:p>
        </w:tc>
      </w:tr>
      <w:tr>
        <w:trPr>
          <w:trHeight w:val="216"/>
        </w:trPr>
        <w:tc>
          <w:tcPr>
            <w:tcW w:w="2760" w:type="dxa"/>
            <w:vAlign w:val="bottom"/>
          </w:tcPr>
          <w:p>
            <w:pPr>
              <w:spacing w:after="0"/>
              <w:rPr>
                <w:sz w:val="20"/>
                <w:szCs w:val="20"/>
                <w:color w:val="auto"/>
              </w:rPr>
            </w:pPr>
            <w:r>
              <w:rPr>
                <w:rFonts w:ascii="Arial" w:cs="Arial" w:eastAsia="Arial" w:hAnsi="Arial"/>
                <w:sz w:val="18"/>
                <w:szCs w:val="18"/>
                <w:color w:val="auto"/>
              </w:rPr>
              <w:t>Som Mittal</w:t>
            </w:r>
          </w:p>
        </w:tc>
        <w:tc>
          <w:tcPr>
            <w:tcW w:w="3020" w:type="dxa"/>
            <w:vAlign w:val="bottom"/>
          </w:tcPr>
          <w:p>
            <w:pPr>
              <w:jc w:val="center"/>
              <w:ind w:left="890"/>
              <w:spacing w:after="0"/>
              <w:rPr>
                <w:sz w:val="20"/>
                <w:szCs w:val="20"/>
                <w:color w:val="auto"/>
              </w:rPr>
            </w:pPr>
            <w:r>
              <w:rPr>
                <w:rFonts w:ascii="Arial" w:cs="Arial" w:eastAsia="Arial" w:hAnsi="Arial"/>
                <w:sz w:val="18"/>
                <w:szCs w:val="18"/>
                <w:color w:val="auto"/>
                <w:w w:val="88"/>
              </w:rPr>
              <w:t>30,835,467</w:t>
            </w:r>
          </w:p>
        </w:tc>
        <w:tc>
          <w:tcPr>
            <w:tcW w:w="1880" w:type="dxa"/>
            <w:vAlign w:val="bottom"/>
          </w:tcPr>
          <w:p>
            <w:pPr>
              <w:ind w:left="620"/>
              <w:spacing w:after="0"/>
              <w:rPr>
                <w:sz w:val="20"/>
                <w:szCs w:val="20"/>
                <w:color w:val="auto"/>
              </w:rPr>
            </w:pPr>
            <w:r>
              <w:rPr>
                <w:rFonts w:ascii="Arial" w:cs="Arial" w:eastAsia="Arial" w:hAnsi="Arial"/>
                <w:sz w:val="18"/>
                <w:szCs w:val="18"/>
                <w:color w:val="auto"/>
              </w:rPr>
              <w:t>403,145</w:t>
            </w:r>
          </w:p>
        </w:tc>
        <w:tc>
          <w:tcPr>
            <w:tcW w:w="1760" w:type="dxa"/>
            <w:vAlign w:val="bottom"/>
          </w:tcPr>
          <w:p>
            <w:pPr>
              <w:jc w:val="center"/>
              <w:ind w:left="110"/>
              <w:spacing w:after="0"/>
              <w:rPr>
                <w:sz w:val="20"/>
                <w:szCs w:val="20"/>
                <w:color w:val="auto"/>
              </w:rPr>
            </w:pPr>
            <w:r>
              <w:rPr>
                <w:rFonts w:ascii="Arial" w:cs="Arial" w:eastAsia="Arial" w:hAnsi="Arial"/>
                <w:sz w:val="18"/>
                <w:szCs w:val="18"/>
                <w:color w:val="auto"/>
                <w:w w:val="88"/>
              </w:rPr>
              <w:t>1,410</w:t>
            </w:r>
          </w:p>
        </w:tc>
        <w:tc>
          <w:tcPr>
            <w:tcW w:w="2000" w:type="dxa"/>
            <w:vAlign w:val="bottom"/>
          </w:tcPr>
          <w:p>
            <w:pPr>
              <w:jc w:val="center"/>
              <w:ind w:left="190"/>
              <w:spacing w:after="0"/>
              <w:rPr>
                <w:sz w:val="20"/>
                <w:szCs w:val="20"/>
                <w:color w:val="auto"/>
              </w:rPr>
            </w:pPr>
            <w:r>
              <w:rPr>
                <w:rFonts w:ascii="Arial" w:cs="Arial" w:eastAsia="Arial" w:hAnsi="Arial"/>
                <w:sz w:val="18"/>
                <w:szCs w:val="18"/>
                <w:color w:val="auto"/>
                <w:w w:val="89"/>
              </w:rPr>
              <w:t>1,275,083</w:t>
            </w:r>
          </w:p>
        </w:tc>
      </w:tr>
      <w:tr>
        <w:trPr>
          <w:trHeight w:val="216"/>
        </w:trPr>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Clyde W. Ostler</w:t>
            </w:r>
          </w:p>
        </w:tc>
        <w:tc>
          <w:tcPr>
            <w:tcW w:w="3020" w:type="dxa"/>
            <w:vAlign w:val="bottom"/>
            <w:shd w:val="clear" w:color="auto" w:fill="CCEEFF"/>
          </w:tcPr>
          <w:p>
            <w:pPr>
              <w:jc w:val="center"/>
              <w:ind w:left="890"/>
              <w:spacing w:after="0"/>
              <w:rPr>
                <w:sz w:val="20"/>
                <w:szCs w:val="20"/>
                <w:color w:val="auto"/>
              </w:rPr>
            </w:pPr>
            <w:r>
              <w:rPr>
                <w:rFonts w:ascii="Arial" w:cs="Arial" w:eastAsia="Arial" w:hAnsi="Arial"/>
                <w:sz w:val="18"/>
                <w:szCs w:val="18"/>
                <w:color w:val="auto"/>
                <w:w w:val="88"/>
              </w:rPr>
              <w:t>30,915,899</w:t>
            </w:r>
          </w:p>
        </w:tc>
        <w:tc>
          <w:tcPr>
            <w:tcW w:w="1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322,713</w:t>
            </w:r>
          </w:p>
        </w:tc>
        <w:tc>
          <w:tcPr>
            <w:tcW w:w="17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8"/>
              </w:rPr>
              <w:t>1,410</w:t>
            </w:r>
          </w:p>
        </w:tc>
        <w:tc>
          <w:tcPr>
            <w:tcW w:w="200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89"/>
              </w:rPr>
              <w:t>1,275,083</w:t>
            </w:r>
          </w:p>
        </w:tc>
      </w:tr>
    </w:tbl>
    <w:p>
      <w:pPr>
        <w:spacing w:after="0" w:line="202" w:lineRule="exact"/>
        <w:rPr>
          <w:sz w:val="20"/>
          <w:szCs w:val="20"/>
          <w:color w:val="auto"/>
        </w:rPr>
      </w:pPr>
    </w:p>
    <w:p>
      <w:pPr>
        <w:ind w:right="320" w:firstLine="311"/>
        <w:spacing w:after="0" w:line="277" w:lineRule="auto"/>
        <w:rPr>
          <w:sz w:val="20"/>
          <w:szCs w:val="20"/>
          <w:color w:val="auto"/>
        </w:rPr>
      </w:pPr>
      <w:r>
        <w:rPr>
          <w:rFonts w:ascii="Arial" w:cs="Arial" w:eastAsia="Arial" w:hAnsi="Arial"/>
          <w:sz w:val="18"/>
          <w:szCs w:val="18"/>
          <w:u w:val="single" w:color="auto"/>
          <w:color w:val="auto"/>
        </w:rPr>
        <w:t>Proposal 2</w:t>
      </w:r>
      <w:r>
        <w:rPr>
          <w:rFonts w:ascii="Arial" w:cs="Arial" w:eastAsia="Arial" w:hAnsi="Arial"/>
          <w:sz w:val="18"/>
          <w:szCs w:val="18"/>
          <w:color w:val="auto"/>
        </w:rPr>
        <w:t>. The proposal to ratify the selection of Ernst &amp; Young LLP as the independent registered public accounting firm of the Company for fiscal year 2017 was approved. The final results of the voting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rPr>
              <w:t>For</w:t>
            </w:r>
          </w:p>
        </w:tc>
        <w:tc>
          <w:tcPr>
            <w:tcW w:w="4040" w:type="dxa"/>
            <w:vAlign w:val="bottom"/>
          </w:tcPr>
          <w:p>
            <w:pPr>
              <w:ind w:left="2780"/>
              <w:spacing w:after="0"/>
              <w:rPr>
                <w:sz w:val="20"/>
                <w:szCs w:val="20"/>
                <w:color w:val="auto"/>
              </w:rPr>
            </w:pPr>
            <w:r>
              <w:rPr>
                <w:rFonts w:ascii="Arial" w:cs="Arial" w:eastAsia="Arial" w:hAnsi="Arial"/>
                <w:sz w:val="18"/>
                <w:szCs w:val="18"/>
                <w:b w:val="1"/>
                <w:bCs w:val="1"/>
                <w:color w:val="auto"/>
              </w:rPr>
              <w:t>Against</w:t>
            </w:r>
          </w:p>
        </w:tc>
        <w:tc>
          <w:tcPr>
            <w:tcW w:w="176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Abstain</w:t>
            </w:r>
          </w:p>
        </w:tc>
        <w:tc>
          <w:tcPr>
            <w:tcW w:w="200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Broker Non-Votes</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32,204,631</w:t>
            </w:r>
          </w:p>
        </w:tc>
        <w:tc>
          <w:tcPr>
            <w:tcW w:w="404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310,435</w:t>
            </w:r>
          </w:p>
        </w:tc>
        <w:tc>
          <w:tcPr>
            <w:tcW w:w="17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39</w:t>
            </w:r>
          </w:p>
        </w:tc>
        <w:tc>
          <w:tcPr>
            <w:tcW w:w="200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99"/>
              </w:rPr>
              <w:t>—</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Proposal 3</w:t>
      </w:r>
      <w:r>
        <w:rPr>
          <w:rFonts w:ascii="Arial" w:cs="Arial" w:eastAsia="Arial" w:hAnsi="Arial"/>
          <w:sz w:val="18"/>
          <w:szCs w:val="18"/>
          <w:color w:val="auto"/>
        </w:rPr>
        <w:t>. The Say-on-Pay proposal was approved. The final results of the voting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rPr>
              <w:t>For</w:t>
            </w:r>
          </w:p>
        </w:tc>
        <w:tc>
          <w:tcPr>
            <w:tcW w:w="4040" w:type="dxa"/>
            <w:vAlign w:val="bottom"/>
          </w:tcPr>
          <w:p>
            <w:pPr>
              <w:ind w:left="2780"/>
              <w:spacing w:after="0"/>
              <w:rPr>
                <w:sz w:val="20"/>
                <w:szCs w:val="20"/>
                <w:color w:val="auto"/>
              </w:rPr>
            </w:pPr>
            <w:r>
              <w:rPr>
                <w:rFonts w:ascii="Arial" w:cs="Arial" w:eastAsia="Arial" w:hAnsi="Arial"/>
                <w:sz w:val="18"/>
                <w:szCs w:val="18"/>
                <w:b w:val="1"/>
                <w:bCs w:val="1"/>
                <w:color w:val="auto"/>
              </w:rPr>
              <w:t>Against</w:t>
            </w:r>
          </w:p>
        </w:tc>
        <w:tc>
          <w:tcPr>
            <w:tcW w:w="176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Abstain</w:t>
            </w:r>
          </w:p>
        </w:tc>
        <w:tc>
          <w:tcPr>
            <w:tcW w:w="200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Broker Non-Votes</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30,753,672</w:t>
            </w:r>
          </w:p>
        </w:tc>
        <w:tc>
          <w:tcPr>
            <w:tcW w:w="4040" w:type="dxa"/>
            <w:vAlign w:val="bottom"/>
            <w:shd w:val="clear" w:color="auto" w:fill="CCEEFF"/>
          </w:tcPr>
          <w:p>
            <w:pPr>
              <w:ind w:left="2780"/>
              <w:spacing w:after="0"/>
              <w:rPr>
                <w:sz w:val="20"/>
                <w:szCs w:val="20"/>
                <w:color w:val="auto"/>
              </w:rPr>
            </w:pPr>
            <w:r>
              <w:rPr>
                <w:rFonts w:ascii="Arial" w:cs="Arial" w:eastAsia="Arial" w:hAnsi="Arial"/>
                <w:sz w:val="18"/>
                <w:szCs w:val="18"/>
                <w:color w:val="auto"/>
              </w:rPr>
              <w:t>482,552</w:t>
            </w:r>
          </w:p>
        </w:tc>
        <w:tc>
          <w:tcPr>
            <w:tcW w:w="17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3,798</w:t>
            </w:r>
          </w:p>
        </w:tc>
        <w:tc>
          <w:tcPr>
            <w:tcW w:w="20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1,275,083</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u w:val="single" w:color="auto"/>
          <w:color w:val="auto"/>
        </w:rPr>
        <w:t>Proposal 4</w:t>
      </w:r>
      <w:r>
        <w:rPr>
          <w:rFonts w:ascii="Arial" w:cs="Arial" w:eastAsia="Arial" w:hAnsi="Arial"/>
          <w:sz w:val="17"/>
          <w:szCs w:val="17"/>
          <w:color w:val="auto"/>
        </w:rPr>
        <w:t>. The stockholders recommended an annual frequency for holding the Say-on-Pay vote. The final results of the voting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r>
              <w:rPr>
                <w:rFonts w:ascii="Arial" w:cs="Arial" w:eastAsia="Arial" w:hAnsi="Arial"/>
                <w:sz w:val="18"/>
                <w:szCs w:val="18"/>
                <w:b w:val="1"/>
                <w:bCs w:val="1"/>
                <w:color w:val="auto"/>
              </w:rPr>
              <w:t>1 year</w:t>
            </w:r>
          </w:p>
        </w:tc>
        <w:tc>
          <w:tcPr>
            <w:tcW w:w="2900" w:type="dxa"/>
            <w:vAlign w:val="bottom"/>
          </w:tcPr>
          <w:p>
            <w:pPr>
              <w:jc w:val="center"/>
              <w:ind w:left="270"/>
              <w:spacing w:after="0"/>
              <w:rPr>
                <w:sz w:val="20"/>
                <w:szCs w:val="20"/>
                <w:color w:val="auto"/>
              </w:rPr>
            </w:pPr>
            <w:r>
              <w:rPr>
                <w:rFonts w:ascii="Arial" w:cs="Arial" w:eastAsia="Arial" w:hAnsi="Arial"/>
                <w:sz w:val="18"/>
                <w:szCs w:val="18"/>
                <w:b w:val="1"/>
                <w:bCs w:val="1"/>
                <w:color w:val="auto"/>
                <w:w w:val="86"/>
              </w:rPr>
              <w:t>2 years</w:t>
            </w:r>
          </w:p>
        </w:tc>
        <w:tc>
          <w:tcPr>
            <w:tcW w:w="2500" w:type="dxa"/>
            <w:vAlign w:val="bottom"/>
          </w:tcPr>
          <w:p>
            <w:pPr>
              <w:jc w:val="center"/>
              <w:ind w:left="150"/>
              <w:spacing w:after="0"/>
              <w:rPr>
                <w:sz w:val="20"/>
                <w:szCs w:val="20"/>
                <w:color w:val="auto"/>
              </w:rPr>
            </w:pPr>
            <w:r>
              <w:rPr>
                <w:rFonts w:ascii="Arial" w:cs="Arial" w:eastAsia="Arial" w:hAnsi="Arial"/>
                <w:sz w:val="18"/>
                <w:szCs w:val="18"/>
                <w:b w:val="1"/>
                <w:bCs w:val="1"/>
                <w:color w:val="auto"/>
                <w:w w:val="86"/>
              </w:rPr>
              <w:t>3 years</w:t>
            </w:r>
          </w:p>
        </w:tc>
        <w:tc>
          <w:tcPr>
            <w:tcW w:w="1840" w:type="dxa"/>
            <w:vAlign w:val="bottom"/>
          </w:tcPr>
          <w:p>
            <w:pPr>
              <w:jc w:val="center"/>
              <w:ind w:left="230"/>
              <w:spacing w:after="0"/>
              <w:rPr>
                <w:sz w:val="20"/>
                <w:szCs w:val="20"/>
                <w:color w:val="auto"/>
              </w:rPr>
            </w:pPr>
            <w:r>
              <w:rPr>
                <w:rFonts w:ascii="Arial" w:cs="Arial" w:eastAsia="Arial" w:hAnsi="Arial"/>
                <w:sz w:val="18"/>
                <w:szCs w:val="18"/>
                <w:b w:val="1"/>
                <w:bCs w:val="1"/>
                <w:color w:val="auto"/>
                <w:w w:val="90"/>
              </w:rPr>
              <w:t>Abstain</w:t>
            </w:r>
          </w:p>
        </w:tc>
        <w:tc>
          <w:tcPr>
            <w:tcW w:w="200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Broker Non-Votes</w:t>
            </w: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26,322,673</w:t>
            </w:r>
          </w:p>
        </w:tc>
        <w:tc>
          <w:tcPr>
            <w:tcW w:w="290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rPr>
              <w:t>2,394</w:t>
            </w:r>
          </w:p>
        </w:tc>
        <w:tc>
          <w:tcPr>
            <w:tcW w:w="25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rPr>
              <w:t>4,914,855</w:t>
            </w:r>
          </w:p>
        </w:tc>
        <w:tc>
          <w:tcPr>
            <w:tcW w:w="18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100</w:t>
            </w:r>
          </w:p>
        </w:tc>
        <w:tc>
          <w:tcPr>
            <w:tcW w:w="20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1,275,083</w:t>
            </w:r>
          </w:p>
        </w:tc>
      </w:tr>
    </w:tbl>
    <w:p>
      <w:pPr>
        <w:spacing w:after="0" w:line="202" w:lineRule="exact"/>
        <w:rPr>
          <w:sz w:val="20"/>
          <w:szCs w:val="20"/>
          <w:color w:val="auto"/>
        </w:rPr>
      </w:pPr>
    </w:p>
    <w:p>
      <w:pPr>
        <w:jc w:val="both"/>
        <w:ind w:right="160" w:firstLine="324"/>
        <w:spacing w:after="0" w:line="277" w:lineRule="auto"/>
        <w:rPr>
          <w:sz w:val="20"/>
          <w:szCs w:val="20"/>
          <w:color w:val="auto"/>
        </w:rPr>
      </w:pPr>
      <w:r>
        <w:rPr>
          <w:rFonts w:ascii="Arial" w:cs="Arial" w:eastAsia="Arial" w:hAnsi="Arial"/>
          <w:sz w:val="18"/>
          <w:szCs w:val="18"/>
          <w:color w:val="auto"/>
        </w:rPr>
        <w:t>In light of the vote on Proposal 4 and the Company’s board of directors’ recommendation, the Company will hold a Say-on-Pay vote each year until the next required vote on the frequency of Say-on-Pay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1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19"/>
                <w:szCs w:val="19"/>
                <w:color w:val="auto"/>
              </w:rPr>
            </w:pPr>
          </w:p>
        </w:tc>
        <w:tc>
          <w:tcPr>
            <w:tcW w:w="7880" w:type="dxa"/>
            <w:vAlign w:val="bottom"/>
            <w:gridSpan w:val="2"/>
          </w:tcPr>
          <w:p>
            <w:pPr>
              <w:ind w:left="208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540" w:type="dxa"/>
            <w:vAlign w:val="bottom"/>
          </w:tcPr>
          <w:p>
            <w:pPr>
              <w:spacing w:after="0"/>
              <w:rPr>
                <w:sz w:val="20"/>
                <w:szCs w:val="20"/>
                <w:color w:val="auto"/>
              </w:rPr>
            </w:pPr>
          </w:p>
        </w:tc>
        <w:tc>
          <w:tcPr>
            <w:tcW w:w="7880" w:type="dxa"/>
            <w:vAlign w:val="bottom"/>
            <w:gridSpan w:val="2"/>
          </w:tcPr>
          <w:p>
            <w:pPr>
              <w:ind w:left="2080"/>
              <w:spacing w:after="0"/>
              <w:rPr>
                <w:sz w:val="20"/>
                <w:szCs w:val="20"/>
                <w:color w:val="auto"/>
              </w:rPr>
            </w:pPr>
            <w:r>
              <w:rPr>
                <w:rFonts w:ascii="Arial" w:cs="Arial" w:eastAsia="Arial" w:hAnsi="Arial"/>
                <w:sz w:val="18"/>
                <w:szCs w:val="18"/>
                <w:color w:val="auto"/>
              </w:rPr>
              <w:t>(Registrant)</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June 23, 2017</w:t>
            </w:r>
          </w:p>
        </w:tc>
        <w:tc>
          <w:tcPr>
            <w:tcW w:w="2760" w:type="dxa"/>
            <w:vAlign w:val="bottom"/>
          </w:tcPr>
          <w:p>
            <w:pPr>
              <w:ind w:left="20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Nancy Saltzman</w:t>
            </w:r>
          </w:p>
        </w:tc>
      </w:tr>
      <w:tr>
        <w:trPr>
          <w:trHeight w:val="195"/>
        </w:trPr>
        <w:tc>
          <w:tcPr>
            <w:tcW w:w="3540" w:type="dxa"/>
            <w:vAlign w:val="bottom"/>
          </w:tcPr>
          <w:p>
            <w:pPr>
              <w:spacing w:after="0"/>
              <w:rPr>
                <w:sz w:val="16"/>
                <w:szCs w:val="16"/>
                <w:color w:val="auto"/>
              </w:rPr>
            </w:pPr>
          </w:p>
        </w:tc>
        <w:tc>
          <w:tcPr>
            <w:tcW w:w="276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5120" w:type="dxa"/>
            <w:vAlign w:val="bottom"/>
          </w:tcPr>
          <w:p>
            <w:pPr>
              <w:ind w:left="100"/>
              <w:spacing w:after="0" w:line="195" w:lineRule="exact"/>
              <w:rPr>
                <w:sz w:val="20"/>
                <w:szCs w:val="20"/>
                <w:color w:val="auto"/>
              </w:rPr>
            </w:pPr>
            <w:r>
              <w:rPr>
                <w:rFonts w:ascii="Arial" w:cs="Arial" w:eastAsia="Arial" w:hAnsi="Arial"/>
                <w:sz w:val="18"/>
                <w:szCs w:val="18"/>
                <w:color w:val="auto"/>
              </w:rPr>
              <w:t>Nancy Saltzman</w:t>
            </w:r>
          </w:p>
        </w:tc>
      </w:tr>
      <w:tr>
        <w:trPr>
          <w:trHeight w:val="216"/>
        </w:trPr>
        <w:tc>
          <w:tcPr>
            <w:tcW w:w="3540" w:type="dxa"/>
            <w:vAlign w:val="bottom"/>
          </w:tcPr>
          <w:p>
            <w:pPr>
              <w:spacing w:after="0"/>
              <w:rPr>
                <w:sz w:val="18"/>
                <w:szCs w:val="18"/>
                <w:color w:val="auto"/>
              </w:rPr>
            </w:pPr>
          </w:p>
        </w:tc>
        <w:tc>
          <w:tcPr>
            <w:tcW w:w="2760" w:type="dxa"/>
            <w:vAlign w:val="bottom"/>
          </w:tcPr>
          <w:p>
            <w:pPr>
              <w:ind w:left="208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Executive Vice President,</w:t>
            </w:r>
          </w:p>
        </w:tc>
      </w:tr>
      <w:tr>
        <w:trPr>
          <w:trHeight w:val="230"/>
        </w:trPr>
        <w:tc>
          <w:tcPr>
            <w:tcW w:w="354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General Counsel and Secretary</w:t>
            </w:r>
          </w:p>
        </w:tc>
      </w:tr>
      <w:tr>
        <w:trPr>
          <w:trHeight w:val="675"/>
        </w:trPr>
        <w:tc>
          <w:tcPr>
            <w:tcW w:w="35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2019-12-06T22:51:48Z</dcterms:created>
  <dcterms:modified xsi:type="dcterms:W3CDTF">2019-12-06T22:51:48Z</dcterms:modified>
</cp:coreProperties>
</file>