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168910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1"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YEAR ENDED DECEMBER 31, 2013</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220" w:type="dxa"/>
        <w:tblCellMar>
          <w:top w:w="0" w:type="dxa"/>
          <w:left w:w="0" w:type="dxa"/>
          <w:bottom w:w="0" w:type="dxa"/>
          <w:right w:w="0" w:type="dxa"/>
        </w:tblCellMar>
      </w:tblPr>
      <w:tr>
        <w:trPr>
          <w:trHeight w:val="184"/>
        </w:trPr>
        <w:tc>
          <w:tcPr>
            <w:tcW w:w="304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820" w:type="dxa"/>
            <w:vAlign w:val="bottom"/>
            <w:tcBorders>
              <w:bottom w:val="single" w:sz="8" w:color="auto"/>
            </w:tcBorders>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89"/>
              </w:rPr>
              <w:t>TO</w:t>
            </w:r>
          </w:p>
        </w:tc>
      </w:tr>
      <w:tr>
        <w:trPr>
          <w:trHeight w:val="325"/>
        </w:trPr>
        <w:tc>
          <w:tcPr>
            <w:tcW w:w="4120" w:type="dxa"/>
            <w:vAlign w:val="bottom"/>
            <w:gridSpan w:val="3"/>
          </w:tcPr>
          <w:p>
            <w:pPr>
              <w:ind w:left="980"/>
              <w:spacing w:after="0"/>
              <w:rPr>
                <w:sz w:val="20"/>
                <w:szCs w:val="20"/>
                <w:color w:val="auto"/>
              </w:rPr>
            </w:pPr>
            <w:r>
              <w:rPr>
                <w:rFonts w:ascii="Arial" w:cs="Arial" w:eastAsia="Arial" w:hAnsi="Arial"/>
                <w:sz w:val="16"/>
                <w:szCs w:val="16"/>
                <w:b w:val="1"/>
                <w:bCs w:val="1"/>
                <w:color w:val="auto"/>
              </w:rPr>
              <w:t>COMMISSION FILE NUMBER 001-33089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-218440</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163830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2260" w:type="dxa"/>
            <w:vAlign w:val="bottom"/>
            <w:gridSpan w:val="2"/>
          </w:tcPr>
          <w:p>
            <w:pPr>
              <w:jc w:val="center"/>
              <w:ind w:right="982"/>
              <w:spacing w:after="0"/>
              <w:rPr>
                <w:sz w:val="20"/>
                <w:szCs w:val="20"/>
                <w:color w:val="auto"/>
              </w:rPr>
            </w:pPr>
            <w:r>
              <w:rPr>
                <w:rFonts w:ascii="Arial" w:cs="Arial" w:eastAsia="Arial" w:hAnsi="Arial"/>
                <w:sz w:val="16"/>
                <w:szCs w:val="16"/>
                <w:b w:val="1"/>
                <w:bCs w:val="1"/>
                <w:color w:val="auto"/>
                <w:w w:val="99"/>
              </w:rPr>
              <w:t>DELAWARE</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jc w:val="right"/>
              <w:ind w:right="944"/>
              <w:spacing w:after="0"/>
              <w:rPr>
                <w:sz w:val="20"/>
                <w:szCs w:val="20"/>
                <w:color w:val="auto"/>
              </w:rPr>
            </w:pPr>
            <w:r>
              <w:rPr>
                <w:rFonts w:ascii="Arial" w:cs="Arial" w:eastAsia="Arial" w:hAnsi="Arial"/>
                <w:sz w:val="16"/>
                <w:szCs w:val="16"/>
                <w:b w:val="1"/>
                <w:bCs w:val="1"/>
                <w:color w:val="auto"/>
              </w:rPr>
              <w:t>82-0572194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20" w:type="dxa"/>
            <w:vAlign w:val="bottom"/>
            <w:gridSpan w:val="3"/>
          </w:tcPr>
          <w:p>
            <w:pPr>
              <w:jc w:val="center"/>
              <w:ind w:left="112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gridSpan w:val="2"/>
          </w:tcPr>
          <w:p>
            <w:pPr>
              <w:jc w:val="center"/>
              <w:ind w:right="190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left="1123"/>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3"/>
        </w:trPr>
        <w:tc>
          <w:tcPr>
            <w:tcW w:w="4520" w:type="dxa"/>
            <w:vAlign w:val="bottom"/>
            <w:gridSpan w:val="3"/>
          </w:tcPr>
          <w:p>
            <w:pPr>
              <w:jc w:val="center"/>
              <w:ind w:left="1123"/>
              <w:spacing w:after="0"/>
              <w:rPr>
                <w:sz w:val="20"/>
                <w:szCs w:val="20"/>
                <w:color w:val="auto"/>
              </w:rPr>
            </w:pPr>
            <w:r>
              <w:rPr>
                <w:rFonts w:ascii="Arial" w:cs="Arial" w:eastAsia="Arial" w:hAnsi="Arial"/>
                <w:sz w:val="16"/>
                <w:szCs w:val="16"/>
                <w:b w:val="1"/>
                <w:bCs w:val="1"/>
                <w:color w:val="auto"/>
                <w:w w:val="98"/>
              </w:rPr>
              <w:t>280 PARK AVENUE, 38 TH FLOOR,</w:t>
            </w:r>
          </w:p>
        </w:tc>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20" w:type="dxa"/>
            <w:vAlign w:val="bottom"/>
            <w:gridSpan w:val="3"/>
          </w:tcPr>
          <w:p>
            <w:pPr>
              <w:jc w:val="center"/>
              <w:ind w:left="1143"/>
              <w:spacing w:after="0"/>
              <w:rPr>
                <w:sz w:val="20"/>
                <w:szCs w:val="20"/>
                <w:color w:val="auto"/>
              </w:rPr>
            </w:pPr>
            <w:r>
              <w:rPr>
                <w:rFonts w:ascii="Arial" w:cs="Arial" w:eastAsia="Arial" w:hAnsi="Arial"/>
                <w:sz w:val="16"/>
                <w:szCs w:val="16"/>
                <w:b w:val="1"/>
                <w:bCs w:val="1"/>
                <w:color w:val="auto"/>
              </w:rPr>
              <w:t>NEW YORK, NEW YORK</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right"/>
              <w:ind w:right="1144"/>
              <w:spacing w:after="0"/>
              <w:rPr>
                <w:sz w:val="20"/>
                <w:szCs w:val="20"/>
                <w:color w:val="auto"/>
              </w:rPr>
            </w:pPr>
            <w:r>
              <w:rPr>
                <w:rFonts w:ascii="Arial" w:cs="Arial" w:eastAsia="Arial" w:hAnsi="Arial"/>
                <w:sz w:val="16"/>
                <w:szCs w:val="16"/>
                <w:b w:val="1"/>
                <w:bCs w:val="1"/>
                <w:color w:val="auto"/>
              </w:rPr>
              <w:t>10017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20" w:type="dxa"/>
            <w:vAlign w:val="bottom"/>
            <w:gridSpan w:val="3"/>
          </w:tcPr>
          <w:p>
            <w:pPr>
              <w:jc w:val="center"/>
              <w:ind w:left="114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2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3"/>
              </w:rPr>
              <w:t>(212) 277-7100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10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60" w:type="dxa"/>
            <w:vAlign w:val="bottom"/>
            <w:gridSpan w:val="5"/>
          </w:tcPr>
          <w:p>
            <w:pPr>
              <w:jc w:val="center"/>
              <w:ind w:right="6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2260" w:type="dxa"/>
            <w:vAlign w:val="bottom"/>
            <w:gridSpan w:val="2"/>
          </w:tcPr>
          <w:p>
            <w:pPr>
              <w:jc w:val="center"/>
              <w:ind w:right="982"/>
              <w:spacing w:after="0"/>
              <w:rPr>
                <w:sz w:val="20"/>
                <w:szCs w:val="20"/>
                <w:color w:val="auto"/>
              </w:rPr>
            </w:pPr>
            <w:r>
              <w:rPr>
                <w:rFonts w:ascii="Arial" w:cs="Arial" w:eastAsia="Arial" w:hAnsi="Arial"/>
                <w:sz w:val="14"/>
                <w:szCs w:val="14"/>
                <w:b w:val="1"/>
                <w:bCs w:val="1"/>
                <w:color w:val="auto"/>
                <w:w w:val="92"/>
              </w:rPr>
              <w:t>Title of Each Class:</w:t>
            </w:r>
          </w:p>
        </w:tc>
        <w:tc>
          <w:tcPr>
            <w:tcW w:w="238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20" w:type="dxa"/>
            <w:vAlign w:val="bottom"/>
            <w:gridSpan w:val="3"/>
          </w:tcPr>
          <w:p>
            <w:pPr>
              <w:jc w:val="center"/>
              <w:ind w:left="1143"/>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2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w w:val="95"/>
              </w:rPr>
              <w:t>NASDAQ Global Select Market</w:t>
            </w:r>
          </w:p>
        </w:tc>
        <w:tc>
          <w:tcPr>
            <w:tcW w:w="0" w:type="dxa"/>
            <w:vAlign w:val="bottom"/>
          </w:tcPr>
          <w:p>
            <w:pPr>
              <w:spacing w:after="0"/>
              <w:rPr>
                <w:sz w:val="1"/>
                <w:szCs w:val="1"/>
                <w:color w:val="auto"/>
              </w:rPr>
            </w:pPr>
          </w:p>
        </w:tc>
      </w:tr>
      <w:tr>
        <w:trPr>
          <w:trHeight w:val="275"/>
        </w:trPr>
        <w:tc>
          <w:tcPr>
            <w:tcW w:w="2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60" w:type="dxa"/>
            <w:vAlign w:val="bottom"/>
            <w:gridSpan w:val="5"/>
          </w:tcPr>
          <w:p>
            <w:pPr>
              <w:jc w:val="center"/>
              <w:ind w:right="61"/>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89"/>
              </w:rPr>
              <w:t>None</w:t>
            </w: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gridSpan w:val="3"/>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660" w:type="dxa"/>
            <w:vAlign w:val="bottom"/>
            <w:gridSpan w:val="2"/>
          </w:tcPr>
          <w:p>
            <w:pPr>
              <w:spacing w:after="0"/>
              <w:rPr>
                <w:sz w:val="21"/>
                <w:szCs w:val="21"/>
                <w:color w:val="auto"/>
              </w:rPr>
            </w:pPr>
          </w:p>
        </w:tc>
        <w:tc>
          <w:tcPr>
            <w:tcW w:w="560" w:type="dxa"/>
            <w:vAlign w:val="bottom"/>
            <w:vMerge w:val="restart"/>
          </w:tcPr>
          <w:p>
            <w:pPr>
              <w:ind w:left="120"/>
              <w:spacing w:after="0" w:line="173" w:lineRule="exact"/>
              <w:rPr>
                <w:sz w:val="20"/>
                <w:szCs w:val="20"/>
                <w:color w:val="auto"/>
              </w:rPr>
            </w:pPr>
            <w:r>
              <w:rPr>
                <w:rFonts w:ascii="Arial" w:cs="Arial" w:eastAsia="Arial" w:hAnsi="Arial"/>
                <w:sz w:val="15"/>
                <w:szCs w:val="15"/>
                <w:color w:val="auto"/>
                <w:w w:val="93"/>
              </w:rPr>
              <w:t xml:space="preserve">Yes </w:t>
            </w:r>
            <w:r>
              <w:rPr>
                <w:rFonts w:ascii="MS PGothic" w:cs="MS PGothic" w:eastAsia="MS PGothic" w:hAnsi="MS PGothic"/>
                <w:sz w:val="15"/>
                <w:szCs w:val="15"/>
                <w:color w:val="auto"/>
                <w:w w:val="93"/>
              </w:rPr>
              <w:t>☐</w:t>
            </w:r>
          </w:p>
        </w:tc>
        <w:tc>
          <w:tcPr>
            <w:tcW w:w="3020" w:type="dxa"/>
            <w:vAlign w:val="bottom"/>
            <w:gridSpan w:val="2"/>
            <w:vMerge w:val="restart"/>
          </w:tcPr>
          <w:p>
            <w:pPr>
              <w:jc w:val="center"/>
              <w:ind w:right="23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312"/>
        </w:trPr>
        <w:tc>
          <w:tcPr>
            <w:tcW w:w="7560" w:type="dxa"/>
            <w:vAlign w:val="bottom"/>
            <w:gridSpan w:val="6"/>
          </w:tcPr>
          <w:p>
            <w:pPr>
              <w:ind w:left="360"/>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w:t>
            </w:r>
          </w:p>
        </w:tc>
        <w:tc>
          <w:tcPr>
            <w:tcW w:w="560" w:type="dxa"/>
            <w:vAlign w:val="bottom"/>
            <w:vMerge w:val="continue"/>
          </w:tcPr>
          <w:p>
            <w:pPr>
              <w:spacing w:after="0"/>
              <w:rPr>
                <w:sz w:val="24"/>
                <w:szCs w:val="24"/>
                <w:color w:val="auto"/>
              </w:rPr>
            </w:pPr>
          </w:p>
        </w:tc>
        <w:tc>
          <w:tcPr>
            <w:tcW w:w="3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20" w:type="dxa"/>
            <w:vAlign w:val="bottom"/>
            <w:gridSpan w:val="7"/>
          </w:tcPr>
          <w:p>
            <w:pPr>
              <w:ind w:left="360"/>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Section 15(d) of the Act.  Yes</w:t>
            </w:r>
          </w:p>
        </w:tc>
        <w:tc>
          <w:tcPr>
            <w:tcW w:w="3020" w:type="dxa"/>
            <w:vAlign w:val="bottom"/>
            <w:gridSpan w:val="2"/>
          </w:tcPr>
          <w:p>
            <w:pPr>
              <w:jc w:val="center"/>
              <w:ind w:right="23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22"/>
        </w:trPr>
        <w:tc>
          <w:tcPr>
            <w:tcW w:w="11140" w:type="dxa"/>
            <w:vAlign w:val="bottom"/>
            <w:gridSpan w:val="9"/>
          </w:tcPr>
          <w:p>
            <w:pPr>
              <w:ind w:left="360"/>
              <w:spacing w:after="0"/>
              <w:rPr>
                <w:sz w:val="20"/>
                <w:szCs w:val="20"/>
                <w:color w:val="auto"/>
              </w:rPr>
            </w:pPr>
            <w:r>
              <w:rPr>
                <w:rFonts w:ascii="Arial" w:cs="Arial" w:eastAsia="Arial" w:hAnsi="Arial"/>
                <w:sz w:val="15"/>
                <w:szCs w:val="15"/>
                <w:color w:val="auto"/>
                <w:w w:val="92"/>
              </w:rPr>
              <w:t>Indicate by check mark whether the registrant (1) has filed all reports required to be filed by Section 13 or 15(d) of the Securities Exchange Act of 1934 during the preceding 12</w:t>
            </w:r>
          </w:p>
        </w:tc>
        <w:tc>
          <w:tcPr>
            <w:tcW w:w="0" w:type="dxa"/>
            <w:vAlign w:val="bottom"/>
          </w:tcPr>
          <w:p>
            <w:pPr>
              <w:spacing w:after="0"/>
              <w:rPr>
                <w:sz w:val="1"/>
                <w:szCs w:val="1"/>
                <w:color w:val="auto"/>
              </w:rPr>
            </w:pPr>
          </w:p>
        </w:tc>
      </w:tr>
      <w:tr>
        <w:trPr>
          <w:trHeight w:val="240"/>
        </w:trPr>
        <w:tc>
          <w:tcPr>
            <w:tcW w:w="11140" w:type="dxa"/>
            <w:vAlign w:val="bottom"/>
            <w:gridSpan w:val="9"/>
          </w:tcPr>
          <w:p>
            <w:pPr>
              <w:spacing w:after="0" w:line="173" w:lineRule="exact"/>
              <w:rPr>
                <w:sz w:val="20"/>
                <w:szCs w:val="20"/>
                <w:color w:val="auto"/>
              </w:rPr>
            </w:pPr>
            <w:r>
              <w:rPr>
                <w:rFonts w:ascii="Arial" w:cs="Arial" w:eastAsia="Arial" w:hAnsi="Arial"/>
                <w:sz w:val="15"/>
                <w:szCs w:val="15"/>
                <w:color w:val="auto"/>
                <w:w w:val="96"/>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6"/>
              </w:rPr>
              <w:t>☒</w:t>
            </w:r>
            <w:r>
              <w:rPr>
                <w:rFonts w:ascii="Arial" w:cs="Arial" w:eastAsia="Arial" w:hAnsi="Arial"/>
                <w:sz w:val="15"/>
                <w:szCs w:val="15"/>
                <w:color w:val="auto"/>
                <w:w w:val="96"/>
              </w:rPr>
              <w:t xml:space="preserve"> No </w:t>
            </w:r>
            <w:r>
              <w:rPr>
                <w:rFonts w:ascii="MS PGothic" w:cs="MS PGothic" w:eastAsia="MS PGothic" w:hAnsi="MS PGothic"/>
                <w:sz w:val="15"/>
                <w:szCs w:val="15"/>
                <w:color w:val="auto"/>
                <w:w w:val="96"/>
              </w:rPr>
              <w: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200" w:firstLine="342"/>
        <w:spacing w:after="0" w:line="183"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ind w:right="540" w:firstLine="342"/>
        <w:spacing w:after="0" w:line="19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74" w:lineRule="exact"/>
        <w:rPr>
          <w:sz w:val="24"/>
          <w:szCs w:val="24"/>
          <w:color w:val="auto"/>
        </w:rPr>
      </w:pPr>
    </w:p>
    <w:p>
      <w:pPr>
        <w:ind w:right="220" w:firstLine="342"/>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380" w:space="460"/>
            <w:col w:w="6460" w:space="720"/>
            <w:col w:w="1540" w:space="720"/>
            <w:col w:w="140"/>
          </w:cols>
          <w:pgMar w:left="240" w:top="230" w:right="23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5">
            <w:col w:w="1300" w:space="540"/>
            <w:col w:w="140" w:space="80"/>
            <w:col w:w="6240" w:space="720"/>
            <w:col w:w="1680" w:space="580"/>
            <w:col w:w="140"/>
          </w:cols>
          <w:pgMar w:left="240" w:top="230" w:right="239" w:bottom="1440" w:gutter="0" w:footer="0" w:header="0"/>
          <w:type w:val="continuous"/>
        </w:sectPr>
      </w:pPr>
    </w:p>
    <w:p>
      <w:pPr>
        <w:spacing w:after="0" w:line="30" w:lineRule="exact"/>
        <w:rPr>
          <w:sz w:val="24"/>
          <w:szCs w:val="24"/>
          <w:color w:val="auto"/>
        </w:rPr>
      </w:pPr>
    </w:p>
    <w:p>
      <w:pPr>
        <w:ind w:left="3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7300" w:space="140"/>
            <w:col w:w="220" w:space="80"/>
            <w:col w:w="140" w:space="140"/>
            <w:col w:w="200" w:space="60"/>
            <w:col w:w="3140"/>
          </w:cols>
          <w:pgMar w:left="240" w:top="230" w:right="239" w:bottom="1440" w:gutter="0" w:footer="0" w:header="0"/>
          <w:type w:val="continuous"/>
        </w:sectPr>
      </w:pPr>
    </w:p>
    <w:p>
      <w:pPr>
        <w:ind w:left="360"/>
        <w:spacing w:after="0"/>
        <w:rPr>
          <w:sz w:val="20"/>
          <w:szCs w:val="20"/>
          <w:color w:val="auto"/>
        </w:rPr>
      </w:pPr>
      <w:r>
        <w:rPr>
          <w:rFonts w:ascii="Arial" w:cs="Arial" w:eastAsia="Arial" w:hAnsi="Arial"/>
          <w:sz w:val="13"/>
          <w:szCs w:val="13"/>
          <w:color w:val="auto"/>
        </w:rPr>
        <w:t>As of June 30, 2013, the aggregate market value of common stock held by non-affiliates was approximately $926,644,427.</w:t>
      </w:r>
    </w:p>
    <w:p>
      <w:pPr>
        <w:sectPr>
          <w:pgSz w:w="11900" w:h="16838" w:orient="portrait"/>
          <w:cols w:equalWidth="0" w:num="1">
            <w:col w:w="11420"/>
          </w:cols>
          <w:pgMar w:left="240" w:top="230" w:right="239" w:bottom="1440" w:gutter="0" w:footer="0" w:header="0"/>
          <w:type w:val="continuous"/>
        </w:sectPr>
      </w:pPr>
    </w:p>
    <w:p>
      <w:pPr>
        <w:spacing w:after="0" w:line="121" w:lineRule="exact"/>
        <w:rPr>
          <w:sz w:val="24"/>
          <w:szCs w:val="24"/>
          <w:color w:val="auto"/>
        </w:rPr>
      </w:pPr>
    </w:p>
    <w:p>
      <w:pPr>
        <w:jc w:val="center"/>
        <w:ind w:left="340" w:right="260"/>
        <w:spacing w:after="0" w:line="375" w:lineRule="auto"/>
        <w:rPr>
          <w:sz w:val="20"/>
          <w:szCs w:val="20"/>
          <w:color w:val="auto"/>
        </w:rPr>
      </w:pPr>
      <w:r>
        <w:rPr>
          <w:rFonts w:ascii="Arial" w:cs="Arial" w:eastAsia="Arial" w:hAnsi="Arial"/>
          <w:sz w:val="15"/>
          <w:szCs w:val="15"/>
          <w:color w:val="auto"/>
        </w:rPr>
        <w:t xml:space="preserve">As of February 24, 2014, there were 32,518,425 shares of the registrant’s common stock outstanding (excluding 1,188,385 shares held in treasury), par value $0.001 per share. </w:t>
      </w:r>
      <w:r>
        <w:rPr>
          <w:rFonts w:ascii="Arial" w:cs="Arial" w:eastAsia="Arial" w:hAnsi="Arial"/>
          <w:sz w:val="15"/>
          <w:szCs w:val="15"/>
          <w:b w:val="1"/>
          <w:bCs w:val="1"/>
          <w:color w:val="auto"/>
        </w:rPr>
        <w:t>DOCUMENTS INCORPORATED BY REFERENCE</w:t>
      </w:r>
    </w:p>
    <w:p>
      <w:pPr>
        <w:spacing w:after="0" w:line="1" w:lineRule="exact"/>
        <w:rPr>
          <w:sz w:val="24"/>
          <w:szCs w:val="24"/>
          <w:color w:val="auto"/>
        </w:rPr>
      </w:pPr>
    </w:p>
    <w:p>
      <w:pPr>
        <w:ind w:right="120" w:firstLine="342"/>
        <w:spacing w:after="0" w:line="255" w:lineRule="auto"/>
        <w:rPr>
          <w:sz w:val="20"/>
          <w:szCs w:val="20"/>
          <w:color w:val="auto"/>
        </w:rPr>
      </w:pPr>
      <w:r>
        <w:rPr>
          <w:rFonts w:ascii="Arial" w:cs="Arial" w:eastAsia="Arial" w:hAnsi="Arial"/>
          <w:sz w:val="15"/>
          <w:szCs w:val="15"/>
          <w:color w:val="auto"/>
        </w:rPr>
        <w:t>Part III incorporates information from certain portions of the registrant’s definitive proxy statement to be filed with the Securities and Exchange Commission within 120 days after the fiscal year end of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10"/>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 w:type="dxa"/>
            <w:vAlign w:val="bottom"/>
            <w:vMerge w:val="restart"/>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1040" w:type="dxa"/>
            <w:vAlign w:val="bottom"/>
            <w:gridSpan w:val="6"/>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40" w:type="dxa"/>
            <w:vAlign w:val="bottom"/>
            <w:tcBorders>
              <w:bottom w:val="single" w:sz="8" w:color="0000EE"/>
            </w:tcBorders>
            <w:vMerge w:val="continue"/>
          </w:tcPr>
          <w:p>
            <w:pPr>
              <w:spacing w:after="0"/>
              <w:rPr>
                <w:sz w:val="13"/>
                <w:szCs w:val="13"/>
                <w:color w:val="auto"/>
              </w:rPr>
            </w:pPr>
          </w:p>
        </w:tc>
        <w:tc>
          <w:tcPr>
            <w:tcW w:w="104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w:t>
            </w:r>
          </w:p>
        </w:tc>
        <w:tc>
          <w:tcPr>
            <w:tcW w:w="934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1A.</w:t>
            </w:r>
          </w:p>
        </w:tc>
        <w:tc>
          <w:tcPr>
            <w:tcW w:w="934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1B.</w:t>
            </w:r>
          </w:p>
        </w:tc>
        <w:tc>
          <w:tcPr>
            <w:tcW w:w="93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730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80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4.</w:t>
            </w:r>
          </w:p>
        </w:tc>
        <w:tc>
          <w:tcPr>
            <w:tcW w:w="93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Market for Registrant’s Common Equity, Related Stockholder Matters and Issuer Purchases of Equity Securities</w:t>
              </w:r>
            </w:hyperlink>
          </w:p>
        </w:tc>
        <w:tc>
          <w:tcPr>
            <w:tcW w:w="12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Selected Financial Data</w:t>
              </w:r>
            </w:hyperlink>
          </w:p>
        </w:tc>
        <w:tc>
          <w:tcPr>
            <w:tcW w:w="762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7.</w:t>
            </w:r>
          </w:p>
        </w:tc>
        <w:tc>
          <w:tcPr>
            <w:tcW w:w="934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9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9.</w:t>
            </w:r>
          </w:p>
        </w:tc>
        <w:tc>
          <w:tcPr>
            <w:tcW w:w="64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Changes in and Disagreement with Accountants on Accounting and Financial Disclosure</w:t>
              </w:r>
            </w:hyperlink>
          </w:p>
        </w:tc>
        <w:tc>
          <w:tcPr>
            <w:tcW w:w="29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Controls and Procedures</w:t>
              </w:r>
            </w:hyperlink>
          </w:p>
        </w:tc>
        <w:tc>
          <w:tcPr>
            <w:tcW w:w="75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9B.</w:t>
            </w:r>
          </w:p>
        </w:tc>
        <w:tc>
          <w:tcPr>
            <w:tcW w:w="934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III.</w:t>
              </w:r>
            </w:hyperlink>
          </w:p>
        </w:tc>
        <w:tc>
          <w:tcPr>
            <w:tcW w:w="90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10.</w:t>
            </w:r>
          </w:p>
        </w:tc>
        <w:tc>
          <w:tcPr>
            <w:tcW w:w="36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Directors and Executive Officers of the Registrant</w:t>
              </w:r>
            </w:hyperlink>
          </w:p>
        </w:tc>
        <w:tc>
          <w:tcPr>
            <w:tcW w:w="57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11.</w:t>
            </w:r>
          </w:p>
        </w:tc>
        <w:tc>
          <w:tcPr>
            <w:tcW w:w="9340" w:type="dxa"/>
            <w:vAlign w:val="bottom"/>
            <w:gridSpan w:val="2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Security Ownership of Certain Beneficial Owners and Management and Related Stockholder Matters</w:t>
              </w:r>
            </w:hyperlink>
          </w:p>
        </w:tc>
        <w:tc>
          <w:tcPr>
            <w:tcW w:w="20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Certain Relationships and Related Transactions, and Director Independence</w:t>
              </w:r>
            </w:hyperlink>
          </w:p>
        </w:tc>
        <w:tc>
          <w:tcPr>
            <w:tcW w:w="38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14.</w:t>
            </w:r>
          </w:p>
        </w:tc>
        <w:tc>
          <w:tcPr>
            <w:tcW w:w="9340" w:type="dxa"/>
            <w:vAlign w:val="bottom"/>
            <w:gridSpan w:val="2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80" w:type="dxa"/>
            <w:vAlign w:val="bottom"/>
            <w:gridSpan w:val="7"/>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18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ITEM 15.</w:t>
            </w:r>
          </w:p>
        </w:tc>
        <w:tc>
          <w:tcPr>
            <w:tcW w:w="934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Exhibits and Financial Statement Schedules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680" w:type="dxa"/>
            <w:vAlign w:val="bottom"/>
            <w:gridSpan w:val="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 INDEX</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INDEX TO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are a leading provider of business process solutions, utilizing operations management, analytics and technology. We use our focused industry and process expertise to create a positive business impact on our clients’ operations. We customize our services to improve the economics of our clients’ business performance, and we transform organizations to be leaner and more flexible.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break our business into two segments: outsourcing and transformation services. Our outsourcing services provide front-, middle- and back-office processing for our clients. Outsourcing services involve the transfer to us of select business operations of a client, such as claims processing, policy administration, and finance and accounting, after which we administer and manage the operations for that client on an ongoing basis. Our transformation services include decision analytics, finance transformation and operations consulting services. These transformation services provide additional insight into our clients’ future financial and operational results, improve their operating environments through cost reduction, increase efficiency and productivity initiatives, and enhance the risk and control environments within our clients’ operations, whether or not they are managed by us. We serve primarily the needs of Global 1000 companies in the insurance, healthcare, utilities, banking and financial services, and travel, transportation and logistics sectors.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053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0573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combine in-depth knowledge of the industry sectors in which we focus with proven expertise in transferring business operations of our clients to our offshore and onshore delivery centers, and administering and managing such operations. We have successfully transferred more than 1,000 processes covering a broad array of products and services to our operations centers, including approximately 160 new processes that were transferred to us in 2013.</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operations centers are located in India, the Philippines, the U.S., the Czech Republic, Bulgaria, Malaysia and Romania. Our geographic footprint enables us to leverage a large pool of highly qualified and educated technical professionals who are able to handle complex processes and services that require functional skills and industry expertise.</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While a majority of our professionals provide services in the English language, our operations in the Czech Republic, Bulgaria and Romania provide multi-lingual delivery capabilities. We believe we can consistently offer high quality services at substantially lower costs than those available from U.S.- or U.K.-based in-house facilities or U.S.- or U.K.-based outsourcing providers. As of December 31, 2013, we had a headcount of approximately 22,200 employees, out of which approximately 18,000 were based in India. Our operations platforms are supported by a state-of-the-art infrastructure that can be expanded to meet each client’s needs. We market our services directly through our sales and marketing and client management teams, which operate from the U.S. and Europe. Our senior managers have extensive experience in the industry sectors on which we are focused, and are well versed in the business practices of leading multinational corporations.</w:t>
      </w:r>
    </w:p>
    <w:p>
      <w:pPr>
        <w:spacing w:after="0" w:line="18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believe our reputation for operational excellence is widely recognized by our clients and is an important competitive advantage. We use Lean and Six Sigma, which are data-driven methodologies for eliminating defects in any process, to identify process inefficiencies and improve productivity in client and support processes. We deliver continued process enhancements by soliciting and implementing process improvements from employees and through our proprietary software tools. As a part of our commitment to quality, information security and employee safety, several of our delivery centers are certified to various standards, such as the ISO 9001:2008 standard for quality management system, the ISO 27001:2005 standard for our information security management system and the OHSAS 18001:2007 standard for our occupational health and safety management system. Certain client operations processes in our operations center in the Philippines are certified as compliant with the Payment Card Industry Data Security Standard. We have received an unqualified SSAE 16 (SOC I – Type II) report on general controls from Ernst &amp; Young Pvt. Ltd., an affiliate of our independent registered public accounting firm, for several delivery centers and certain client operations processes. Our clinical processes in Manila, the Philippines, are accredited by URAC, a leading healthcare and education accreditation organization.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Services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outsourcing services are structured around industry-focused business process outsourcing (“BPO”) services as well as cross-industry BPO services, such as finance and accounting services.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We have established a leadership position in servicing property and casualty insurance, life insurance, and retirement services companies.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the research firm Everest Group ranked EXL as a “Leader” in the U.S. insurance BPO market. We have expertise in the areas of claims processing, premium and benefit administration, agency management, account reconciliation, policy research, underwriting support, new business processing, policy servicing, trades/sub-account transactions, add-on processing, premium audit, billing and collection and customer service. We have acquired significant experience in transferring and managing processes in these areas.</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We have intensified our use of proprietary technology tools and platforms to provide increasingly complex services for our insurance clients. In October 2011, through our acquisition of Trumbull Services, LLC (“Trumbull”), we acquired the capability to provide subrogation services to property and casualty insurers and health insurers as well as access to a software platform called SubroSource™. In connection with our acquisition of Professional Data Management Again, Inc. (“PDMA”), in April 2010, we acquired an insurance policy administration platform called LifePRO </w:t>
      </w:r>
      <w:r>
        <w:rPr>
          <w:rFonts w:ascii="Arial" w:cs="Arial" w:eastAsia="Arial" w:hAnsi="Arial"/>
          <w:sz w:val="15"/>
          <w:szCs w:val="15"/>
          <w:color w:val="auto"/>
        </w:rPr>
        <w:t>®</w:t>
      </w:r>
      <w:r>
        <w:rPr>
          <w:rFonts w:ascii="Arial" w:cs="Arial" w:eastAsia="Arial" w:hAnsi="Arial"/>
          <w:sz w:val="18"/>
          <w:szCs w:val="18"/>
          <w:color w:val="auto"/>
        </w:rPr>
        <w:t xml:space="preserve"> to administer life insurance, health insurance, annuities and credit life and disability insurance policies.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1534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573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Healthcare. </w:t>
      </w:r>
      <w:r>
        <w:rPr>
          <w:rFonts w:ascii="Arial" w:cs="Arial" w:eastAsia="Arial" w:hAnsi="Arial"/>
          <w:sz w:val="18"/>
          <w:szCs w:val="18"/>
          <w:color w:val="auto"/>
        </w:rPr>
        <w:t>We have differentiated experience as a business process solutions provider for the rapidly changing healthcare industry, primarily serving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U.S.-based health insurers or payers.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have built significant capability to manage clinical operations for payers, utilizing our global network of highly trained healthcare professionals, with the goal of providing improved clinical, financial and performance outcomes for our clients. We also provide back office support, such as member enrollment, claims adjudication and finalization, and billing and collections management.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we provide and run technology platforms specifically designed to serve the healthcare industry. Through our 2012 acquisition of Landacorp, Inc. (“Landacorp”), we acquired leading healthcare management software platforms (CareRadius</w:t>
      </w:r>
      <w:r>
        <w:rPr>
          <w:rFonts w:ascii="Arial" w:cs="Arial" w:eastAsia="Arial" w:hAnsi="Arial"/>
          <w:sz w:val="14"/>
          <w:szCs w:val="14"/>
          <w:color w:val="auto"/>
        </w:rPr>
        <w:t>®</w:t>
      </w:r>
      <w:r>
        <w:rPr>
          <w:rFonts w:ascii="Arial" w:cs="Arial" w:eastAsia="Arial" w:hAnsi="Arial"/>
          <w:sz w:val="17"/>
          <w:szCs w:val="17"/>
          <w:color w:val="auto"/>
        </w:rPr>
        <w:t xml:space="preserve"> and MaxMC</w:t>
      </w:r>
      <w:r>
        <w:rPr>
          <w:rFonts w:ascii="Arial" w:cs="Arial" w:eastAsia="Arial" w:hAnsi="Arial"/>
          <w:sz w:val="14"/>
          <w:szCs w:val="14"/>
          <w:color w:val="auto"/>
        </w:rPr>
        <w:t>®</w:t>
      </w:r>
      <w:r>
        <w:rPr>
          <w:rFonts w:ascii="Arial" w:cs="Arial" w:eastAsia="Arial" w:hAnsi="Arial"/>
          <w:sz w:val="17"/>
          <w:szCs w:val="17"/>
          <w:color w:val="auto"/>
        </w:rPr>
        <w:t>), which connect payers, providers and members with critical clinical information, and automate a payers’ operations to increase efficiency. In 2013, we also introduced MedConnection, a proprietary medical information analysis tool, which empowers adjusters, attorneys and medical staff to perform fewer non-core activities (e.g. file organization, duplication, and identification) and more effectively accomplish core activities (e.g. negotiation preparation).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96840" cy="1466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9684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Utilities. </w:t>
      </w:r>
      <w:r>
        <w:rPr>
          <w:rFonts w:ascii="Arial" w:cs="Arial" w:eastAsia="Arial" w:hAnsi="Arial"/>
          <w:sz w:val="16"/>
          <w:szCs w:val="16"/>
          <w:color w:val="auto"/>
        </w:rPr>
        <w:t>We provide end-to-end services for the back-office operations of utilities companies in service areas such as meter to cash, portfolio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balancing, debt management and customer service. A large part of these services involves complex processing of transactions.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1509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0573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diverse experience in servicing and processing various banking products, including residential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retail banking and credit cards, commercial banking and investment management.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1509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0573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Travel, Transportation and Logistics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expertise in managing and improving operational, financial and analytical functions for clients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transportation and logistics industries. We provide end-to-end, front-, middle- and back-office services to companies in the corporate and leisure travel management industry. In addition, we have expertise in processing transportation and logistics transactions, including end-to-end supply chain management, warehousing, transportation management and international logistics services. We also provide highly complex operational and analytical services to airlines, trucking and shipping companies, ocean carriers and logistics providers.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1981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0573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Finance and Accounting. </w:t>
      </w:r>
      <w:r>
        <w:rPr>
          <w:rFonts w:ascii="Arial" w:cs="Arial" w:eastAsia="Arial" w:hAnsi="Arial"/>
          <w:sz w:val="16"/>
          <w:szCs w:val="16"/>
          <w:color w:val="auto"/>
        </w:rPr>
        <w:t>We provide outsourcing services to our clients’ finance organizations through our finance and accounting center of excellence.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integrated end-to-end finance and accounting outsourcing services across an array of finance and accounting service cycles, including procure to pay, order to cash, hire to retire, record to report and treasury and tax processes, in part by leveraging our deep capabilities in finance transformation, decision analytics and a number of tools and methodologies which are proprietary or available through a number of partnerships with third parties. Our partnerships include, among others, BlackLine Systems, a leading provider of enterprise-class software applications designed to automate and control the entire financial close process, GT Nexus, a leading provider of cloud-based business network platforms for global trade and supply chain management to provide platform-based business process solutions to the global transportation and logistics industry and Sungard Advantgard GETPAID, a leading provider of credit risk monitoring, statistical scoring, collections automation, dispute management and cash application software with advanced reporting and dashboards to provide platform based receivable management solutions to help companies embed best practices for improved management of trade receivables. Our finance and accounting outsourcing services are provided to clients across a broad spectrum of industries.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169545</wp:posOffset>
            </wp:positionV>
            <wp:extent cx="5179695" cy="1637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969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Services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offer a number of services that we refer to collectively as transformation services. These offerings include decision analytics, finance transformation and operations consulting.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These transformation services focus on improving our clients’ operating environments, whether or not they are managed by us, through cost reduction, additional insight for business forecasting, enhanced efficiency, higher productivity, improved effectiveness of business decisions and creation of an improved risk and control environment. We have experienced a significant increase in demand for our annuity-based transformation services, which are engagements that are contracted for periods of one year or more. We actively cross-sell and, where appropriate, integrate our transformation services with our outsourcing services as part of an integrated solution for our clients. Our transformation services team is comprised of over 1,300 professionals.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 Analytics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decision analytics services involve accessing and analyzing large volumes of data from multiple sources in order to understand historical performance or behavior to predict particular outcomes. We utilize the insights that we generate to assist our clients in making better and data-driven business decisions, which are in turn expected to lead to tangible financial benefits. Services offered include data filtering, organization and synthesis, management information system reporting, trend and variance analysis, statistical and econometric modeling, and economic and financial markets research.</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focus areas include marketing and customer analytics, risk analytics, operations analytics and finance and investment analytics. Our offerings often utilize our operations expertise within certain targeted industries, which is then complemented by analytical techniques, technology tools and methodologies to deliver quantitative modeling, proprietary intellectual property and business intelligence for our clients.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A large proportion of our decision analytics team members have received post-graduate degrees in business or other quantitative or financial disciplines.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1517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0573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Transformation</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finance transformation services include governance, risk and compliance, accounting advisory services, finance organizational design, finance process optimization, and finance systems advisory.</w:t>
      </w:r>
    </w:p>
    <w:p>
      <w:pPr>
        <w:spacing w:after="0" w:line="17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As part of our finance organization design services, we assist our clients with the design and implementation of various target operating models, outsourcing and shared service programs. Our finance process optimization services help our clients evaluate the efficiency, effectiveness and internal controls of their finance and accounting processes including management information systems and decision support, through various diagnostic methods including benchmarking. Our finance systems advisory services provide consulting and implementation support for various finance automation and system optimization initiatives. Our governance, risk and compliance services include compliance advisory and support, internal audit and controls monitoring services. Our accounting advisory and reporting services include transaction assurance, general accounting, financial reporting and finance and accounting process optimization services. Many of our professionals who provide these services are certified accountants, internal auditors and process and technology experts.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96840" cy="1260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9684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Consulting</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assist clients in understanding, controlling and improving their business processes with a view to increasing their effectiveness at an optimized cost structure. We utilize Lean and Six Sigma methodologies to advise our clients on cost reduction initiatives and subsequently manage the implementation of our recommendations. Our services also identify business processes that can be improved by documenting processes, creating standard operating procedures, defining metrics and evaluation criteria as well as generating customized dashboards and reporting using our proprietary methodologies. By diagnosing problems in existing processes, we are able to assist our clients in improving their operations by modifying, eliminating or automating certain activities.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96840" cy="1989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968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the disclosures in Notes 4 and 14 to our consolidated financial statements for segment and geographic information regarding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goal is to continue to be a leading provider of business process solutions in the industry sectors on which we are focused. Specific elements of our growth strategy include:</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Drive Business Impact for Clients by Offering Industry-Specific Business Process Solutions that Integrate Operations Management, Analytics and Technology</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servicing our clients, we seek to differentiate ourselves by emphasizing the broad range of operations management, analytics and platform technology services that we provide. We believe that clients are increasingly viewing their service providers as long-term partners that provide a full range of service offerings. By leveraging our broad range of services and improving our clients’ operations through tangible measures such as revenue enhancement, revenue and expense leakage prevention, cost reduction, write-off reduction and working capital reduction, we can provide our clients with a positive business impact and create a long-term partnership.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Utilizing Innovative Approaches to Enhance Margin Sustainability</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believe that we can better enhance our margin sustainability by utilizing innovative delivery and pricing approaches. Successful innovative delivery approaches will require the use of acquired, licensed or internally developed intellectual property, methodologies and analytical models as well as a range of proprietary technology tools. These innovative delivery approaches are typically specialized for the industry sectors on which we focus.</w:t>
      </w:r>
    </w:p>
    <w:p>
      <w:pPr>
        <w:spacing w:after="0" w:line="166"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this light, we have significantly increased our use of proprietary technology tools and platforms through a combination of acquisitions, in-house development and licensing of third party technology. Our Landacorp acquisition has provided us with leading healthcare management software platforms (CareRadius</w:t>
      </w:r>
      <w:r>
        <w:rPr>
          <w:rFonts w:ascii="Arial" w:cs="Arial" w:eastAsia="Arial" w:hAnsi="Arial"/>
          <w:sz w:val="14"/>
          <w:szCs w:val="14"/>
          <w:color w:val="auto"/>
        </w:rPr>
        <w:t>®</w:t>
      </w:r>
      <w:r>
        <w:rPr>
          <w:rFonts w:ascii="Arial" w:cs="Arial" w:eastAsia="Arial" w:hAnsi="Arial"/>
          <w:sz w:val="17"/>
          <w:szCs w:val="17"/>
          <w:color w:val="auto"/>
        </w:rPr>
        <w:t xml:space="preserve"> and MaxMC</w:t>
      </w:r>
      <w:r>
        <w:rPr>
          <w:rFonts w:ascii="Arial" w:cs="Arial" w:eastAsia="Arial" w:hAnsi="Arial"/>
          <w:sz w:val="14"/>
          <w:szCs w:val="14"/>
          <w:color w:val="auto"/>
        </w:rPr>
        <w:t>®</w:t>
      </w:r>
      <w:r>
        <w:rPr>
          <w:rFonts w:ascii="Arial" w:cs="Arial" w:eastAsia="Arial" w:hAnsi="Arial"/>
          <w:sz w:val="17"/>
          <w:szCs w:val="17"/>
          <w:color w:val="auto"/>
        </w:rPr>
        <w:t xml:space="preserve">) that manage clinical data for over 50 million lives, while our PDMA and Trumbull acquisitions have provided us with the LifePRO </w:t>
      </w:r>
      <w:r>
        <w:rPr>
          <w:rFonts w:ascii="Arial" w:cs="Arial" w:eastAsia="Arial" w:hAnsi="Arial"/>
          <w:sz w:val="14"/>
          <w:szCs w:val="14"/>
          <w:color w:val="auto"/>
        </w:rPr>
        <w:t>®</w:t>
      </w:r>
      <w:r>
        <w:rPr>
          <w:rFonts w:ascii="Arial" w:cs="Arial" w:eastAsia="Arial" w:hAnsi="Arial"/>
          <w:sz w:val="17"/>
          <w:szCs w:val="17"/>
          <w:color w:val="auto"/>
        </w:rPr>
        <w:t xml:space="preserve"> and SubroSource TM platforms for our clients in the life and property and casualty insurance sectors, respectively. We have also built proprietary platforms such as the Freight Bill Audit and Payment platform to automate the receipt, validation and exception processing of customer invoices for our clients in the transportation and logistics sectors. In 2013, we built MedConnection, a proprietary medical information analysis tool, which empowers adjusters, attorneys and medical staff to perform fewer non-core activities (e.g. file organization, duplication, and identification) and more effectively accomplish core activities (e.g. negotiation preparation).</w:t>
      </w:r>
    </w:p>
    <w:p>
      <w:pPr>
        <w:spacing w:after="0" w:line="17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addition, we believe that the increased utilization of transaction-based and other innovative pricing models, supplemented by these innovative delivery approaches, may also enhance the sustainability of our margins while delivering increased value to our clients. Currently, a majority of our revenues are billed to our clients on a time and materials basis. We intend to increase the number of processes in which we utilize transaction-based and other innovative pricing to better align our incentives with our clients, thereby assisting them with variable cost structures and driving service improvements.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developed expertise in transferring and servicing more than 1,000 outsourcing processes to our operations centers, including more than 650 processes in the insurance and healthcare industry. This expertise continues to distinguish us from other providers of outsourcing services and has established our reputation as a leading provider of outsourcing services. We intend to continue to strengthen our processing capabilities by focusing on more complex and value-enhancing services that are common to these sectors. We supplement our innovative delivery and pricing approaches with several industry-specific training academies to enhance the domain expertise of our employees.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Cultivating Large-scale, Long-term Relationships and Expanding Our Existing Client Base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intend to continue to maintain our focus on large-scale, long-term client relationships. We believe there are significant opportunities for additional growth with our existing clients, and we seek to expand these relationships by increasing the depth and breadth of the services we provide. We also believe that our geographically distributed network of operations centers will enable us to expand our client base and range of services. Our domain expertise and long-term client relationships enable us to provide more fully integrated and innovative outsourcing and transformation services and develop closer relationships with our clients.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will also continue to initiate long-term relationships with small and medium sized companies in our focus industries and expand our relationships with such companies over time. 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be highly selective and seek industry-leading clients, targeting Global 1000 companies that have the most complex and diverse processes and, accordingly, stand to benefit significantly from our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Invest in Our People and Operational Infrastructure</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intend to continue to invest in infrastructure, including human resources, process optimization and delivery platforms, to meet our growing client requirements. We intend to further refine and supplement the innovative methods we use to recruit, train and retain our skilled employees. We intend to continue focusing on recruiting highly qualified employees and developing our employees’ leadership skills through specialized programs, rigorous promotion standards, industry-specific training and competitive compensation packages that include incentive-based compensation. During 2013, we launched new operations centers in Cebu, Philippines and Kochi, India.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continue to selectively consider strategic relationships with industry leaders that add new long-term client relationships, enhance the depth and breadth of our services and complement our business strategy. We also intend to selectively consider acquisitions, partnerships, alliances or investments that will expand the scope and effectiveness of our services by adding proprietary technology assets and intellectual property, adding new clients or allowing us to enter new geographic markets.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BPO service providers work with clients to develop and deliver operational improvements with the goal of achieving higher performance at lower costs. Organizations transfer their key business processes to third parties to reduce costs, improve process quality, handle increased transaction volumes and reduce redundancy. Third-party BPO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Increased global demand, cost improvements in international communications and the automation of many business services have created a significant opportunity for offshore BPO providers, and many companies are moving select office processes to providers with the capacity to perform these functions from overseas locations.</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Companies have historically used BPO providers to drive revenue growth by expanding service offerings that otherwise would be too costly to administer or by enhancing receivable collections that would otherwise not be cost-efficient to pursue using internal staff. We believe the demand for BPO services will be primarily led by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industries that are transaction-driven and that require significant customer interactions. The high cost of servicing a large number of small customer accounts makes outsourcing a compelling strategic alternative for such industries.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Companies are increasingly looking to providers of analytics services to apply statistical tools, models and techniques to clean, organize and examine structured and unstructured corporate data and thereby to generate specific business-related analysis and insight into their business and prospects using this data.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Service providers who can develop industry-specific analytics expertise are especially well poised to benefit from this global trend.</w:t>
      </w:r>
    </w:p>
    <w:p>
      <w:pPr>
        <w:spacing w:after="0" w:line="19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According to Nasscom (India’s National Association of Software and Service Companies), an industry trade organization, exports from India in the information technology and business process management industry are expected to grow between 13% and 15% year-over-year in the fiscal year ending March 31, 2015, to between $97 billion and $99 billion.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 Toward Offshore Delivery of BPO and Analytics Services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Over the past decade, India and the Philippines have emerged as preferred locations for companies planning to outsource services ranging from insurance claims processing, payroll processing, medical transcription, customer relationship management to back-office operations such as accounting and data processing, filtering and organization. India currently accounts for the largest share of the offshore BPO services market. Recently, in order to take advantage of multiple language capabilities and large educated talent pools at competitive costs, companies have engaged service providers with operations in other locations such as Eastern Europe and Latin America.</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analytics services, India has also emerged as a leading delivery location, driven by a large quantitatively-trained workforce and attractive cost efficiencies, as compared to other locations. By 2015, the Indian offshore data analytics market is expected to be approximately $1.2 billion in size, having grown at a CAGR of 25% since 2010, according to Avendus Capital Private Limited, an Indian financial advisor. We offer a global analytics delivery model and operate multiple analytics centers of excellence in India and other locations globally.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Client Management</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Our sales and client management teams operate from the U.S. and Europe and are supported by our business development team.</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sales, marketing and business development teams are responsible for new client acquisitions, public relations, relations with outsourcing advisory companies, brand awareness and participation in industry forums and conferences. Our sales, marketing and business development teams identify prospective clients based on selective criteria that apply our industry expertise to the prospective client’s business units and services, goals and operating constraints, and qualify the long-term relationship potential with the client. Our client relationships vary from a single discrete process to multiple complex integrated processes.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client management team is responsible for managing client relationships, understanding client needs and developing customized services that create value for clients from our suite of outsourcing and transformation services. Each strategic client relationship is assigned a team that consists of members from the client management team, an operations delivery leader, a member of our transformation services group and a member of our technology team. Members of the client management team work closely with the delivery team to ensure high levels of client satisfaction and are also responsible for business expansion and revenue growth of their respective client accounts.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sales and client management professionals focus on identifying, qualifying and initiating discussions with our current and prospective clients. They operate collaboratively with our business development team which prepares responses to requests for proposals, hosts client visits to our facilities and coordinates due diligence on processes to be outsourced to us.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of December 31, 2013, we employed approximately 106 sales, marketing, business development and client management professionals the majority of which are based in either the U.S. or Europe. Each professional has significant experience in global outsourcing and expertise in identifying outsourcing opportunities and process migration. Our sales, client management, marketing and business development teams work actively with our service delivery team as the sales process moves closer to the client’s final decision to either select or expand a service provider relationship. The client executive or sales executive works with the service delivery team to define the scope, services, assumptions and execution strategies for each proposed project and to develop project estimates, pricing and sales proposals. Our senior management reviews and approves each proposal. The selling cycle varies depending on the type of service required, generally ranging from six months to eighteen months for our outsourcing services.</w:t>
      </w:r>
    </w:p>
    <w:p>
      <w:pPr>
        <w:spacing w:after="0" w:line="178"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Members of our sales, client management, marketing and business development teams remain actively involved in a project through the execution phase. Each client team consists of a corporate sponsor, executive steering committee, operations leadership team and, in some cases, a dedicated human resources, technology and infrastructure team.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generated revenues from approximately 280 clients in 2013. Our top three, five and ten clients, respectively, generated 25%, 37% and 58% of our revenues in 2013. In 2012, our top three, five and ten clients, respectively, generated 26%, 39% and 59% of our total revenues. While we are developing relationships with new clients and expect to continue to diversify our client base, we believe that the loss of any of our ten largest clients could have a material adverse effect on our financial performance. See “Item 1A. Risk Factors—Risks Related to Our Business—We have a limited number of clients and provide services to few industries. In 2013, approximately 58% of our total revenues came from top ten clients.”</w:t>
      </w:r>
    </w:p>
    <w:p>
      <w:pPr>
        <w:spacing w:after="0" w:line="173"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Our long-term relationships with our clients typically evolve from providing a single, discrete process into providing a series of complex, integrated processes across multiple business lines. For outsourcing services, we enter into long-term agreements with our clients with typical initial terms of between three and eight years. Agreements for transformation services generally have shorter initial terms. Each agreement is individually negotiated with the client.</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meet the specific needs of our clients, we enter into contracts with varying contractual provisions.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Competition in the BPO services industry is intense and growing. See “Item 1A. Risk Factors—Risks Related to Our Business—We face significant competition from U.S.-based and non-U.S.-based outsourcing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information technology (“IT”) companies and from our clients, who may perform outsourcing services themselves, either in-house, in the U.S. or through offshore groups or other arrangements.” 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Limited and WNS (Holdings) Limited;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BPO divisions of large IT service companies and global BPO services companies, such as Accenture, Cognizant Technology Solutions, Tata Consultancy Services and Infosys;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niche providers that provide services in a specific geographic market, industry or service area such as analytics and healthcare;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superior operational capabilities and process expertise, and unique transformation service capabilities, which enables us to respond rapidly to market trends and the evolving needs of our clients in this sector. See “—Business Strategy—Drive Business Impact for Clients by Offering Industry-Specific Business Process Solutions that Integrate Operations Management, Analytics and Technology,” and “—Extending Our Industry Expertise.”</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expect that competition will increase. A significant part of our competitive advantage has historically been a wage cost advantage relative to companies in the U.S. and Europe and the ability to attract and retain highly experienced and skilled employees. We believe, however, that as a result of rising wage costs in India and other locations of our operations centers and the infrastructure improvements that are taking place in other emerging markets around the world, our ability to compete effectively will increasingly depend on our ability to utilize innovative approaches that rely on our industry expertise as well as a broad range of operations management, analytics and platform technology services to create a positive business impact for our clients.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principal intellectual property consists of trademarks, copyrighted software and other materials, proprietary and licensed platforms, filed patent applications, trade secrets, and the know-how of our management and employees. We have several trademarks and logos registered with the U.S. Patent and Trademark Office and certain foreign jurisdictions. We also consider the availability of patent protection for certain proprietary technology, and have filed certain patent applications.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often use our clients’ software systems and third-party software platforms to provide our services. We customarily enter into licensing and nondisclosure agreements with our clients and third parties with respect to the use of their software systems and platforms. Clients typically obtain consents for us to access and use third party software licenses held by the client so that we may provide our services.</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contracts usually provide that intellectual property created during an engagement for a client will be considered to be work product that is owned by the client or otherwise assigned to that client, unless the client agrees that we will own that intellectual property.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We consider our business processes and implementation methodologies to be trade secrets or confidential, proprietary information that includes trade secrets that are important to our business. Clients and business partners sign nondisclosure agreements requiring confidential treatment of our information. Our employees are also required to sign intellectual property assignments and confidentiality undertakings as a condition to their employment.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 robust transnational wide area network and international telecommunications capacity to support our global business operations. Our infrastructure is built to industry standards, leveraging leading technology providers and partners. Our business continuity management includes plans to mitigate and manage operational risks by building resilience and redundancies in the telecommunications and network infrastructure, systems, computing, power, and trained talent availability across our service delivery locations.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customize our technology solutions in line with our clients’ business and outsourcing requirements. Our technology teams are comprised of expert professionals from technology project management, transitions, infrastructure management, technology operational service delivery, information security, business continuity, product development and business process automation. This allows us to have a range of technology offerings and services to deliver value to our clients through various types and stages of our client engagements.</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seek to understand our clients’ business, outsourcing and transformational requirements, processes and systems and to develop and implement customized solutions for our clients and to deliver reliable services that facilitate the right-shore delivery and efficient management of their business processes.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a well-rounded suite of vertical specific and cross-vertical horizontal technology-enabled products and business process automation tools and wrappers that are provided as embedded capabilities in our business solutions offerings.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have a strong focus on information security and data protection for our clients and their customers to ensure compliance with the established confidentiality policies and regulations governing our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12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end-customer experience for all processes. Currently, we have over 450 quality compliance analysts and customer experience analysts.</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For most of our operations processes, we report process performance on B-ProMPT, our proprietary web-based application accessible by both our clients and us. B-ProMPT includes process control capabilities such as digital dashboards for evaluating process management and performance at any level within an organization, including tracking the individual performance of agents, supervisors and other employees. B-ProMPT includes advanced analytics capacity to provide Six Sigma-based process analysis, including trend analysis, distribution analysis and correlation analysis and tracking.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As of December 31, 2013, we had a headcount of approximately 22,200 individuals, out of which approximately 18,000 employees were based in India. We have approximately 800 employees in the U.S. and the U.K., approximately 2,800 employees in the Philippines and over 500 employees in the Czech Republic,</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Bulgaria and Romania. Our employees are not unionized. We have never experienced any work stoppages and believe that we enjoy good employee relations.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employees are critical to the success of our business. Accordingly, we focus on recruiting, training and retaining our professionals.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developed effective strategies that enable an efficient recruitment process. We have approximately 100 employees dedicated to recruitment. Some of the strategies we have adopted to increase efficiency in our hiring practices include online voice assessment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extensive background checks on candidates, including criminal background checks, where permitted and as required by clients or on a sample basis. In addition, where permitted and required for client services, we perform random drug testing on the workforce on a regular basis. In 2013, we received more than 39,000 applications for employment and hired approximately 8,400 new employees. We also have an employee referral program that provides us with a cost effective way of accessing qualified potential employees.</w:t>
      </w:r>
    </w:p>
    <w:p>
      <w:pPr>
        <w:spacing w:after="0" w:line="19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offer our employees competitive compensation packages that include significant incentive-based compensation and offer a variety of benefits that vary by facility, including free transport to and from home in certain circumstances, subsidized meals and free access to recreational facilities that are located within some of our operations centers. Our turnover rate for employees who had been with EXL for more than 180 days was 25.8% for the year ended December 31, 2013. As competition in our industry increases, our turnover rate could increase. See “Item 1A. Risk Factors—Risks Related to Our Business —We may fail to attract and retain enough sufficiently trained employees to support our operations, as competition for highly skilled personnel is intense and we experience significant employee turnover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dedicate significant resources to the training and development of our professionals. On December 31, 2013, we had over 373 certified trainers. Our trainers work with professionals in our recruitment, operations and quality control teams to create an end-to-end process for value addition, skill evaluation, skill enhancement and certification. We also use training to provide continuity by linking skill assessment at the point of recruitment to subsequent assessment and on-the-job training.</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customize our training to country, client, industry and service, closely collaborating with the clients throughout the training process. In 2013, approximately 5,400 employees received training for the insurance industry and processes at our insurance academy established in 2009. Our finance and accounting academy, inaugurated in November 2011, trained approximately 3,150 employees in basic accounting, payroll and taxation during 2013. Our healthcare academy, inaugurated in Manila, Philippines in 2012, trained over 570 employees during the year, and our travel academy, inaugurated in Gurgaon, India in 2011, trained over 450 employees. Training for new employees includes culture, voice and accent training. We also have ongoing training that includes refresher training programs and personality development programs. We also conduct mandatory legal and compliance related trainings globally, which covered substantially all of our employees in 2013. We develop our employees’ leadership skills through various capability development programs, talent identification and performance management mechanisms, and significant monetary and non-monetary incentives. The overall participation in various programs administered in 2013 resulted in approximately 50,000 days of training. We have also created career development programs for our middle and junior level management employees, helping them define and identify their career paths within the company. In 2013, we provided training to over 650 of our junior and middle managers at the EXL School of Management Development, which was launched in 2010.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2013, we launched a focused and robust global senior leadership development program, in partnership with a leading HR consultancy firm, aimed towards building a strong leadership brand and enhancing our management capacity.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one of the few service providers that can provide third-party administrator insurance services from India and the Philippines, having been licensed or exempted from, or not subject to, licensing in 45 states and 16 states, respectively. Additionally, we are licensed or otherwise eligible to provide third-party administrator services in all states within the U.S. Certain of our debt collection, utilization review, workers compensation utilization review and telemarketing services require us to maintain licenses in various jurisdictions or require certain categories of our professionals to be individually licensed. We continue to obtain licenses required by our business operations.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operations are also subject to compliance with a variety of other laws, including the U.S. federal and state regulations, that apply to certain portions of our business, such as the Fair Credit Reporting Act, the Gramm-Leach-Bliley Act, the Health Insurance Portability and Accountability Act of 1996, the HITECH Act of 2009, the Truth in Lending Act, the Fair Credit Billing Act, the Federal Trade Commission Act and FDIC rules and regulations. We must also comply with applicable regulations relating to health and other personal information that we process as part of our services. Additionally, our client contracts may specify other regulatory requirements we must meet in connection with the services we provide. We provide our employees with training for applicable laws and regulations.</w:t>
      </w:r>
    </w:p>
    <w:p>
      <w:pPr>
        <w:spacing w:after="0" w:line="19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benefit from tax relief provided by laws and regulations in India and the Philippines. Regulation of our business by the Indian government affects us in several ways. For instance, until April 2011, we benefited from certain tax incentives promulgated by the Indian government, including a holiday from Indian corporate income taxes for the operations of some of our Indian operations centers. During the last five years, we either established or acquired new centers that are eligible for tax benefits under the Special Economic Zones Act, 2005 (the “Special Economic Zones Act”). The Special Economic Zones Act introduced a 15-year tax holiday scheme for operations established in designated special economic zones (“SEZs”). Under the Special Economic Zones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Special Economic Zones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 See “Management’s Discussion and Analysis of Financial Condition and Results of Operations—Foreign Exchange” and “—Income Taxes.”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 was incorporated in Delaware on October 29, 2002.</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under the Securities Exchange Act of 1934, as amended (the “Exchange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also maintain a website at http://www.exlservice.com.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number of clients and provide services to a few industries. In 2013, approximately 58% of our total revenues came from top ten clients.</w:t>
      </w:r>
    </w:p>
    <w:p>
      <w:pPr>
        <w:spacing w:after="0" w:line="15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derived and believe that we will continue to derive a substantial portion of our total revenues from a limited number of large clients. In 2013, our ten largest clients accounted for approximately 58% of our total revenues. We expect that a significant portion of our total revenues will continue to be contributed by a limited number of large clients in the near future.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November 1, 2013, we received a notice of termination (the “Termination Notice”) from the Travelers Indemnity Company (“Travelers”) under a Professional Services Agreement, dated as of March 7, 2006, between us and Travelers (as amended from time to time, the “Services Agreement”). Travelers represented 9.7% of our total revenues for the year ended December 31, 2013. While this termination did not have a material impact on our calendar year 2013 revenues, we do estimate a reduction in 2014 revenues of between $12 million and $20 million due to certain services we currently provide to Travelers being transitioned away from us throughout 2014. In addition, we expect that we will reimburse Travelers for certain of their expenses incurred in connection with the termination, which will further reduce our revenues in 2014. We also expect that we will provide certain disentanglement services to Travelers at our expense for up to eighteen months from the date of the Termination Notice (the “Transition Period”), which will increase our expenses in 2014. We are still discussing the termination process with Travelers and, as a result, at this point cannot reasonably estimate the total amount of reimbursements we may make to Travelers or what internal costs we will incur as a result of the termination. If the disentanglement between us and Travelers is not completed in a manner that is satisfactory to both parties, it could further increase our expenses and revenue loss due to the termination, thereby negatively impacting our business, results of operations, financial condition and cash flows.</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Global economic and political conditions affect our clients’ businesses and the markets they serve. The global economic downturn that began in 2008 had an adverse impact on the companies in the industries to which we provide services, including the banking, financial services and insurance industries. In 2013, approximately 50% of our total revenues was derived from clients in those industries, including 42% of our total revenues that were derived from clients in the insurance industry. Our business largely depends on continued demand for our services from clients and potential clients in these industries. Adverse developments in these industries or the other select industries to which we provide services could further unfavorably affect our business. In particular,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transformation services, thus reducing our revenues. Continued high unemployment rates in the U.S.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Any future disruptions in the commercial credit markets may impact liquidity in the global credit market as greatly, or even more, than in recent years, and we may not be able to predict the impact such worsening conditions will have on our targeted industries in general, and our results of operations specifically. Future turbulence in global markets and economies may adversely affect our liquidity and financial condition, and the liquidity and financial condition of our clients. Market disruptions may limit our ability to access financing or increase our cost of financing to meet liquidity needs, and affect the ability of our customers to use credit to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purchase our services or to make timely payments to us, resulting in adverse effects on our financial condition and results of operations. Changes in global economic conditions could also shift demand to services for which we do not have competitive advantages, and this could negatively affect the amount of business that we are able to obtain.</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18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other countries, such as the U.K., there has also been some negative publicity and concern expressed regarding the possible effect of job losses caused by outsourcing. Legislation enacted in the U.K.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in the U.K. who outsource business to us. We are generally indemnified in our existing contracts with clients in the U.K.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agreements we enter into in the future with U.K. clients. Similar legislation has also been enacted in certain other European jurisdictions.</w:t>
      </w:r>
    </w:p>
    <w:p>
      <w:pPr>
        <w:spacing w:after="0" w:line="2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and financial condition.</w:t>
      </w:r>
    </w:p>
    <w:p>
      <w:pPr>
        <w:spacing w:after="0" w:line="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and financial condition.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and financial condition.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2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industry is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Our turnover rate for employees with EXL for more than 180 days was 25.8% for the year ended December 31, 2013.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w:t>
      </w:r>
    </w:p>
    <w:p>
      <w:pPr>
        <w:spacing w:after="0" w:line="183"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long selling cycle for our outsourcing services that requires significant funds and management resources and a long implementation cycle that requires significant resource commitments.</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a long selling cycle for our outsourcing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When we are engaged by a client after the selling process for our outsourcing services,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enter into long-term contracts with our clients, and our failure to estimate the resources and time required for our contracts may negatively affect our profitability.</w:t>
      </w:r>
    </w:p>
    <w:p>
      <w:pPr>
        <w:spacing w:after="0" w:line="62"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initial terms of our outsourcing contracts typically range from three to five years. In many of our outsourcing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and profitability may be negatively affected.</w:t>
      </w:r>
    </w:p>
    <w:p>
      <w:pPr>
        <w:spacing w:after="0" w:line="29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and financial condition may be adversely affected.</w:t>
      </w:r>
    </w:p>
    <w:p>
      <w:pPr>
        <w:spacing w:after="0" w:line="5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Most of our contracts use a pricing model that provides for hourly or annual billing rates. Industry pricing models are evolving, however, and we anticipate that clients may increasingly request transaction-based or other pricing models. If we are unable to obtain operating efficiencies or if we make inaccurate assumptions for contacts with transaction-based pricing,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appropriately price our services or manage our asset utilization levels.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transformation services are cyclical and based on specific projects involving short-term contracts.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transformation services, such as our decision analytics, finance transformation and operations and process excellence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finance transformation services business.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 significant portion of our transformation services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transformation services.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experience significant variability and as a result it may be difficult for us to make accurate financial forecasts.</w:t>
      </w:r>
    </w:p>
    <w:p>
      <w:pPr>
        <w:spacing w:after="0" w:line="1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 changes in the operations of our clients and other events identified in this Annual Report on Form 10-K. Our revenues are also affected by changes in pricing under our contracts at the time of renewal or by pricing under new contracts.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3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6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Rohit Kapoor,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165"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sixteen operations centers in India, six operations centers in the U.S., three operations centers in the Philippines and one operations center in each of Bulgaria, Romania, the Czech Republic and Malaysia. Our headcount has increased from approximately 1,800 on December 31, 2002 to approximately 22,200 on December 31, 2013. We expect to develop and improve our internal systems in the locations where we operate in order to address the anticipated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We also need to manage cultural differences between our employee populations and that may create a risk for employment law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and financial condition.</w:t>
      </w:r>
    </w:p>
    <w:p>
      <w:pPr>
        <w:spacing w:after="0" w:line="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part of our business strategy, we intend to continue to selectively consider acquisitions or investments, some of which may be material. Through the acquisitions we pursue, we may seek opportunities to expand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scope of our existing services, add new clients or enter new geographic markets. We have completed seven acquisitions since our inception in April 1999.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intellectual property of an acquired business may be an important component of the value that we agree to pay for such a business. However,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8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do complete may not result in long-term benefits to us.</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Following the completion of an acquisition,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the entire book value of goodwill and other intangible assets from acquisitions.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December 31, 2013, we had approximately $107.4 million of goodwill and $34.1 million of intangible assets. We periodically assess these assets to determine if they are impaired and we monitor for impairment of goodwill relating to all acquisitions. Goodwill is not amortized but is tested for impairment at least once on an annual basis as of December 31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an assessment of qualitative factors to determine whether the existence of events or circumstances leads to a determination that it is more likely than not that the fair value of a reporting unit is less than its carrying amount. Based on the results of the qualitative assessment, we perform the quantitative assessment of goodwill impairment if we determine that it is more likely than not that the fair value of a reporting unit is less than its carrying amount. In the event that the book value of goodwill is impaired, any such impairment would be charged to earnings in the period of impairment. We cannot assure you that future impairment of goodwill will not have a material adverse effect on our business, financial condition or results of operations.</w:t>
      </w:r>
    </w:p>
    <w:p>
      <w:pPr>
        <w:spacing w:after="0" w:line="28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are unable to collect our receivables from, or bill our unbilled services to, our clients, our results of operations and cash flows could be adversely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affected.</w:t>
      </w:r>
    </w:p>
    <w:p>
      <w:pPr>
        <w:spacing w:after="0" w:line="58"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There is no assurance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that we will accurately assess the creditworthiness of our clients. Macroeconomic conditions, such as the credit crisis that began in 2008 and the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transformation services than for employees performing outsourcing services. As the scale of our transformation services increases, wages as a percentage of revenues will likely increase. To the extent that we are not able to control or share wage increases with our clients, wage increases may reduce our margins. We will attempt to control such costs by our efforts to add capacity in locations where we consider wage levels of skilled personnel to be satisfactory, but we may not be successful in doing so. Additionally, because a majority of our employees are based in India and paid in Indian rupees, while our revenues are primarily in U.S. dollars and U.K. pounds sterling, our employee costs as a percentage of revenues may increase or decrease significantly if the exchange rates among the Indian rupee and the U.S. dollar fluctuate significantly.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other countries in which we operate also regulate our relations with our employees.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may be adversely affected.</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Government of India has recently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and financial condition.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U.S.-based and non-U.S.-based outsourcing and IT companies and from our clients, who may perform outsourcing services themselves, either in-house, in the U.S. or through offshore groups or other arrangements.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and financial condition.</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certain liabilities if a process we manage for a client were to result in internal control failures or processing errors, or impair our client’s ability to comply with its own internal control requirements.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contractual limitations on liability with our clients and third parties may not be enforceable.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are generally not limited under those agreements. Because our agreements are governed by laws of multiple jurisdictions, the interpretation of certain provisions, and the availability of certain defenses to us, may vary, which, in certain circumstances, may contribute to uncertainty as to the scope of our potential liability.</w:t>
      </w:r>
    </w:p>
    <w:p>
      <w:pPr>
        <w:spacing w:after="0" w:line="2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 advantage.</w:t>
      </w:r>
    </w:p>
    <w:p>
      <w:pPr>
        <w:spacing w:after="0" w:line="17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submitted patent applications in 2013 for certain proprietary technology. We also have submitted and expect to continue to submit U.S. federal and foreign trademark applications for names and designations of our company and various business lines and service offerings. We may not be successful in obtaining or maintaining patents or trademarks for which we have applied.</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and financial condition.</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competitors or others may allege that our systems, processes, marketing or technologies infringe on their intellectual property rights, including patents. Non-practicing entities also have been bringing patent infringement claims on a more frequent basis. We could be required to indemnify our clients if they are sued by a third party for intellectual property infringement arising from materials that we have provided to the clients in connection with our services and deliverables. We may not be successful in defending against any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 significant monetary damages. Any such claim for intellectual property infringement may have a material adverse effect on our business, results of operations and financial condition.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New and changing corporate governance and public disclosure requirements add uncertainty to our compliance policies and increase our costs of compliance.</w:t>
      </w:r>
    </w:p>
    <w:p>
      <w:pPr>
        <w:spacing w:after="0" w:line="6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Changing laws, regulations and standards relating to accounting, corporate governance and public disclosure, including the Sarbanes-Oxley Act of 2002, other SEC regulations, Consumer Financial Protection Bureau and the NASDAQ Global Select Market rules, are creating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7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While we do not anticipate any material weaknesses, the inability of management and our independent auditor to provide us with an unqualified report as to the adequacy and effectiveness, respectively, of our internal controls over financial reporting for future year ends could result in adverse consequences to us, including, but not limited to, a loss of investor confidence in the reliability of our financial statements, which could cause the market price of our stock to decline.</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62"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are typically required to process, and sometimes collect and/or store sensitive data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 the countries in which we operate. In addition, many of our agreements with our clients do not include any limitation on our liability to them with respect to breaches of our obligation to keep the information we receive from them confidential. We devote substantial resources to maintaining adequate levels of cyber security and to protecting confidential client and customer data.</w:t>
      </w:r>
    </w:p>
    <w:p>
      <w:pPr>
        <w:spacing w:after="0" w:line="16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However, any network infrastructure may be vulnerable to rapidly evolving cyber attacks, and our user data and corporate systems and security measures may be breached due to the actions of outside parties (including cyberattacks),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any person, including any of our employees, negligently disregards or intentionally breaches controls or procedures with which we are responsible for complying with respect to such data or otherwise mismanages or misappropriates that data, or 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and/or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17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any person, including any of our employees, penetrates our network security or otherwise mismanages or misappropriates sensitive data, discloses or distributes any such data in an unauthorized manner, we could be subject to significant liability and lawsuits from our clients or their own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obtained privacy and network security insurance for claims related to breaches of our privacy and network security, including unauthorized access to or disclosure of sensitive data, suspension or interruption of our network infrastructure, transmission of computer viruses or failure to comply with our privacy and network security procedures. However, such coverage may not be adequate or may not continue to be available on reasonable terms or in sufficient amounts to cover one or more large claims, and our insurers may disclaim coverage as to any future claims. Cyber attacks penetrating the network security of our data centers or any unauthorized disclosure or access to confidential information and data of our clients or their end customers could also have a negative impact on our reputation and client confidence, which could have a material adverse effect on our business, results of operations, financial condition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We also could be sued directly for claims that could be significant, such as infringement of intellectual property rights, violation of wage and hour laws, or systemic discrimination. Although we have general liability insurance coverage, including coverage for errors or omissions,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14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currently continuing to evaluate additional locations outside our current operating geographies in which to invest in operations centers. We cannot predict the extent of government support, availability of qualified workers, or monetary and economic conditions in other countries.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increase the range of services that we provide to our clients and our business and future prospects are difficult to evaluate.</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exploring opportunities to provide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the diversion of our management’s attention, attracting and retaining clients for such services, integrating any new services into our current suite of services and managing any resulting growth in our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clients’ business operations are often subject to regulation, and our clients may require that we perform our services in a manner that will enable them to comply with applicable regulations. Our clients are located around the world, and the laws and regulations that apply include, among others, United States federal laws such as the Gramm-Leach-Bliley Act and the Health Insurance Portability and Accountability Act,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permits and licenses for the conduct of our business in all jurisdictions in which we have operations, including India, and, in some cases, where our clients receive our services, including the United States and Europe. If we do not maintain our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to our business or our clients’ businesses may also, in some limited circumstances, result in civil fines and criminal penalties for us. Any such ceasing of operations or civil or criminal actions may have a material adverse effect on our business, results of operations and financial condition.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continues to be volatile.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stock has at times experienced substantial price volatility as a result of, among other reasons,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also has experienced extreme price and volume fluctuations that have affected the market price of many technology companies in ways that may have been unrelated to these companies’ operating performance. Furthermore, we believe our stock price should reflect future growth and profitability expectations and, if we fail to meet these expectations, our stock price may significantly decline.</w:t>
      </w:r>
    </w:p>
    <w:p>
      <w:pPr>
        <w:spacing w:after="0" w:line="30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62" w:lineRule="exact"/>
        <w:rPr>
          <w:sz w:val="20"/>
          <w:szCs w:val="20"/>
          <w:color w:val="auto"/>
        </w:rPr>
      </w:pPr>
    </w:p>
    <w:p>
      <w:pPr>
        <w:ind w:right="100" w:firstLine="456"/>
        <w:spacing w:after="0" w:line="270" w:lineRule="auto"/>
        <w:rPr>
          <w:sz w:val="20"/>
          <w:szCs w:val="20"/>
          <w:color w:val="auto"/>
        </w:rPr>
      </w:pPr>
      <w:r>
        <w:rPr>
          <w:rFonts w:ascii="Arial" w:cs="Arial" w:eastAsia="Arial" w:hAnsi="Arial"/>
          <w:sz w:val="16"/>
          <w:szCs w:val="16"/>
          <w:color w:val="auto"/>
        </w:rPr>
        <w:t xml:space="preserve">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a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stockholder vote, provisions requiring a 66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reduce or withdraw tax benefits and other incentives currently provided to companies within our industry or if we are not eligible for these benefits.</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benefitted up to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2013, was 33.99%.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last five years, we either established or acquired new centers that are eligible for tax benefits under the Special Economic Zones Act. The Special Economic Zones Act introduced a 15-year tax holiday scheme for operations established in designated special economic zones (“SEZs”). Under the Special Economic Zones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Special Economic Zones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Direct Taxes Code Bill 2010 (the “Direct Taxes Code”) proposed by the Government of India and currently pending before the Indian Parliament proposes grandfathering the existing profit-based tax benefits for operations centers in SEZs already receiving such tax benefits. The Direct Taxes Code also proposes discontinuing profit-based incentives for operations centers in SEZs set up after March 31, 2014 and replaces them with investment-based incentives for operations centers in SEZs established after that date. However, the bill is still pending before the Parliament and owing to ensuing general elections and the fact that the Parliament is not scheduled to be in sessions before the general elections, there is a remote possibility that the Direct Taxes Code will be legislated before that date. Accordingly, we expect to continue receiving the benefit of tax deductions for our existing operations centers in SEZs pursuant to the current regulations beyond the currently proposed March 31, 2014 sunset date. If the Direct Taxes Code is enacted into law before that date and if this grandfathering does not happen under the Direct Taxes Code, our operations centers in SEZs may not receive profit-based tax benefits and our overall tax rate may increase over the next few years and that such increase may have a material adverse effect on our business, results of operations and financial condition.</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also benefit from a corporate tax holiday in the Philippines for our operations centers established there over the last five years. The tax holiday will expire for one of our centers in 2014 and for remaining centers, the tax holiday will expire over the next few years which may lead to an increase in our overall tax rate.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transfer pricing arrangements we have among our subsidiaries are determined to be inappropriate, our tax liability may increase.</w:t>
      </w:r>
    </w:p>
    <w:p>
      <w:pPr>
        <w:spacing w:after="0" w:line="1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Please see Note 15 to our audited consolidated financial statements for details.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 of tax legislation and disputes with tax authorities may have an adverse effect on our operations and our overall tax rate.</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Governments in countries in which we operate or provide services could enact new tax legislation, which could potentially have a material adverse effect on our business, results of operations and financial condition.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have a material adverse effect on our business, results of operations and financial condition.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had undertaken a legal entity rationalization project, the first phase of which became effective in 2013 to simplify the global legal entity structure and remove redundancies and reduce compliance risks and costs associated with it. Furthermore, we also intend to optimize the tax and financial efficiencies of the group structure. As a result, we may carry out certain re-organizations under the tax laws of various jurisdictions in which we operate and take certain positions to qualify for tax neutrality for such internal re-organization. We cannot assure you that there will not be any actions brought by the tax authorities of certain jurisdictions if this re-organization is implemented.</w:t>
      </w:r>
    </w:p>
    <w:p>
      <w:pPr>
        <w:spacing w:after="0" w:line="2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Because we provide services to clients throughout the world, we are subject to numerous, and sometimes conflicting, legal rules on matters as diverse as import/export controls, content requirements, trade restrictions, tariffs, taxation, sanctions, government affairs, internal and disclosure control obligations, data privacy and labor relations. Violations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and financial condition.</w:t>
      </w:r>
    </w:p>
    <w:p>
      <w:pPr>
        <w:spacing w:after="0" w:line="179"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It may be difficult to enforce these intellectual property rights both within and outside of the U.S. India is a member of the Berne Convention, an international intellectual property treaty, and has agreed to recognize protections on intellectual property rights conferred under the laws of other foreign countries, including the laws of the U.S. There can be no assurance, however,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in the various currencies in which we do business, especially the Indian rupee and the U.S. dollar, could have a material adverse effect on our results of operations.</w:t>
      </w:r>
    </w:p>
    <w:p>
      <w:pPr>
        <w:spacing w:after="0" w:line="6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 substantial portion of our revenues are denominated in U.S. dollars (73.8% in 2013) or U.K. pounds sterling (19.4% in 2013). A substantial portion of our expenses are incurred and paid in Indian rupees and Philippine peso (51.7% and 9.3% in 2013, respectively). We report our financial results in U.S. dollars. The exchange rates among the Indian rupee and other currencies in which we incur costs or receive revenues and the U.S. dollar have changed substantially in recent years and may fluctuate substantially in the future. See Item 7A—“Quantitative and Qualitative Disclosures about Market Risk.”</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results of operations could be adversely affected over time by certain movements in exchange rates, particularly if the Indian rupee or other currencies in which we incur expenses or receive revenues, appreciate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28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and financial condition.</w:t>
      </w:r>
    </w:p>
    <w:p>
      <w:pPr>
        <w:spacing w:after="0" w:line="3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Terrorist attacks and other acts of violence or war, including those involving India, the Philippines, the U.S. or other countries, may adversely affect worldwide financial markets and could potentially lead to economic recession, which could adversely affect our business, results of operations and financial condition.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 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 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expand our global footprint in order to maintain an appropriate cost structure and meet our clients’ delivery needs. This may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and could have an adverse effect on our business, results of operations and financial condition.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14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principal operating subsidiaries are incorporated in India, and a majority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w:t>
      </w:r>
    </w:p>
    <w:p>
      <w:pPr>
        <w:spacing w:after="0" w:line="179" w:lineRule="exact"/>
        <w:rPr>
          <w:sz w:val="20"/>
          <w:szCs w:val="20"/>
          <w:color w:val="auto"/>
        </w:rPr>
      </w:pPr>
    </w:p>
    <w:p>
      <w:pPr>
        <w:ind w:right="300" w:firstLine="456"/>
        <w:spacing w:after="0" w:line="293" w:lineRule="auto"/>
        <w:rPr>
          <w:sz w:val="20"/>
          <w:szCs w:val="20"/>
          <w:color w:val="auto"/>
        </w:rPr>
      </w:pPr>
      <w:r>
        <w:rPr>
          <w:rFonts w:ascii="Arial" w:cs="Arial" w:eastAsia="Arial" w:hAnsi="Arial"/>
          <w:sz w:val="16"/>
          <w:szCs w:val="16"/>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U.S., which could have a material adverse effect on future revenues.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the recent global economic downturn and public sentiments about the high unemployment rates in their respective economies,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increased the application fees for certain types of visas and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the duration of such visas is shortened or if such visas are delayed, we may not be able to provide services to our clients or to continue to provide these services on a timely and cost effective basis, which could have a material adverse effect on our business, results of operations, financial condition and cash flows.</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vulnerable to natural disasters, technical disruptions and man-made events that could severely disrupt the normal operation of our business and adversely affect our business, results of operation and financial condition.</w:t>
      </w:r>
    </w:p>
    <w:p>
      <w:pPr>
        <w:spacing w:after="0" w:line="62"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Our operations centers and our data and voice communications, particularly in India and the Philippines, may be damaged or disrupted as a result of natural disasters such as earthquakes, floods, heavy rains, epidemics, tsunamis and cyclones, technical disruptions such as electricity or infrastructure breakdowns, including damage to telecommunications cables, computer glitches and electronic viruses or man-made events such as protests,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riots and labor unrest. Such events may lead to the disruption of information systems and telecommunication services for sustained periods. They also may make it difficult or impossible for employees to reach our business locations.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and financial condition.</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62"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Our primary operating subsidiaries are organized outside the U.S. and a number of our executive officers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Our corporate headquarters are located in New York, New York. We have sixteen operations centers in India, three operations centers in the Philippines and one operations center in each of Bulgaria, Romania, the Czech Republic and Malaysia, with an aggregate area of approximately 1,610,000 square feet and a current installed capacity of approximately 23,200 agent workstations. We also have six operations centers in the U.S. and a sales office in London, U.K.</w:t>
      </w:r>
    </w:p>
    <w:p>
      <w:pPr>
        <w:ind w:right="40"/>
        <w:spacing w:after="0" w:line="254" w:lineRule="auto"/>
        <w:rPr>
          <w:sz w:val="20"/>
          <w:szCs w:val="20"/>
          <w:color w:val="auto"/>
        </w:rPr>
      </w:pPr>
      <w:r>
        <w:rPr>
          <w:rFonts w:ascii="Arial" w:cs="Arial" w:eastAsia="Arial" w:hAnsi="Arial"/>
          <w:sz w:val="18"/>
          <w:szCs w:val="18"/>
          <w:color w:val="auto"/>
        </w:rPr>
        <w:t>Our networking and telecommunication hubs are located in Sunnyvale, California, Jersey City, New Jersey and New York, New York. Substantially all of our operations centers are leased under long-term leases with varying expiration dates, except for an operations center in Pune, India with an area of 86,361 sq. ft. and containing approximately 1,600 agent workstations, which we own. We do not have the option under our present lease agreements to buy any of our leased properties.</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consolidated financial statements for details regarding our tax proceedings.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2940" w:type="dxa"/>
            <w:vAlign w:val="bottom"/>
          </w:tcPr>
          <w:p>
            <w:pPr>
              <w:spacing w:after="0"/>
              <w:rPr>
                <w:sz w:val="14"/>
                <w:szCs w:val="14"/>
                <w:color w:val="auto"/>
              </w:rPr>
            </w:pP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142"/>
        </w:trPr>
        <w:tc>
          <w:tcPr>
            <w:tcW w:w="4040" w:type="dxa"/>
            <w:vAlign w:val="bottom"/>
            <w:gridSpan w:val="2"/>
            <w:vMerge w:val="continue"/>
          </w:tcPr>
          <w:p>
            <w:pPr>
              <w:spacing w:after="0"/>
              <w:rPr>
                <w:sz w:val="12"/>
                <w:szCs w:val="12"/>
                <w:color w:val="auto"/>
              </w:rPr>
            </w:pPr>
          </w:p>
        </w:tc>
        <w:tc>
          <w:tcPr>
            <w:tcW w:w="29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6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30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440" w:type="dxa"/>
            <w:vAlign w:val="bottom"/>
            <w:gridSpan w:val="2"/>
          </w:tcPr>
          <w:p>
            <w:pPr>
              <w:jc w:val="center"/>
              <w:ind w:left="2810"/>
              <w:spacing w:after="0"/>
              <w:rPr>
                <w:sz w:val="20"/>
                <w:szCs w:val="20"/>
                <w:color w:val="auto"/>
              </w:rPr>
            </w:pPr>
            <w:r>
              <w:rPr>
                <w:rFonts w:ascii="Arial" w:cs="Arial" w:eastAsia="Arial" w:hAnsi="Arial"/>
                <w:sz w:val="18"/>
                <w:szCs w:val="18"/>
                <w:color w:val="auto"/>
                <w:w w:val="90"/>
              </w:rPr>
              <w:t>$32.97</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440" w:type="dxa"/>
            <w:vAlign w:val="bottom"/>
            <w:gridSpan w:val="2"/>
            <w:shd w:val="clear" w:color="auto" w:fill="CCEEFF"/>
          </w:tcPr>
          <w:p>
            <w:pPr>
              <w:jc w:val="center"/>
              <w:ind w:left="2810"/>
              <w:spacing w:after="0"/>
              <w:rPr>
                <w:sz w:val="20"/>
                <w:szCs w:val="20"/>
                <w:color w:val="auto"/>
              </w:rPr>
            </w:pPr>
            <w:r>
              <w:rPr>
                <w:rFonts w:ascii="Arial" w:cs="Arial" w:eastAsia="Arial" w:hAnsi="Arial"/>
                <w:sz w:val="18"/>
                <w:szCs w:val="18"/>
                <w:color w:val="auto"/>
                <w:w w:val="90"/>
              </w:rPr>
              <w:t>$32.86</w:t>
            </w:r>
          </w:p>
        </w:tc>
        <w:tc>
          <w:tcPr>
            <w:tcW w:w="11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$28.56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440" w:type="dxa"/>
            <w:vAlign w:val="bottom"/>
            <w:gridSpan w:val="2"/>
          </w:tcPr>
          <w:p>
            <w:pPr>
              <w:jc w:val="center"/>
              <w:ind w:left="2810"/>
              <w:spacing w:after="0"/>
              <w:rPr>
                <w:sz w:val="20"/>
                <w:szCs w:val="20"/>
                <w:color w:val="auto"/>
              </w:rPr>
            </w:pPr>
            <w:r>
              <w:rPr>
                <w:rFonts w:ascii="Arial" w:cs="Arial" w:eastAsia="Arial" w:hAnsi="Arial"/>
                <w:sz w:val="18"/>
                <w:szCs w:val="18"/>
                <w:color w:val="auto"/>
                <w:w w:val="90"/>
              </w:rPr>
              <w:t>$30.89</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440" w:type="dxa"/>
            <w:vAlign w:val="bottom"/>
            <w:gridSpan w:val="2"/>
            <w:shd w:val="clear" w:color="auto" w:fill="CCEEFF"/>
          </w:tcPr>
          <w:p>
            <w:pPr>
              <w:jc w:val="center"/>
              <w:ind w:left="2810"/>
              <w:spacing w:after="0"/>
              <w:rPr>
                <w:sz w:val="20"/>
                <w:szCs w:val="20"/>
                <w:color w:val="auto"/>
              </w:rPr>
            </w:pPr>
            <w:r>
              <w:rPr>
                <w:rFonts w:ascii="Arial" w:cs="Arial" w:eastAsia="Arial" w:hAnsi="Arial"/>
                <w:sz w:val="18"/>
                <w:szCs w:val="18"/>
                <w:color w:val="auto"/>
                <w:w w:val="90"/>
              </w:rPr>
              <w:t>$31.42</w:t>
            </w:r>
          </w:p>
        </w:tc>
        <w:tc>
          <w:tcPr>
            <w:tcW w:w="11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$22.98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30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40" w:type="dxa"/>
            <w:vAlign w:val="bottom"/>
            <w:gridSpan w:val="2"/>
            <w:shd w:val="clear" w:color="auto" w:fill="CCEEFF"/>
          </w:tcPr>
          <w:p>
            <w:pPr>
              <w:jc w:val="center"/>
              <w:ind w:left="2810"/>
              <w:spacing w:after="0"/>
              <w:rPr>
                <w:sz w:val="20"/>
                <w:szCs w:val="20"/>
                <w:color w:val="auto"/>
              </w:rPr>
            </w:pPr>
            <w:r>
              <w:rPr>
                <w:rFonts w:ascii="Arial" w:cs="Arial" w:eastAsia="Arial" w:hAnsi="Arial"/>
                <w:sz w:val="18"/>
                <w:szCs w:val="18"/>
                <w:color w:val="auto"/>
                <w:w w:val="90"/>
              </w:rPr>
              <w:t>$28.85</w:t>
            </w:r>
          </w:p>
        </w:tc>
        <w:tc>
          <w:tcPr>
            <w:tcW w:w="11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$21.47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440" w:type="dxa"/>
            <w:vAlign w:val="bottom"/>
            <w:gridSpan w:val="2"/>
          </w:tcPr>
          <w:p>
            <w:pPr>
              <w:jc w:val="center"/>
              <w:ind w:left="2810"/>
              <w:spacing w:after="0"/>
              <w:rPr>
                <w:sz w:val="20"/>
                <w:szCs w:val="20"/>
                <w:color w:val="auto"/>
              </w:rPr>
            </w:pPr>
            <w:r>
              <w:rPr>
                <w:rFonts w:ascii="Arial" w:cs="Arial" w:eastAsia="Arial" w:hAnsi="Arial"/>
                <w:sz w:val="18"/>
                <w:szCs w:val="18"/>
                <w:color w:val="auto"/>
                <w:w w:val="90"/>
              </w:rPr>
              <w:t>$28.25</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40" w:type="dxa"/>
            <w:vAlign w:val="bottom"/>
            <w:gridSpan w:val="2"/>
            <w:shd w:val="clear" w:color="auto" w:fill="CCEEFF"/>
          </w:tcPr>
          <w:p>
            <w:pPr>
              <w:jc w:val="center"/>
              <w:ind w:left="2810"/>
              <w:spacing w:after="0"/>
              <w:rPr>
                <w:sz w:val="20"/>
                <w:szCs w:val="20"/>
                <w:color w:val="auto"/>
              </w:rPr>
            </w:pPr>
            <w:r>
              <w:rPr>
                <w:rFonts w:ascii="Arial" w:cs="Arial" w:eastAsia="Arial" w:hAnsi="Arial"/>
                <w:sz w:val="18"/>
                <w:szCs w:val="18"/>
                <w:color w:val="auto"/>
                <w:w w:val="90"/>
              </w:rPr>
              <w:t>$29.71</w:t>
            </w:r>
          </w:p>
        </w:tc>
        <w:tc>
          <w:tcPr>
            <w:tcW w:w="110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0"/>
              </w:rPr>
              <w:t>$22.67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440" w:type="dxa"/>
            <w:vAlign w:val="bottom"/>
            <w:gridSpan w:val="2"/>
          </w:tcPr>
          <w:p>
            <w:pPr>
              <w:jc w:val="center"/>
              <w:ind w:left="2810"/>
              <w:spacing w:after="0"/>
              <w:rPr>
                <w:sz w:val="20"/>
                <w:szCs w:val="20"/>
                <w:color w:val="auto"/>
              </w:rPr>
            </w:pPr>
            <w:r>
              <w:rPr>
                <w:rFonts w:ascii="Arial" w:cs="Arial" w:eastAsia="Arial" w:hAnsi="Arial"/>
                <w:sz w:val="18"/>
                <w:szCs w:val="18"/>
                <w:color w:val="auto"/>
                <w:w w:val="90"/>
              </w:rPr>
              <w:t>$30.10</w:t>
            </w:r>
          </w:p>
        </w:tc>
        <w:tc>
          <w:tcPr>
            <w:tcW w:w="11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$25.87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24, 2014, there were 24 holders of record of our outstanding common stock.</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On November 7, 2013, the Company announced that its Board of Directors authorized a $25 million common stock repurchase program (the “2013 Repurchase Program”), under which shares may be purchased by the Company from time to time on the open market and through private transactions. The 2013 Repurchase Program does not have an expiration date. Repurchased shares under this program have been recorded as treasury shares and will be held until our board of directors designates that these shares be retired or used for other purposes.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December 31, 2013, purchases of common stock pursuant to the 2013 Repurchase Program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54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540" w:type="dxa"/>
            <w:vAlign w:val="bottom"/>
            <w:gridSpan w:val="3"/>
            <w:vMerge w:val="restart"/>
          </w:tcPr>
          <w:p>
            <w:pPr>
              <w:jc w:val="center"/>
              <w:ind w:right="108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per Share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(including</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2013 Repurchase</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25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2"/>
              </w:rPr>
              <w:t>Purchased (a)</w:t>
            </w:r>
          </w:p>
        </w:tc>
        <w:tc>
          <w:tcPr>
            <w:tcW w:w="14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commissions)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2013 through October 31, 2013</w:t>
            </w:r>
          </w:p>
        </w:tc>
        <w:tc>
          <w:tcPr>
            <w:tcW w:w="25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November 1, 2013 through November 30, 2013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365,444</w:t>
            </w:r>
          </w:p>
        </w:tc>
        <w:tc>
          <w:tcPr>
            <w:tcW w:w="10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25.26</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2013 through December 31, 2013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455,405</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26.35</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820,849</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620" w:right="1020" w:hanging="5612"/>
        <w:spacing w:after="0" w:line="449"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acquired under the 2013 Repurchase Program for an aggregate purchase price of $21,228,848 (including commissions). 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During the year ended December 31, 2013, we also acquired 13,018 shares of common stock from employees in connection with withholding tax payments related to the vesting of restricted stock for a total consideration of $389,058. The weighted average purchase price of $29.89 per share was the average of the high and low price of our common stock on the Nasdaq Global Select Market on the trading day prior to the vesting date of the shares of restricted stock. The shares acquired are held as treasury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following table provides information as of December 31, 2013 with respect to the shares of our common stock that may be issued under our existing equity compensation plans. For a description of our equity compensation plans, please see Note 13 to our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000" w:type="dxa"/>
            <w:vAlign w:val="bottom"/>
          </w:tcPr>
          <w:p>
            <w:pPr>
              <w:spacing w:after="0"/>
              <w:rPr>
                <w:sz w:val="12"/>
                <w:szCs w:val="12"/>
                <w:color w:val="auto"/>
              </w:rPr>
            </w:pPr>
          </w:p>
        </w:tc>
        <w:tc>
          <w:tcPr>
            <w:tcW w:w="20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Exercise/Vesting of</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3"/>
              </w:rPr>
              <w:t>Price of</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Equity Awards*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Options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82"/>
        </w:trPr>
        <w:tc>
          <w:tcPr>
            <w:tcW w:w="5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that have been approved by security</w:t>
            </w:r>
          </w:p>
        </w:tc>
        <w:tc>
          <w:tcPr>
            <w:tcW w:w="1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16.25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1,824,149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3,212,957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16.25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This includes Outstanding options and unvested Restricted Stock Units. Refer to Note 13 to our consolidated financial statements for further details.</w:t>
      </w:r>
    </w:p>
    <w:p>
      <w:pPr>
        <w:spacing w:after="0" w:line="180" w:lineRule="exact"/>
        <w:rPr>
          <w:rFonts w:ascii="Arial" w:cs="Arial" w:eastAsia="Arial" w:hAnsi="Arial"/>
          <w:sz w:val="16"/>
          <w:szCs w:val="16"/>
          <w:b w:val="1"/>
          <w:bCs w:val="1"/>
          <w:color w:val="auto"/>
        </w:rPr>
      </w:pPr>
    </w:p>
    <w:p>
      <w:pPr>
        <w:ind w:left="5620"/>
        <w:spacing w:after="0"/>
        <w:rPr>
          <w:rFonts w:ascii="Arial" w:cs="Arial" w:eastAsia="Arial" w:hAnsi="Arial"/>
          <w:sz w:val="16"/>
          <w:szCs w:val="16"/>
          <w:b w:val="1"/>
          <w:bCs w:val="1"/>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graph compares the cumulative total stockholder return on our common stock with the cumulative total return of the Nasdaq 100 Index (capitalization weighted) and our peer group of companies for the period beginning October 20, 2006.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135890</wp:posOffset>
            </wp:positionV>
            <wp:extent cx="5188585" cy="3009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8858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of 1933, as amended, or the Exchange Act.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following table sets forth our selected consolidated historical financial data as of the dates and for the periods indicated. Our selected consolidated financial data set forth below as of December 31, 2013 and 2012 and for each of the three years in the period ended December 31, 2013 has been derived from our consolidated financial statements included elsewhere in this Annual Report on Form 10-K. Our selected consolidated financial data set forth below as of December 31, 2011, 2010 and 2009 and for years ended December 31, 2010 and 2009 is derived from our audited financial statements, which are not included in this Annual Report on Form 10-K. Our selected consolidated financial information for 2013, 2012 and 2011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gridSpan w:val="9"/>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(in millions, except share and per share data)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478.5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442.9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360.5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252.8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revenues (exclusive of depreciation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271.9</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32,750,178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31,968,386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30,264,805</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29,281,364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28,963,770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33,842,938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33,171,105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31,546,144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30,388,520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29,417,910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148.1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463.4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long term obligations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366.2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344.5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248.5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means total current assets less total current liabilities</w:t>
      </w:r>
    </w:p>
    <w:p>
      <w:pPr>
        <w:spacing w:after="0" w:line="23"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long term obligations include unrecognized tax benefits, retirement benefits, capital leases, deferred rent and unrealized losses on effective cash flow hedges.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This Annual Report on Form 10-K, and oral statements made from time to time by our representatives, may contain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and the impact of the termination of the Services Agreement with Travelers. These statements may also include those with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8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regarding the impact of the termination of the Services Agreement with Travelers;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 looking statements in this Annual Report on Form 10-K.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forward looking statements made by us in this Annual Report on Form 10-K, or elsewhere, speaks only as of the date on which they were made. New risks and uncertainties come up from time to time, and it is impossible for us to predict these events or how they may affect us. We have no obligation to update any forward looking statements in this Annual Report on Form 10-K after the date of this Annual Report on Form 10-K,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 leading provider of business process solutions, utilizing operations management, analytics and technology. We use our focused industry and process expertise to create a positive business impact on our clients’ operations. We customize our services to improve the economics of our clients’ business performance and transform organizations to be leaner and more flexible. We break our business into two segments: outsourcing and transformation services. Our outsourcing services provide front-, middle- and back-office processing for our clients, who are primarily Global 1000 Companies. We also offer a number of transformation services including decision analytics, finance transformation and operations consulting services.</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global delivery network, comprising of highly trained industry and process specialists across the United States, Europe and Asia, is a key asset. We operate sixteen operations centers in India, six operations centers in the U.S., three operations centers in the Philippines and one operations center in each of Bulgaria, Romania, Malaysia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the year ended December 31, 2013, we had total revenues of $478.5 million compared to total revenues of $442.9 million for the year ended December 31, 2012, an increase of $35.6 million or 8.0%. Revenues from outsourcing services increased from $366.8 million for the year ended December 31, 2012 to $395.0 million for the year ended December 31, 2013. Revenues from transformation services increased from $76.1 million for the year ended December 31, 2012 to $83.5 million for the year ended December 31, 2013.</w:t>
      </w: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serve clients mainly in the U.S. and the U.K., with these two regions generating approximately 73.8% and 19.4%, respectively, of our total revenues for the year ended December 31, 2013 and approximately 72.3% and 20.2%, respectively, of our total revenues for the year ended December 31, 2012.</w:t>
      </w:r>
    </w:p>
    <w:p>
      <w:pPr>
        <w:spacing w:after="0" w:line="12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years ended December 31, 2013 and 2012, our total revenues from our top ten clients accounted for 57.9% and 59.1% of our total revenues, respectively. None of the clients accounted for more than 10% of our total revenues in the year ended December 31, 2013, compared to one client in the year ended December 31, 2012. Although we are increasing and diversifying our customer base, we expect in the near future that a significant portion of our revenues will continue to be contributed by a limited number of large clients. We derived revenues from 22 and 38 new clients for our services in the years ended December 31, 2013 and 2012, respectively. In addition, another two clients acquired during the year 2013 did not generate revenues in 2013 but are expected to start generating revenues from 2014.</w:t>
      </w:r>
    </w:p>
    <w:p>
      <w:pPr>
        <w:spacing w:after="0" w:line="1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November 1, 2013, we received a Termination Notice from Travelers under the Services Agreement. Travelers represented 9.7% of our total revenues for the year ended December 31, 2013. While this termination did not have a material impact on our calendar year 2013 revenues, we do estimate a reduction in 2014 revenues of between $12 million and $20 million due to certain services we currently provide to Travelers being transitioned away from us throughout 2014. In addition, we expect that we will reimburse Travelers for certain of their expenses incurred in connection with the termination, which will further reduce our revenues in 2014. We also expect that we will provide certain disentanglement services to Travelers at our expense during the Transition Period, which will increase our expenses in 2014. We are still discussing the termination process with Travelers and, as a result, at this point cannot reasonably estimate the total amount of reimbursements we may make to Travelers or what internal costs we will incur as a result of the termination.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break our business into two segments: Outsourcing Services and Transformation Services. We market our services to our existing and prospective clients through our sales and client management teams, which are aligned by key industry verticals and cross-industry domains such as finance and accounting. Our sales and client management teams operate from the U.S. and Europe.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Outsourcing Services: </w:t>
      </w:r>
      <w:r>
        <w:rPr>
          <w:rFonts w:ascii="Arial" w:cs="Arial" w:eastAsia="Arial" w:hAnsi="Arial"/>
          <w:sz w:val="18"/>
          <w:szCs w:val="18"/>
          <w:color w:val="auto"/>
        </w:rPr>
        <w:t>We provide our clients with a range of outsourcing services principally in the insurance, healthcare, utilities, banking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and travel, transportation and logistics sectors, as well as cross-industry outsourcing services, such as finance and accounting services. We serve primarily the needs of Global 1000 companies in these sectors.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outsourcing services involve the transfer to us of select business operations of a client, such as claims processing, policy administration and finance and accounting, after which we administer and manage the operations for our client on an ongoing basis.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most outsourcing services,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recently been observing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9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Within our outsourcing services, we also offer platform technology services by use of our proprietary technology tools and platforms to provide increasingly complex services for our insurance and healthcare clients. We have added these capabilities through acquisitions over the last few years. Key platform technology offerings include CareRadius</w:t>
      </w:r>
      <w:r>
        <w:rPr>
          <w:rFonts w:ascii="Arial" w:cs="Arial" w:eastAsia="Arial" w:hAnsi="Arial"/>
          <w:sz w:val="13"/>
          <w:szCs w:val="13"/>
          <w:color w:val="auto"/>
        </w:rPr>
        <w:t>®</w:t>
      </w:r>
      <w:r>
        <w:rPr>
          <w:rFonts w:ascii="Arial" w:cs="Arial" w:eastAsia="Arial" w:hAnsi="Arial"/>
          <w:sz w:val="16"/>
          <w:szCs w:val="16"/>
          <w:color w:val="auto"/>
        </w:rPr>
        <w:t xml:space="preserve"> and MaxMC</w:t>
      </w:r>
      <w:r>
        <w:rPr>
          <w:rFonts w:ascii="Arial" w:cs="Arial" w:eastAsia="Arial" w:hAnsi="Arial"/>
          <w:sz w:val="13"/>
          <w:szCs w:val="13"/>
          <w:color w:val="auto"/>
        </w:rPr>
        <w:t>®</w:t>
      </w:r>
      <w:r>
        <w:rPr>
          <w:rFonts w:ascii="Arial" w:cs="Arial" w:eastAsia="Arial" w:hAnsi="Arial"/>
          <w:sz w:val="16"/>
          <w:szCs w:val="16"/>
          <w:color w:val="auto"/>
        </w:rPr>
        <w:t xml:space="preserve"> (each of which are healthcare management software platforms for health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insurers and providers), LifePRO</w:t>
      </w:r>
      <w:r>
        <w:rPr>
          <w:rFonts w:ascii="Arial" w:cs="Arial" w:eastAsia="Arial" w:hAnsi="Arial"/>
          <w:sz w:val="15"/>
          <w:szCs w:val="15"/>
          <w:color w:val="auto"/>
        </w:rPr>
        <w:t>®</w:t>
      </w:r>
      <w:r>
        <w:rPr>
          <w:rFonts w:ascii="Arial" w:cs="Arial" w:eastAsia="Arial" w:hAnsi="Arial"/>
          <w:sz w:val="18"/>
          <w:szCs w:val="18"/>
          <w:color w:val="auto"/>
        </w:rPr>
        <w:t xml:space="preserve"> (an insurance policy administration platform) and SubroSource ™ (a subrogation services platform for property and casualty insurers). Depending on the platform, the fees derived from our platform technologies may be based on licenses, installation, support and maintenance, and/or recoveries from claims. We believe our proprietary platform technology will be an important source of growth in the future as clients choose to transfer certain business functions to a third-party-owned technology provider.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short term.</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anticipate that revenues from our outsourcing services will grow as we expand our service offerings and client base, both organically and through acquisitions.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Transformation Services: </w:t>
      </w:r>
      <w:r>
        <w:rPr>
          <w:rFonts w:ascii="Arial" w:cs="Arial" w:eastAsia="Arial" w:hAnsi="Arial"/>
          <w:sz w:val="18"/>
          <w:szCs w:val="18"/>
          <w:color w:val="auto"/>
        </w:rPr>
        <w:t>Our transformation services offer positive business change for our clients. By utilizing sophisticated tools and techniques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trained analysts we (i) provide insight into our clients’ current and future financial and operational results using analytics, (ii) improve clients’ operating environments through cost reduction and increased efficiency and productivity initiatives and (iii) enhance the risk and control environments within our clients’ operations, whether or not those operations are outsourced to us. Our key areas of transformation services are decision analytics, finance transformation and operations and process excellence consulting.</w:t>
      </w:r>
    </w:p>
    <w:p>
      <w:pPr>
        <w:spacing w:after="0" w:line="18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transformation services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transformation services can be significantly affected by variations in business cycles. We have experienced a significant increase in demand for our annuity-based transformation services, which are engagements that are contracted for one- to three-year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131" w:lineRule="exact"/>
        <w:rPr>
          <w:sz w:val="20"/>
          <w:szCs w:val="20"/>
          <w:color w:val="auto"/>
        </w:rPr>
      </w:pPr>
    </w:p>
    <w:p>
      <w:pPr>
        <w:ind w:left="900" w:right="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costs, which include salary, bonus and other compensation expenses; recruitment and training costs; employee insurance; transport and meals; rewards and recognition for certain employees; and non-cash stock compensation expense; and</w:t>
      </w:r>
    </w:p>
    <w:p>
      <w:pPr>
        <w:spacing w:after="0" w:line="75"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relating to our facilities and communications network, which include telecommunication and IT costs; facilities and customer management support; operational expenses for our outsourcing centers; rent expenses; and travel and other billable costs to our clients.</w:t>
      </w:r>
    </w:p>
    <w:p>
      <w:pPr>
        <w:spacing w:after="0" w:line="14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most significant components of our cost of revenues are employee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8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See “Item 1A—Risk Factors—Employee wage increases may prevent us from sustaining our competitive advantage and may reduce our profit margin.”</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general and administrative expenses are comprised of expenses relating to salaries of senior management and other support personnel, legal and other professional fees, telecommunications, utilities, travel and other miscellaneous administrative costs. Selling and marketing expenses primarily consist of salaries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 We also expect our costs to increase as we continue to strengthen our support and enabling functions and invest in leadership development, performance management and training programs. However, our SG&amp;A as a percentage of revenues has remained flat at 19.9% in 2013 as compared to 2012, as decreases due to operating leverage were offset by our acquisition in 2012. SG&amp;A expenses also include acquisition-related costs, professional fees (which represent the costs of third party legal, tax, accounting and other advisors), bad debt allowance and non-cash amortization of stock compensation expenses related to our issuance of equity awards to senior management, members of our board of directors, other support personnel and consultants.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report our financial results in U.S. dollars. A significant portion of our total revenues, however, are earned in U.K. pounds sterling (19.4%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20.2%, respectively, of our total revenues for the years ended December 31, 2013 and 2012) while a significant portion of our expenses are incurred and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Indian rupees (51.7% and 55.2%, respectively, of our total costs for the years ended December 31, 2013 and 2012) and the Philippine peso (9.3% and</w:t>
      </w:r>
    </w:p>
    <w:p>
      <w:pPr>
        <w:spacing w:after="0" w:line="3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7.2%, respectively, of our total costs for the years ended December 31, 2013 and 2012). The exchange rates among the Indian rupee, the Philippine peso, the U.K. pound sterling, Czech koruna and the U.S. dollar have changed substantially in recent years and may fluctuate substantially in the future as well. The results of our operations could be substantially impacted as the Indian rupee and U.K. pound sterling appreciate or depreciate against the U.S. dollar. See Notes 2 and 7 to our consolidated financial statements and “Item 7A—Quantitative and Qualitative Disclosures about Market Risk—Foreign Currency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According to the prevailing foreign exchange regulations in India, an exporter of outsourcing and transformation services that is registered with a software technology park in India, such as our Indian subsidiaries in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those subsidiaries in India did not meet these conditions, they would be required to obtain permission from the Reserve Bank of India.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benefitted through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2013, was 33.99%.</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last five years, we either established or acquired new centers that are eligible for tax benefits under the Special Economic Zones Act. The Special Economic Zones Act introduced a 15-year tax holiday scheme for operations established in designated special economic zones (“SEZs”). Under the Special Economic Zones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Special Economic Zones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pacing w:after="0" w:line="16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Direct Taxes Code proposed by the Government of India and currently pending before the Indian Parliament proposes grandfathering the existing profit-based tax benefits for operations centers in SEZs already receiving such tax benefits. The Direct Taxes Code also proposes discontinuing profit-based incentives for operations centers in SEZs set up after March 31, 2014 and replaces them with investment-based incentives for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operations centers in SEZs established after that date. However, the bill is still pending before the Parliament and owing to ensuing general elections and the fact that the Parliament is not scheduled to be in sessions before the general elections, there is a remote possibility that the Direct Taxes Code will be legislated before that date. Accordingly, we expect to continue receiving the benefit of tax deductions for our existing operations centers in SEZs pursuant to the current regulations beyond the currently proposed March 31, 2014 sunset date. If the Direct Taxes Code is enacted into law before that date and if this grandfathering does not happen under the Direct Taxes Code, our operations centers in SEZs may not receive profit-based tax benefits and our overall tax rate may increase over the next few years and that such increase may have a material adverse effect on our business, results of operations and financial condition.</w:t>
      </w:r>
    </w:p>
    <w:p>
      <w:pPr>
        <w:spacing w:after="0" w:line="1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also benefit from a corporate tax holiday in the Philippines for our operations centers established there over the last five years. The tax holiday will expire for one of our centers in 2014 and for remaining centers, the tax holiday will expire over the next few years which may lead to an increase in our overall tax rate.</w:t>
      </w:r>
    </w:p>
    <w:p>
      <w:pPr>
        <w:spacing w:after="0" w:line="18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discussion and analysis of our financial condition and results of operations are based upon the financial statements included in this Annual Report on Form 10-K, which have been prepared in accordance with generally accepted accounting principles in the U.S (“US GAAP”).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goodwill, intangibles and long-lived assets, derivative instruments and assets and obligations related to employee benefit plans. These accounting policies and the associated risks are set out below. Future events may not develop exactly as forecast and estimates routinely require adjustment.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derive our revenues from outsourcing and transformation services. Revenues from outsourcing services are recognized primarily on a time-and-material, cost-plus or unit-priced basis; revenues from transformation services are recognized primarily on a time-and-material, fixed price or contingent fee basis. The services provided within our outsourcing and transformation contracts generally contain one unit of accounting except the information technology contracts involving complex implementation services and post contract maintenance services. Revenues are recognized under our contracts generally when persuasive evidence of an arrangement exists, the sales price is fixed or determinable, services have been performed and collection of amounts billed is reasonably assured.</w:t>
      </w:r>
    </w:p>
    <w:p>
      <w:pPr>
        <w:spacing w:after="0" w:line="19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agreed-upon profit markup.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Revenues for our fixed-price transformation services contracts are recognized using the proportional performance method when the pattern of performance under the contracts can be reasonably determined. We estimate the proportional performance of a contract by comparing the actual number of hours or days worked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Revenues from software licensing arrangements, which does not involve significant production, modification, or customization of software, are recognized at the later of time of delivery or expiration of significant termination rights as long as other revenue recognition criteria (mentioned above) are met. When there are significant production modifications or customization, installation, systems integration or related services, the professional services and license revenues are combined as a single unit of account and maintenance services, if any, as a separate unit of account and the total contract fees are allocated among the two based on a residual value method. Revenues related to license fees and complex information technology application development services are recognized as the service is performed using the percentage of completion method of accounting, under which the total value of revenue is recognized on the basis of the percentage that each contract’s total labor hours to date bears to the total expected labor hours (input method). Revenues related to maintenance services contracts, whether entered into solely for providing such services or are segregated from a multiple-element contract, are recognized on a straight-line basis over the contract term unless revenues are earned and obligations are fulfilled in a different pattern.</w:t>
      </w:r>
    </w:p>
    <w:p>
      <w:pPr>
        <w:spacing w:after="0" w:line="167"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We make accruals for revenues and receivables for services rendered between the last billing date and the balance sheet date. Accordingly, our accounts receivable include amounts for services that we have performed and for which an invoice has not yet been issued to the client. These are included in accounts receivable on our consolidated balance sheet and the amounts are disclosed in the notes to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purchase method of accounting is used for all business combinations. We account for our business combinations by recognizing the identifiable tangible and intangible assets and liabilities assumed, and non-controlling interest in the acquired business, measured at their acquisition date fair values. All assets and liabilities of the acquired business including goodwill are assigned to reporting units. Acquisition related costs are expensed as incurred under SG&amp;A expenses. We evaluate goodwill for impairment at least annually, or as circumstances warrant. When determining the fair value of our reporting units, we utilize various assumptions, including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Under the fair value recognition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No. 718), cost is measured at the grant date, based on the fair value of the award and is amortized on a straight-line basis over the requisite service periods of the awards, which is generally the vesting periods. Determining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In order to determine the estimated period of time that we expect employees to hold their share-based options, we have used data on the historical exercise pattern of employees. We use the historical volatility of our common stock and the volatility of stocks of our comparative companies in order to estimate future share price trends. We use historical data to estimate pre-vesting option forfeitures and record stock-based compensation expense only for those awards that are expected to vest.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If the actual forfeiture rate differs significantly from our estimates, our stock-based compensation expense and our results of operations could be materially impacted.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hedging arrangements, authorized under our policies, with counterparties that are highly rated financial institutions. Our primary exchange rate exposure is with the U.K. pound sterling and the Indian rupee. We also have exposure in Philippine peso, Czech koruna and other local currencies where we operate.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w:t>
      </w:r>
    </w:p>
    <w:p>
      <w:pPr>
        <w:spacing w:after="0" w:line="19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hedge anticipated transactions that are subject to foreign exchange exposure with foreign currency exchange contracts that qualify as cash flow hedges. Changes in the fair value of these cash flow hedges which are deemed effective are deferred and recorded as a component of accumulated other comprehensive income/(loss), net of tax until the hedged transactions occur and are then recognized in the consolidated statements of income. Changes in the fair value of cash flow hedges deemed ineffective are recognized in the consolidated statement of income and are included in foreign exchange gain/(loss).</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also use derivatives consisting of foreign currency exchange contracts to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evaluate hedge effectiveness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utilize the asset and liability method of accounting for income taxes.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estimates of future taxable income.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9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potential additional tax assessments.</w:t>
      </w:r>
    </w:p>
    <w:p>
      <w:pPr>
        <w:spacing w:after="0" w:line="188"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generally anticipate that we will indefinitely reinvest the undistributed earnings of our foreign subsidiaries. Accordingly, we do not accrue any material income, distribution or withholding taxes that would otherwise arise if such earnings were repatriated in a taxable manner.</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provision for income tax expense also takes into account any interest or penalties related to unrecognized tax benefits.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provide our employees in India and the Philippines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If actual results differ significantly from our estimates, our gratuity expense and our results of operations could be materially impacted.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2013, 2012 and 2011: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88"/>
              </w:rPr>
              <w:t>478.5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442.9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360.5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3"/>
              </w:rPr>
              <w:t>Cost of revenues (exclusive of depreciation and amortization)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291.0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271.9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220.0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171.0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140.5</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Selling and marketing expenses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rPr>
              <w:t>36.4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113.8</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income/(expense):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(loss)/gain</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Interest and other income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 provision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280" w:type="dxa"/>
            <w:vAlign w:val="bottom"/>
            <w:vMerge w:val="restart"/>
          </w:tcPr>
          <w:p>
            <w:pPr>
              <w:jc w:val="right"/>
              <w:ind w:right="1890"/>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r>
      <w:tr>
        <w:trPr>
          <w:trHeight w:val="142"/>
        </w:trPr>
        <w:tc>
          <w:tcPr>
            <w:tcW w:w="4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2"/>
                <w:szCs w:val="12"/>
                <w:color w:val="auto"/>
              </w:rPr>
            </w:pPr>
          </w:p>
        </w:tc>
        <w:tc>
          <w:tcPr>
            <w:tcW w:w="118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r>
      <w:tr>
        <w:trPr>
          <w:trHeight w:val="142"/>
        </w:trPr>
        <w:tc>
          <w:tcPr>
            <w:tcW w:w="4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(dollars in millions)</w:t>
            </w:r>
          </w:p>
        </w:tc>
        <w:tc>
          <w:tcPr>
            <w:tcW w:w="4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$ 28.2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83.5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76.1</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7.4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7"/>
        </w:trPr>
        <w:tc>
          <w:tcPr>
            <w:tcW w:w="4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$ 35.6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increase in revenues from outsourcing services of $28.2 million was primarily driven by increased revenues of $17.2 million from the Landacorp acquisition in 2012 and net volume increases from existing and new clients aggregating to $22.8 million. These increases were partially offset by a decrease in revenues of $11.4 million, primarily due to the depreciation of the Indian rupee against the U.S. dollar during the year ended December 31, 2013 compared to the year ended December 31, 2012 and $0.4 million due to reimbursement to Travelers for certain of their expenses incurred in connection with the termination.</w:t>
      </w:r>
    </w:p>
    <w:p>
      <w:pPr>
        <w:spacing w:after="0" w:line="188"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The increase in revenues from transformation services was primarily due to combination of increased revenues in recurring or annuity decision analytics services and an increase in project-based engagements both in our decision analytics and finance transformation services. Revenues from new clients for transformation services were $3.0 million and $9.4 million during the year ended December 31, 2013 and 2012,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2013</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354"/>
              <w:spacing w:after="0" w:line="142" w:lineRule="exact"/>
              <w:rPr>
                <w:sz w:val="20"/>
                <w:szCs w:val="20"/>
                <w:color w:val="auto"/>
              </w:rPr>
            </w:pPr>
            <w:r>
              <w:rPr>
                <w:rFonts w:ascii="Arial" w:cs="Arial" w:eastAsia="Arial" w:hAnsi="Arial"/>
                <w:sz w:val="14"/>
                <w:szCs w:val="14"/>
                <w:b w:val="1"/>
                <w:bCs w:val="1"/>
                <w:color w:val="auto"/>
              </w:rPr>
              <w:t>(dollars in millions)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442.9</w:t>
            </w:r>
          </w:p>
        </w:tc>
        <w:tc>
          <w:tcPr>
            <w:tcW w:w="15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$ 35.6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Cost of revenues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w:t>
            </w:r>
          </w:p>
        </w:tc>
        <w:tc>
          <w:tcPr>
            <w:tcW w:w="7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171.0</w:t>
            </w:r>
          </w:p>
        </w:tc>
        <w:tc>
          <w:tcPr>
            <w:tcW w:w="15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$ 16.5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increase in cost of revenues was primarily due to an increase in employee-related costs of $30.8 million as a result of an increase in the number of our personnel directly involved in providing services to our clients, including $5.9 million of employee-related costs related to the Landacorp acquisition. We also experienced an increase in facilities, technology and other operating expenses of $6.4 million (primarily due to the Landacorp acquisition and new operations centers to support business growth). These increases were partially offset by a decrease of $17.9 million due to the depreciation of the Indian rupee and the Philippine peso against the U.S. dollar during the year ended December 31, 2013 compared to the year ended December 31, 2012. Cost of revenues as a percentage of revenues decreased from 61.4% for the year ended December 31, 2012 to 60.8% for the year ended December 31, 2013.</w:t>
      </w:r>
    </w:p>
    <w:p>
      <w:pPr>
        <w:spacing w:after="0" w:line="161"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gross profit as a percentage of revenues was primarily due to higher gross margins from the Landacorp acquisition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of the Indian rupee and the Philippine peso against the U.S. dollar during the year ended December 31, 2013 compared to the year ended December 31, 2012. This increase was partially offset by the lower gross margins in our transformation business due to lower utilization resulting from advance hiring for future growth and higher operating expenses.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58.8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36.4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95.2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88.</w:t>
            </w:r>
            <w:r>
              <w:rPr>
                <w:rFonts w:ascii="Arial" w:cs="Arial" w:eastAsia="Arial" w:hAnsi="Arial"/>
                <w:sz w:val="18"/>
                <w:szCs w:val="18"/>
                <w:u w:val="single" w:color="auto"/>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increase in SG&amp;A expenses was primarily due to an increase in employee-related costs of $9.9 million, including $5.0 million of employee-related costs related to the Landacorp acquisition. We also experienced an increase in other SG&amp;A expenses primarily due to a write-off of an accounts receivable of $2.0 million acquired as part of the Landacorp acquisition. These increases were partially offset by the decrease of $1.8 million in legal and professional expenses incurred during 2012 related to the Landacorp acquisition and the legal entity rationalization project, the Business Employment Incentive Program grants of $0.7 million from the New Jersey government during the year ended December 31, 2013 and by a decrease of $2.7 million due to the depreciation of the India rupee and the Philippine peso against the U.S. dollar during the year ended December 31, 2013 compared to the year ended December 31, 2012.</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2013</w:t>
            </w: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jc w:val="right"/>
              <w:ind w:right="394"/>
              <w:spacing w:after="0" w:line="142" w:lineRule="exact"/>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6</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Depreciation and amortization expense marginally decreased 2.8% from $25.6 million for the year ended December 31, 2012 to $24.9 million for the year ended December 31, 2013. The decrease was primarily driven by a decrease of $1.5 million due to depreciation of the Indian rupee and the Philippine peso against the U.S. dollar during the year ended December 31, 2013 compared to the year ended December 31, 2012. This decrease was partially offset by an increase in amortization of acquisition-related intangibles of $0.7 million and depreciation related to the Landacorp acquisition of $0.2 million. As we add more operations centers, we expect that depreciation expense will increase to reflect the additional investment in equipment and operations centers necessary to meet our service requirements.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17.8% from $57.2 million for the year ended December 31, 2012 to $67.4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2013. As a percentage of revenues, income from operations increased from 12.9% for the year ended December 31, 2012 to 14.1% for the year ended December 31, 2013. The increase in income from operations as a percentage of revenues was primarily due to higher gross profit as a percentage of revenues.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354"/>
              <w:spacing w:after="0" w:line="142" w:lineRule="exact"/>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0" w:type="dxa"/>
            <w:vAlign w:val="bottom"/>
            <w:vMerge w:val="restart"/>
          </w:tcPr>
          <w:p>
            <w:pPr>
              <w:jc w:val="right"/>
              <w:ind w:right="2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foreign exchange losses were attributable to movement of the U.S. dollar against the Indian rupee, U.K. pound sterling and the Philippine peso during the year ended December 31, 2013. The average exchange rate of the Indian rupee against the U.S. dollar increased from 53.40 during the year ended December 31, 2012 to 58.83 during the year ended December 31, 2013.</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from $14.9 million for the year ended December 31, 2012 to $16.9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2013. The effective tax rate decreased marginally from 26.2% for the year ended December 31, 2012 to 26.0% for the year ended December 31, 2013. Refer to Note 12 to our consolidated financial statements for further details.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$41.8 million for the year ended December 31, 2012 to $48.1 million for the year ended December 31,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$10.2 million, offset by a decrease in other income of $1.9 million and an increase in provision for income taxes of $2.0 million. As a percentage of revenues, net income increased from 9.4% for the year ended December 31, 2012 to 10.1% for the year ended December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center"/>
              <w:ind w:right="860"/>
              <w:spacing w:after="0"/>
              <w:rPr>
                <w:sz w:val="20"/>
                <w:szCs w:val="20"/>
                <w:color w:val="auto"/>
              </w:rPr>
            </w:pPr>
            <w:r>
              <w:rPr>
                <w:rFonts w:ascii="Arial" w:cs="Arial" w:eastAsia="Arial" w:hAnsi="Arial"/>
                <w:sz w:val="14"/>
                <w:szCs w:val="14"/>
                <w:b w:val="1"/>
                <w:bCs w:val="1"/>
                <w:color w:val="auto"/>
                <w:w w:val="91"/>
              </w:rPr>
              <w:t>Year ended December 31,</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7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294.4</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1"/>
              </w:rPr>
              <w:t>$ 72.4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1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76.1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66.1</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360.5</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1"/>
              </w:rPr>
              <w:t>$ 82.4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increase in revenues from outsourcing services of $72.4 million was primarily driven by revenues of $49.9 million from the Landacorp acquisition in 2012, the Trumbull acquisition and the acquisition of Business Process Outsourcing, Inc. (“OPI”) in 2011 and net volume increases from existing and new clients aggregating to $35.7 million. These increases were partially offset by a net decrease in revenues of $13.2 million, primarily due to the depreciation of the Indian rupee, the U.K. pound sterling and Czech koruna against the U.S. dollar during the year ended December 31, 2012 compared to the year ended December 31, 2011.</w:t>
      </w:r>
    </w:p>
    <w:p>
      <w:pPr>
        <w:spacing w:after="0" w:line="188"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increase in revenues from transformation services was primarily due to a combination of increased revenues in recurring or annuity-based decision analytics services and an increase in project-based engagements both in our decision analytics and operations and process excellence services. Revenues from new clients for transformation services were $9.4 million and $0.9 million during the year ended December 31, 2012 and 2011,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354"/>
              <w:spacing w:after="0" w:line="142" w:lineRule="exact"/>
              <w:rPr>
                <w:sz w:val="20"/>
                <w:szCs w:val="20"/>
                <w:color w:val="auto"/>
              </w:rPr>
            </w:pPr>
            <w:r>
              <w:rPr>
                <w:rFonts w:ascii="Arial" w:cs="Arial" w:eastAsia="Arial" w:hAnsi="Arial"/>
                <w:sz w:val="14"/>
                <w:szCs w:val="14"/>
                <w:b w:val="1"/>
                <w:bCs w:val="1"/>
                <w:color w:val="auto"/>
              </w:rPr>
              <w:t>(dollars in millions)</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360.5</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$ 82.4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Cost of revenues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51.9</w:t>
            </w:r>
          </w:p>
        </w:tc>
        <w:tc>
          <w:tcPr>
            <w:tcW w:w="7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140.5</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$ 30.5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0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2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increase in cost of revenues was primarily due to an increase in employee-related costs of $55.4 million as a result of an increase in the number of our personnel directly involved in providing services to our clients, including $25.8 million of employee-related costs related to our acquisitions. We also experienced an increase in reimbursable expenses of $2.8 million and an increase in facilities, technology and other operating expenses of $14.4 million (primarily due to our acquisitions and new operating centers to support business growth). These increases were partially offset by a decrease of $20.8 million due to the net effect of depreciation of the Indian rupee and the Czech koruna and appreciation of the Philippine peso against the U.S. dollar during the year ended December 31, 2012 compared to the year ended December 31, 2011. Cost of revenues as a percentage of revenues increased from 61.0% for the year ended December 31, 2011 to 61.4% for the year ended December 31, 2012.</w:t>
      </w:r>
    </w:p>
    <w:p>
      <w:pPr>
        <w:spacing w:after="0" w:line="174" w:lineRule="exact"/>
        <w:rPr>
          <w:sz w:val="20"/>
          <w:szCs w:val="20"/>
          <w:color w:val="auto"/>
        </w:rPr>
      </w:pPr>
    </w:p>
    <w:p>
      <w:pPr>
        <w:jc w:val="both"/>
        <w:ind w:right="100" w:firstLine="456"/>
        <w:spacing w:after="0" w:line="289" w:lineRule="auto"/>
        <w:rPr>
          <w:sz w:val="20"/>
          <w:szCs w:val="20"/>
          <w:color w:val="auto"/>
        </w:rPr>
      </w:pPr>
      <w:r>
        <w:rPr>
          <w:rFonts w:ascii="Arial" w:cs="Arial" w:eastAsia="Arial" w:hAnsi="Arial"/>
          <w:sz w:val="17"/>
          <w:szCs w:val="17"/>
          <w:b w:val="1"/>
          <w:bCs w:val="1"/>
          <w:i w:val="1"/>
          <w:iCs w:val="1"/>
          <w:color w:val="auto"/>
        </w:rPr>
        <w:t>Gross Profit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Gross profit as a percentage of revenues decreased marginally from 39.0% for the year ended December 31, 2011 to 38.6%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2012, primarily due to the OPI acquisition and the Trumbull acquisition in 2011, partially offset by the depreciation of the Indian rupee against the U.S. dollar during the year ended December 31, 2012 compared to the year ended December 31, 2011.</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57.2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5.4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88.2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u w:val="single" w:color="auto"/>
                <w:color w:val="auto"/>
              </w:rPr>
              <w:t>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1"/>
              </w:rPr>
              <w:t>12.0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increase in SG&amp;A expenses was primarily due to an increase in employee-related costs of $10.2 million, including $5.8 million of employee-related costs related to our acquisitions and our continued investment in sales and client management personnel. We also experienced an increase in other SG&amp;A expenses of $5.7 million, primarily due to increased professional fees, facilities and technology costs incurred at our new operating centers, costs associated with our acquisitions as well as increases in other marketing expenses. These increases were partially offset by a decrease of $3.8 million due to the net effect of depreciation of the Indian rupee and the Czech koruna and appreciation of the Philippine peso against the U.S. dollar during the year ended December 31, 2012 compared to the year ended December 31, 2011.</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w w:val="98"/>
              </w:rPr>
              <w:t>Year ended December 31,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right"/>
              <w:ind w:right="394"/>
              <w:spacing w:after="0" w:line="142" w:lineRule="exact"/>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increase in depreciation and amortization expense was primarily due to an increase in amortization of acquisition-related intangibles of $1.3 million and depreciation related to our new operations centers including our acquisitions of $3.4 million offset by a decrease of $2.0 million due to the net effect of depreciation of the Indian rupee and the Czech koruna and appreciation of the Philippine peso against the U.S. dollar during the year ended December 31, 2012 compared to the year ended December 31, 2011. As we add more operations centers, we expect that depreciation expense will increase to reflect the additional investment in equipment and operations centers necessary to meet our service requirements.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38.5% from $41.3 million for the year ended December 31, 2011 to $57.2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2012. As a percentage of revenues, income from operations increased from 11.5% for the year ended December 31, 2011 to 12.9% for the year ended December 31, 2012. The increase in income from operations as a percentage of revenues was primarily due to our operating leverage, resulting in lower SG&amp;A and depreciation and amortization expenses as a percentage of revenue in 2012.</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1020" w:type="dxa"/>
            <w:vAlign w:val="bottom"/>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(dollars in millions)</w:t>
            </w:r>
          </w:p>
        </w:tc>
        <w:tc>
          <w:tcPr>
            <w:tcW w:w="2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3.4</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5.3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Net foreign exchange loss is attributable to movement of the U.S. dollar against the Indian rupee. The average exchange rate of the Indian rupee against the U.S. dollar increased from 46.92 during the year ended December 31, 2011 to 53.40 during the year ended December 31, 2012.</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$11.8 million for the year ended December 31, 2011 to $14.9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2012. The effective tax rate increased from 25.4% for the year ended December 31, 2011 to 26.2% for the year ended December 31, 2012. The increase was primarily due to the partial expiry of the tax holiday benefit for our operations center in Bengaluru, India and provision for taxes for one of our operating centers in Manila, Philippines. Please see Note 12 to our consolidated financial statements for further details.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$34.8 million for the year ended December 31, 2011 to $41.8 million for the year ended December 31,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$15.9 million, offset by a decrease in other income of $5.9 million and an increase in provision for income taxes of $3.0 million. As a percentage of revenues, net income decreased marginally from 9.6% for the year ended December 31, 2011 to 9.4% for the year ended December 31, 2012.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cash used for financing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 of December 31, 2013, we had $154.1 million in cash and cash equivalents and short-term investments (including $67.2 million held by our foreign subsidiaries). We do not intend to repatriate our overseas funds since our future growth partially depends upon the continued infrastructure and technology investments, geographical expansions and acquisitions made outside of the U.S. Therefore, we need to continuously and permanently reinvest the earnings generated outside of the U.S. If we were to repatriate our overseas funds, we would need to accrue and pay applicable taxes.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Cash flow from Operating Activities: </w:t>
      </w:r>
      <w:r>
        <w:rPr>
          <w:rFonts w:ascii="Arial" w:cs="Arial" w:eastAsia="Arial" w:hAnsi="Arial"/>
          <w:sz w:val="18"/>
          <w:szCs w:val="18"/>
          <w:color w:val="auto"/>
        </w:rPr>
        <w:t>Cash flows provided by operating activities increased by $17.0 million from $65.8 million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to $82.8 million in the year ended December 31, 2013.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 The increase in cash flow from operating activities in 2013 is due to better collections of accounts receivable, primarily due to improved receivable management, and increase in accrued expenses and other liabilities in 2013. Our days’ sales outstanding decreased from 56 days as of December 31, 2012 to 55 days as of December 31, 2013.</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increase in cash flows provided by operations for the year ended December 31, 2013 is predominantly due to a decrease in working capital of $2.8 million during the year ended December 31, 2013 compared to an increase of $12.8 million during the year ended December 31, 2012. Net income adjusted for non-cash expenses increased by $1.4 million in the year ended on December 31, 2013 compared to the year ended on December 31, 2012 due to increases in net income by $6.3 million, stock based compensation by $2.4 million and a write-off of a doubtful receivable by $2.0 million, which was partially offset by an increase in unrealized foreign exchange gain of $6.8 million and a decrease in deferred income taxes by $2.2 million.</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Decrease in the working capital during 2013 was primarily due to increase in accrued expenses and other liabilities by $8.9 million, decrease in advance income tax by $2.1 million and other assets by $0.7 million, partially offset by increase in account receivable by $5.7 million and prepaid expenses and other current assets by $3.4 million. Increase in working capital during 2012 was primarily due to increase in account receivable by $8.1 million, prepaid and other current assets by $1.8 million, advance income tax by $1.3 million and decrease in deferred revenue by $3.7 million partially offset by increase in accounts payable by $3.0 million.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flow from Investing Activities: </w:t>
      </w:r>
      <w:r>
        <w:rPr>
          <w:rFonts w:ascii="Arial" w:cs="Arial" w:eastAsia="Arial" w:hAnsi="Arial"/>
          <w:sz w:val="16"/>
          <w:szCs w:val="16"/>
          <w:color w:val="auto"/>
        </w:rPr>
        <w:t>Cash flows used for investing activities decreased from $54.8 million in the year ended December 31, 2012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$17.5 million in the year ended December 31, 2013. The decrease was primarily due to acquisition of Landacorp in 2012 for $37.5 million and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 of $2.9 million during the year ended December 31, 2013 compared to the year ended December 31, 2012.</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Cash flow from Financing Activities: </w:t>
      </w:r>
      <w:r>
        <w:rPr>
          <w:rFonts w:ascii="Arial" w:cs="Arial" w:eastAsia="Arial" w:hAnsi="Arial"/>
          <w:sz w:val="18"/>
          <w:szCs w:val="18"/>
          <w:color w:val="auto"/>
        </w:rPr>
        <w:t>Cash flows provided by financing activities decreased by $25.6 million from cash provided of $9.9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2012 compared to net cash used for financing activities of $15.7 million during the year ended December 31, 2013. The decrease was primarily due to acquisition of treasury stock under the share repurchase program of $ 21.2 million and decrease in proceeds from the exercise of stock options by $4.1 million during the year 2013 compared to 2012.</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purchase telecommunications equipment and computer hardware and software in connection with managing our client operations. We incurred approximately $15.9 million and $18.8 million of capital expenditures during the years ended December 31, 2013 and 2012, respectively. We expect to incur capital expenditures of between $20.0 million to $25.0 million in the calendar year 2014,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6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Refer to Note 15 to our consolidated financial statements for further details.</w:t>
      </w:r>
    </w:p>
    <w:p>
      <w:pPr>
        <w:spacing w:after="0" w:line="12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May 26, 2011, we entered into a three-year credit agreement (the “Credit Facility”) with certain lenders and JPMorgan Chase Bank, N.A., as Administrative Agent. Borrowings under the Credit Facility may be used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working capital and general corporate purposes. Originally a $50.0 million revolving facility, including a letter of credit sub-facility, the availability under the Credit Facility was reduced to $15.0 million in June 2012. Upon our request, and the fulfillment of certain conditions, the Credit Facility can be increased back to $50.0 million. As of December 31, 2013 and 2012, we did not have any borrowings under the Credit Facility.</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we had no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0"/>
                <w:szCs w:val="10"/>
                <w:color w:val="auto"/>
              </w:rPr>
            </w:pPr>
          </w:p>
        </w:tc>
        <w:tc>
          <w:tcPr>
            <w:tcW w:w="32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w w:val="95"/>
              </w:rPr>
              <w:t>1-3</w:t>
            </w:r>
          </w:p>
        </w:tc>
        <w:tc>
          <w:tcPr>
            <w:tcW w:w="400" w:type="dxa"/>
            <w:vAlign w:val="bottom"/>
          </w:tcPr>
          <w:p>
            <w:pPr>
              <w:spacing w:after="0"/>
              <w:rPr>
                <w:sz w:val="10"/>
                <w:szCs w:val="10"/>
                <w:color w:val="auto"/>
              </w:rPr>
            </w:pPr>
          </w:p>
        </w:tc>
        <w:tc>
          <w:tcPr>
            <w:tcW w:w="38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4-5</w:t>
            </w:r>
          </w:p>
        </w:tc>
        <w:tc>
          <w:tcPr>
            <w:tcW w:w="40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After</w:t>
            </w:r>
          </w:p>
        </w:tc>
        <w:tc>
          <w:tcPr>
            <w:tcW w:w="400" w:type="dxa"/>
            <w:vAlign w:val="bottom"/>
          </w:tcPr>
          <w:p>
            <w:pPr>
              <w:spacing w:after="0"/>
              <w:rPr>
                <w:sz w:val="10"/>
                <w:szCs w:val="10"/>
                <w:color w:val="auto"/>
              </w:rPr>
            </w:pP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years</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5 years</w:t>
            </w:r>
          </w:p>
        </w:tc>
        <w:tc>
          <w:tcPr>
            <w:tcW w:w="40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center"/>
              <w:ind w:left="97"/>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10.3</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14.9</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$ 4.1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estimated payments under the Gratuity Plan.</w:t>
      </w:r>
    </w:p>
    <w:p>
      <w:pPr>
        <w:spacing w:after="0" w:line="23"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$4.9 million related to uncertain tax positions, since the extent of the amount and timing of payment is currently not reliably estimable or determinable.</w:t>
      </w:r>
    </w:p>
    <w:p>
      <w:pPr>
        <w:spacing w:after="0" w:line="184"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scheme promulgated by the Government of India which provides certain incentives on imported and indigenous capital goods upon the fulfillment of certain conditions. Although the corporate tax incentives under the STPI scheme are no longer available to us, the units are required to fulfill such conditions for a limited time. In the event that these units are unable to meet those conditions over the specified period, we may be required to refund those incentives along with penalties and fines. We believe, however, that these units have in the past satisfied and will continue to satisfy the required conditions.</w:t>
      </w:r>
    </w:p>
    <w:p>
      <w:pPr>
        <w:spacing w:after="0" w:line="158"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Our operations centers in the Philippines are registered with the Philippine Economic Zone Authority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Risk. </w:t>
      </w:r>
      <w:r>
        <w:rPr>
          <w:rFonts w:ascii="Arial" w:cs="Arial" w:eastAsia="Arial" w:hAnsi="Arial"/>
          <w:sz w:val="18"/>
          <w:szCs w:val="18"/>
          <w:color w:val="auto"/>
        </w:rPr>
        <w:t>Our exposure to market risk arises principally from exchange rate risk. Although substantially all of our revenues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denominated in U.S. dollars (73.8% in the year ended December 31, 2013) or U.K. pounds sterling (19.4% in the year ended December 31, 2013), a substantial portion of our expenses were incurred and paid in Indian rupees and Philippine peso (51.7% and 9.3%, respectively, in the year ended December 31, 2013). We also incur expenses in U.S. dollars, the Czech koruna and the currencies of the other countries in which we have operations. The exchange rates among the Indian rupee, the Philippine peso, U.K. pound sterling, Czech koruna and the U.S. dollar have changed substantially in recent years and may fluctuate substantially in the future.</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exchange rate risk primarily arises from our foreign currency revenues, expenses incurred by our foreign subsidiaries and foreign currency accounts receivable and payable. Based upon our level of operations during the year ended December 31, 2013 and excluding any hedging arrangements that we had in place during that period, a 10% appreciation/depreciation in the Indian rupee against the U.S. dollar would have increased/decreased our revenues in the year ended December 31, 2013 by approximately $11.2 million and our expenses incurred and paid in Indian rupees by approximately $20.3 million, respectively.</w:t>
      </w:r>
    </w:p>
    <w:p>
      <w:pPr>
        <w:spacing w:after="0" w:line="1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sought to reduce the effect of the Indian rupee and the Philippine peso and certain other local currency exchange rate fluctuations on our operating results by purchasing forward foreign exchange contracts (“cash flow hedges”) to cover a substantial portion of our expected cash flows. Further, a significant number of our customer contracts include protection against foreign exchange rate fluctuations which minimizes the impact of volatility in the exchange rates on our operating results. Cash flow hedges with notional amounts of $187.4 million were outstanding as at December 31, 2013, with maturity periods of one to forty five-months, compared to $160.0 million outstanding as at December 31, 2012. These contracts must be settled on the day of maturity or may be cancelled subject to the receipts or payments of any gains or losses respectively, equal to the difference between the contract exchange rate and the market exchange rate on the date of cancellation. We use these instruments for hedging our future expected cash flows and not for speculative purposes. As such, we may not purchase contracts adequate to insulate ourselves from Indian rupee and Philippine peso foreign exchange currency risks. In addition, any such contracts may not perform adequately as a hedging mechanism. We may, in the future, adopt more active hedging policies, and have done so in the past.</w:t>
      </w:r>
    </w:p>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hedge our net recognized foreign currency assets and liabilities with foreign exchange forward contracts (“fair value hedges”) to reduce the risk that our earnings and cash flows will be adversely affected by changes in foreign currency exchange rates. These derivative instruments hedge assets and liabilities that are denominated in foreign currencies and are carried at fair value with changes in the fair value recorded as foreign exchange gain/(loss).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fair value hedging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$74.7 million and GBP 11.0 million were outstanding at December 31, 2013 compared to $61.2 million and GBP 11.4 million outstanding at December 31, 2012. At December 31, 2013, the outstanding fair value hedging derivatives had maturities of 31 days or less.</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As of December 31, 2013 we did not have any borrowings under the Credit Facility, as such we do not have exposure to rising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rates. We have cash, cash equivalents and short-term investments totaling $154.1 million at December 31, 2013. These amounts were invested 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50 basis points change in short term rates would impact our interest income for the year ended December 31, 2013 by approximately $0.2 million.</w:t>
      </w:r>
    </w:p>
    <w:p>
      <w:pPr>
        <w:spacing w:after="0" w:line="17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As of December 31, 2013, we have accounts receivable of $76.1 million. We believe that our credit policies reflect normal industry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business risk. We do not anticipate non-performance by the counterparties and, accordingly, do not require collateral. Credit losses and write-offs of accounts receivable balances have historically not been material, except a write-off of $2.0 million during 2013 related to receivable from one of our clients from Landacorp acquisition. No single client owed more than 10% of AR balance as on December 31, 2013.</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2013. Based upon that evaluation, the CEO and CFO have concluded that the Company’s disclosure controls, as of December 31, 2013,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Ernst &amp; Young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6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the authorization of our management and our board of directors; and</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2013. In making this assessment, management used the criteria described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(1992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2013. See Ernst &amp; Young LLP’s accompanying report on their audit of our internal controls over financial reporting.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During the three months ended December 31, 2013,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2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w:t>
      </w:r>
      <w:r>
        <w:rPr>
          <w:rFonts w:ascii="Arial" w:cs="Arial" w:eastAsia="Arial" w:hAnsi="Arial"/>
          <w:sz w:val="18"/>
          <w:szCs w:val="18"/>
          <w:u w:val="single" w:color="auto"/>
          <w:color w:val="auto"/>
        </w:rPr>
        <w:t>http://www.exlservice.com</w:t>
      </w:r>
      <w:r>
        <w:rPr>
          <w:rFonts w:ascii="Arial" w:cs="Arial" w:eastAsia="Arial" w:hAnsi="Arial"/>
          <w:sz w:val="18"/>
          <w:szCs w:val="18"/>
          <w:color w:val="auto"/>
        </w:rPr>
        <w:t xml:space="preserve"> .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88"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incorporate by reference the information responsive to this Item appearing in the definitive proxy statement for our 2014 Annual Meeting of Stockholders (the “Proxy Statement”), which we intend to file with the SEC within 120 days after the fiscal year end of December 31, 2013.</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by reference the information responsive to this Item appearing in our Proxy Statement.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459" w:right="3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The consolidated financial statements are listed under “Item 8. Financial Statements and Supplementary Data” of this Annual Report on Form 10-K.</w:t>
      </w:r>
    </w:p>
    <w:p>
      <w:pPr>
        <w:spacing w:after="0" w:line="62" w:lineRule="exact"/>
        <w:rPr>
          <w:sz w:val="20"/>
          <w:szCs w:val="20"/>
          <w:color w:val="auto"/>
        </w:rPr>
      </w:pPr>
    </w:p>
    <w:p>
      <w:pPr>
        <w:ind w:left="820" w:hanging="35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Financial statement schedules as of December 31, 2013 and 2012, have been omitted since they are either not required, not material or the information is otherwise included in our consolidated financial statements or the notes to our consolidated financial statements.</w:t>
      </w:r>
    </w:p>
    <w:p>
      <w:pPr>
        <w:spacing w:after="0" w:line="16" w:lineRule="exact"/>
        <w:rPr>
          <w:sz w:val="20"/>
          <w:szCs w:val="20"/>
          <w:color w:val="auto"/>
        </w:rPr>
      </w:pPr>
    </w:p>
    <w:p>
      <w:pPr>
        <w:ind w:left="820" w:hanging="35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7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00"/>
          </w:cols>
          <w:pgMar w:left="240" w:top="459" w:right="7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193"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March 3, 2014</w:t>
      </w:r>
      <w:r>
        <w:rPr>
          <w:sz w:val="20"/>
          <w:szCs w:val="20"/>
          <w:color w:val="auto"/>
        </w:rPr>
        <w:tab/>
      </w: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w:t>
      </w:r>
      <w:r>
        <w:rPr>
          <w:rFonts w:ascii="Arial" w:cs="Arial" w:eastAsia="Arial" w:hAnsi="Arial"/>
          <w:sz w:val="15"/>
          <w:szCs w:val="15"/>
          <w:color w:val="auto"/>
        </w:rPr>
        <w:t>S</w:t>
      </w:r>
      <w:r>
        <w:rPr>
          <w:rFonts w:ascii="Arial" w:cs="Arial" w:eastAsia="Arial" w:hAnsi="Arial"/>
          <w:sz w:val="18"/>
          <w:szCs w:val="18"/>
          <w:color w:val="auto"/>
        </w:rPr>
        <w:t>/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Vishal Chhibbar</w:t>
      </w:r>
    </w:p>
    <w:p>
      <w:pPr>
        <w:ind w:left="6060"/>
        <w:spacing w:after="0" w:line="221" w:lineRule="auto"/>
        <w:rPr>
          <w:sz w:val="20"/>
          <w:szCs w:val="20"/>
          <w:color w:val="auto"/>
        </w:rPr>
      </w:pPr>
      <w:r>
        <w:rPr>
          <w:rFonts w:ascii="Arial" w:cs="Arial" w:eastAsia="Arial" w:hAnsi="Arial"/>
          <w:sz w:val="14"/>
          <w:szCs w:val="14"/>
          <w:b w:val="1"/>
          <w:bCs w:val="1"/>
          <w:color w:val="auto"/>
        </w:rPr>
        <w:t>Chief Financial Officer</w:t>
      </w:r>
    </w:p>
    <w:p>
      <w:pPr>
        <w:ind w:left="606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2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340" w:type="dxa"/>
            <w:vAlign w:val="bottom"/>
            <w:gridSpan w:val="2"/>
          </w:tcPr>
          <w:p>
            <w:pPr>
              <w:ind w:left="10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12"/>
        </w:trPr>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S</w:t>
            </w:r>
            <w:r>
              <w:rPr>
                <w:rFonts w:ascii="Arial" w:cs="Arial" w:eastAsia="Arial" w:hAnsi="Arial"/>
                <w:sz w:val="18"/>
                <w:szCs w:val="18"/>
                <w:color w:val="auto"/>
                <w:w w:val="89"/>
              </w:rPr>
              <w:t>/</w:t>
            </w: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1840"/>
              <w:spacing w:after="0"/>
              <w:rPr>
                <w:sz w:val="20"/>
                <w:szCs w:val="20"/>
                <w:color w:val="auto"/>
              </w:rPr>
            </w:pPr>
            <w:r>
              <w:rPr>
                <w:rFonts w:ascii="Arial" w:cs="Arial" w:eastAsia="Arial" w:hAnsi="Arial"/>
                <w:sz w:val="18"/>
                <w:szCs w:val="18"/>
                <w:color w:val="auto"/>
                <w:w w:val="96"/>
              </w:rPr>
              <w:t>R</w:t>
            </w:r>
            <w:r>
              <w:rPr>
                <w:rFonts w:ascii="Arial" w:cs="Arial" w:eastAsia="Arial" w:hAnsi="Arial"/>
                <w:sz w:val="15"/>
                <w:szCs w:val="15"/>
                <w:color w:val="auto"/>
                <w:w w:val="96"/>
              </w:rPr>
              <w:t>OHIT</w:t>
            </w:r>
            <w:r>
              <w:rPr>
                <w:rFonts w:ascii="Arial" w:cs="Arial" w:eastAsia="Arial" w:hAnsi="Arial"/>
                <w:sz w:val="18"/>
                <w:szCs w:val="18"/>
                <w:color w:val="auto"/>
                <w:w w:val="96"/>
              </w:rPr>
              <w:t xml:space="preserve"> K</w:t>
            </w:r>
            <w:r>
              <w:rPr>
                <w:rFonts w:ascii="Arial" w:cs="Arial" w:eastAsia="Arial" w:hAnsi="Arial"/>
                <w:sz w:val="15"/>
                <w:szCs w:val="15"/>
                <w:color w:val="auto"/>
                <w:w w:val="96"/>
              </w:rPr>
              <w:t>APOOR</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w w:val="95"/>
              </w:rPr>
              <w:t>Chief Executive Officer, Vice-Chairman and Director</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210"/>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4"/>
              </w:rPr>
              <w:t>Rohit Kapoor</w:t>
            </w:r>
          </w:p>
        </w:tc>
        <w:tc>
          <w:tcPr>
            <w:tcW w:w="410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8"/>
        </w:trPr>
        <w:tc>
          <w:tcPr>
            <w:tcW w:w="18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3260" w:type="dxa"/>
            <w:vAlign w:val="bottom"/>
            <w:tcBorders>
              <w:bottom w:val="single" w:sz="8" w:color="auto"/>
            </w:tcBorders>
            <w:gridSpan w:val="4"/>
          </w:tcPr>
          <w:p>
            <w:pPr>
              <w:jc w:val="center"/>
              <w:ind w:right="1760"/>
              <w:spacing w:after="0"/>
              <w:rPr>
                <w:sz w:val="20"/>
                <w:szCs w:val="20"/>
                <w:color w:val="auto"/>
              </w:rPr>
            </w:pPr>
            <w:r>
              <w:rPr>
                <w:rFonts w:ascii="Arial" w:cs="Arial" w:eastAsia="Arial" w:hAnsi="Arial"/>
                <w:sz w:val="18"/>
                <w:szCs w:val="18"/>
                <w:color w:val="auto"/>
              </w:rPr>
              <w:t>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and</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210"/>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7"/>
              </w:rPr>
              <w:t>Vishal Chhibbar</w:t>
            </w:r>
          </w:p>
        </w:tc>
        <w:tc>
          <w:tcPr>
            <w:tcW w:w="4100" w:type="dxa"/>
            <w:vAlign w:val="bottom"/>
            <w:gridSpan w:val="3"/>
          </w:tcPr>
          <w:p>
            <w:pPr>
              <w:ind w:left="280"/>
              <w:spacing w:after="0"/>
              <w:rPr>
                <w:sz w:val="20"/>
                <w:szCs w:val="20"/>
                <w:color w:val="auto"/>
              </w:rPr>
            </w:pPr>
            <w:r>
              <w:rPr>
                <w:rFonts w:ascii="Arial" w:cs="Arial" w:eastAsia="Arial" w:hAnsi="Arial"/>
                <w:sz w:val="18"/>
                <w:szCs w:val="18"/>
                <w:color w:val="auto"/>
              </w:rPr>
              <w:t>Accounting Officer)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8"/>
        </w:trPr>
        <w:tc>
          <w:tcPr>
            <w:tcW w:w="18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3260" w:type="dxa"/>
            <w:vAlign w:val="bottom"/>
            <w:tcBorders>
              <w:bottom w:val="single" w:sz="8" w:color="auto"/>
            </w:tcBorders>
            <w:gridSpan w:val="4"/>
          </w:tcPr>
          <w:p>
            <w:pPr>
              <w:jc w:val="center"/>
              <w:ind w:right="1760"/>
              <w:spacing w:after="0"/>
              <w:rPr>
                <w:sz w:val="20"/>
                <w:szCs w:val="20"/>
                <w:color w:val="auto"/>
              </w:rPr>
            </w:pPr>
            <w:r>
              <w:rPr>
                <w:rFonts w:ascii="Arial" w:cs="Arial" w:eastAsia="Arial" w:hAnsi="Arial"/>
                <w:sz w:val="18"/>
                <w:szCs w:val="18"/>
                <w:color w:val="auto"/>
                <w:w w:val="98"/>
              </w:rPr>
              <w:t>G</w:t>
            </w:r>
            <w:r>
              <w:rPr>
                <w:rFonts w:ascii="Arial" w:cs="Arial" w:eastAsia="Arial" w:hAnsi="Arial"/>
                <w:sz w:val="15"/>
                <w:szCs w:val="15"/>
                <w:color w:val="auto"/>
                <w:w w:val="98"/>
              </w:rPr>
              <w:t>AREN</w:t>
            </w:r>
            <w:r>
              <w:rPr>
                <w:rFonts w:ascii="Arial" w:cs="Arial" w:eastAsia="Arial" w:hAnsi="Arial"/>
                <w:sz w:val="18"/>
                <w:szCs w:val="18"/>
                <w:color w:val="auto"/>
                <w:w w:val="98"/>
              </w:rPr>
              <w:t xml:space="preserve"> K. S</w:t>
            </w:r>
            <w:r>
              <w:rPr>
                <w:rFonts w:ascii="Arial" w:cs="Arial" w:eastAsia="Arial" w:hAnsi="Arial"/>
                <w:sz w:val="15"/>
                <w:szCs w:val="15"/>
                <w:color w:val="auto"/>
                <w:w w:val="98"/>
              </w:rPr>
              <w:t>TAGLIN</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5"/>
              </w:rPr>
              <w:t>Garen K. Staglin</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08"/>
        </w:trPr>
        <w:tc>
          <w:tcPr>
            <w:tcW w:w="192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S</w:t>
            </w:r>
            <w:r>
              <w:rPr>
                <w:rFonts w:ascii="Arial" w:cs="Arial" w:eastAsia="Arial" w:hAnsi="Arial"/>
                <w:sz w:val="18"/>
                <w:szCs w:val="18"/>
                <w:color w:val="auto"/>
                <w:w w:val="89"/>
              </w:rPr>
              <w:t>/</w:t>
            </w:r>
          </w:p>
        </w:tc>
        <w:tc>
          <w:tcPr>
            <w:tcW w:w="316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NNE</w:t>
            </w:r>
            <w:r>
              <w:rPr>
                <w:rFonts w:ascii="Arial" w:cs="Arial" w:eastAsia="Arial" w:hAnsi="Arial"/>
                <w:sz w:val="18"/>
                <w:szCs w:val="18"/>
                <w:color w:val="auto"/>
              </w:rPr>
              <w:t xml:space="preserve"> M</w:t>
            </w:r>
            <w:r>
              <w:rPr>
                <w:rFonts w:ascii="Arial" w:cs="Arial" w:eastAsia="Arial" w:hAnsi="Arial"/>
                <w:sz w:val="15"/>
                <w:szCs w:val="15"/>
                <w:color w:val="auto"/>
              </w:rPr>
              <w:t>INTO</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7"/>
              </w:rPr>
              <w:t>Anne Minto</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08"/>
        </w:trPr>
        <w:tc>
          <w:tcPr>
            <w:tcW w:w="192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S</w:t>
            </w:r>
            <w:r>
              <w:rPr>
                <w:rFonts w:ascii="Arial" w:cs="Arial" w:eastAsia="Arial" w:hAnsi="Arial"/>
                <w:sz w:val="18"/>
                <w:szCs w:val="18"/>
                <w:color w:val="auto"/>
                <w:w w:val="89"/>
              </w:rPr>
              <w:t>/</w:t>
            </w:r>
          </w:p>
        </w:tc>
        <w:tc>
          <w:tcPr>
            <w:tcW w:w="3160" w:type="dxa"/>
            <w:vAlign w:val="bottom"/>
            <w:tcBorders>
              <w:bottom w:val="single" w:sz="8" w:color="auto"/>
            </w:tcBorders>
            <w:gridSpan w:val="3"/>
          </w:tcPr>
          <w:p>
            <w:pPr>
              <w:jc w:val="center"/>
              <w:ind w:right="1840"/>
              <w:spacing w:after="0"/>
              <w:rPr>
                <w:sz w:val="20"/>
                <w:szCs w:val="20"/>
                <w:color w:val="auto"/>
              </w:rPr>
            </w:pPr>
            <w:r>
              <w:rPr>
                <w:rFonts w:ascii="Arial" w:cs="Arial" w:eastAsia="Arial" w:hAnsi="Arial"/>
                <w:sz w:val="18"/>
                <w:szCs w:val="18"/>
                <w:color w:val="auto"/>
                <w:w w:val="98"/>
              </w:rPr>
              <w:t>S</w:t>
            </w:r>
            <w:r>
              <w:rPr>
                <w:rFonts w:ascii="Arial" w:cs="Arial" w:eastAsia="Arial" w:hAnsi="Arial"/>
                <w:sz w:val="15"/>
                <w:szCs w:val="15"/>
                <w:color w:val="auto"/>
                <w:w w:val="98"/>
              </w:rPr>
              <w:t>OM</w:t>
            </w:r>
            <w:r>
              <w:rPr>
                <w:rFonts w:ascii="Arial" w:cs="Arial" w:eastAsia="Arial" w:hAnsi="Arial"/>
                <w:sz w:val="18"/>
                <w:szCs w:val="18"/>
                <w:color w:val="auto"/>
                <w:w w:val="98"/>
              </w:rPr>
              <w:t xml:space="preserve"> M</w:t>
            </w:r>
            <w:r>
              <w:rPr>
                <w:rFonts w:ascii="Arial" w:cs="Arial" w:eastAsia="Arial" w:hAnsi="Arial"/>
                <w:sz w:val="15"/>
                <w:szCs w:val="15"/>
                <w:color w:val="auto"/>
                <w:w w:val="98"/>
              </w:rPr>
              <w:t>ITTAL</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5"/>
              </w:rPr>
              <w:t>Som Mittal</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08"/>
        </w:trPr>
        <w:tc>
          <w:tcPr>
            <w:tcW w:w="18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9"/>
              </w:rPr>
              <w:t>D</w:t>
            </w:r>
            <w:r>
              <w:rPr>
                <w:rFonts w:ascii="Arial" w:cs="Arial" w:eastAsia="Arial" w:hAnsi="Arial"/>
                <w:sz w:val="15"/>
                <w:szCs w:val="15"/>
                <w:color w:val="auto"/>
                <w:w w:val="99"/>
              </w:rPr>
              <w:t>AVID</w:t>
            </w:r>
            <w:r>
              <w:rPr>
                <w:rFonts w:ascii="Arial" w:cs="Arial" w:eastAsia="Arial" w:hAnsi="Arial"/>
                <w:sz w:val="18"/>
                <w:szCs w:val="18"/>
                <w:color w:val="auto"/>
                <w:w w:val="99"/>
              </w:rPr>
              <w:t xml:space="preserve"> B. K</w:t>
            </w:r>
            <w:r>
              <w:rPr>
                <w:rFonts w:ascii="Arial" w:cs="Arial" w:eastAsia="Arial" w:hAnsi="Arial"/>
                <w:sz w:val="15"/>
                <w:szCs w:val="15"/>
                <w:color w:val="auto"/>
                <w:w w:val="99"/>
              </w:rPr>
              <w:t>ELSO</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3"/>
              </w:rPr>
              <w:t>David B. Kelso</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08"/>
        </w:trPr>
        <w:tc>
          <w:tcPr>
            <w:tcW w:w="18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3260" w:type="dxa"/>
            <w:vAlign w:val="bottom"/>
            <w:tcBorders>
              <w:bottom w:val="single" w:sz="8" w:color="auto"/>
            </w:tcBorders>
            <w:gridSpan w:val="4"/>
          </w:tcPr>
          <w:p>
            <w:pPr>
              <w:jc w:val="center"/>
              <w:ind w:right="1760"/>
              <w:spacing w:after="0"/>
              <w:rPr>
                <w:sz w:val="20"/>
                <w:szCs w:val="20"/>
                <w:color w:val="auto"/>
              </w:rPr>
            </w:pPr>
            <w:r>
              <w:rPr>
                <w:rFonts w:ascii="Arial" w:cs="Arial" w:eastAsia="Arial" w:hAnsi="Arial"/>
                <w:sz w:val="18"/>
                <w:szCs w:val="18"/>
                <w:color w:val="auto"/>
                <w:w w:val="94"/>
              </w:rPr>
              <w:t>C</w:t>
            </w:r>
            <w:r>
              <w:rPr>
                <w:rFonts w:ascii="Arial" w:cs="Arial" w:eastAsia="Arial" w:hAnsi="Arial"/>
                <w:sz w:val="15"/>
                <w:szCs w:val="15"/>
                <w:color w:val="auto"/>
                <w:w w:val="94"/>
              </w:rPr>
              <w:t>LYDE</w:t>
            </w:r>
            <w:r>
              <w:rPr>
                <w:rFonts w:ascii="Arial" w:cs="Arial" w:eastAsia="Arial" w:hAnsi="Arial"/>
                <w:sz w:val="18"/>
                <w:szCs w:val="18"/>
                <w:color w:val="auto"/>
                <w:w w:val="94"/>
              </w:rPr>
              <w:t xml:space="preserve"> W. O</w:t>
            </w:r>
            <w:r>
              <w:rPr>
                <w:rFonts w:ascii="Arial" w:cs="Arial" w:eastAsia="Arial" w:hAnsi="Arial"/>
                <w:sz w:val="15"/>
                <w:szCs w:val="15"/>
                <w:color w:val="auto"/>
                <w:w w:val="94"/>
              </w:rPr>
              <w:t>STLER</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180"/>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6"/>
              </w:rPr>
              <w:t>Clyde W. Ostler</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408"/>
        </w:trPr>
        <w:tc>
          <w:tcPr>
            <w:tcW w:w="508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D</w:t>
            </w:r>
            <w:r>
              <w:rPr>
                <w:rFonts w:ascii="Arial" w:cs="Arial" w:eastAsia="Arial" w:hAnsi="Arial"/>
                <w:sz w:val="15"/>
                <w:szCs w:val="15"/>
                <w:color w:val="auto"/>
              </w:rPr>
              <w:t>R</w:t>
            </w:r>
            <w:r>
              <w:rPr>
                <w:rFonts w:ascii="Arial" w:cs="Arial" w:eastAsia="Arial" w:hAnsi="Arial"/>
                <w:sz w:val="18"/>
                <w:szCs w:val="18"/>
                <w:color w:val="auto"/>
              </w:rPr>
              <w:t>. M</w:t>
            </w:r>
            <w:r>
              <w:rPr>
                <w:rFonts w:ascii="Arial" w:cs="Arial" w:eastAsia="Arial" w:hAnsi="Arial"/>
                <w:sz w:val="15"/>
                <w:szCs w:val="15"/>
                <w:color w:val="auto"/>
              </w:rPr>
              <w:t>OHANBIR</w:t>
            </w:r>
            <w:r>
              <w:rPr>
                <w:rFonts w:ascii="Arial" w:cs="Arial" w:eastAsia="Arial" w:hAnsi="Arial"/>
                <w:sz w:val="18"/>
                <w:szCs w:val="18"/>
                <w:color w:val="auto"/>
              </w:rPr>
              <w:t xml:space="preserve"> S</w:t>
            </w:r>
            <w:r>
              <w:rPr>
                <w:rFonts w:ascii="Arial" w:cs="Arial" w:eastAsia="Arial" w:hAnsi="Arial"/>
                <w:sz w:val="15"/>
                <w:szCs w:val="15"/>
                <w:color w:val="auto"/>
              </w:rPr>
              <w:t>AWHNEY</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 2014</w:t>
            </w:r>
          </w:p>
        </w:tc>
      </w:tr>
      <w:tr>
        <w:trPr>
          <w:trHeight w:val="180"/>
        </w:trPr>
        <w:tc>
          <w:tcPr>
            <w:tcW w:w="1820" w:type="dxa"/>
            <w:vAlign w:val="bottom"/>
          </w:tcPr>
          <w:p>
            <w:pPr>
              <w:spacing w:after="0"/>
              <w:rPr>
                <w:sz w:val="15"/>
                <w:szCs w:val="15"/>
                <w:color w:val="auto"/>
              </w:rPr>
            </w:pPr>
          </w:p>
        </w:tc>
        <w:tc>
          <w:tcPr>
            <w:tcW w:w="3260" w:type="dxa"/>
            <w:vAlign w:val="bottom"/>
            <w:gridSpan w:val="4"/>
          </w:tcPr>
          <w:p>
            <w:pPr>
              <w:jc w:val="center"/>
              <w:ind w:right="1820"/>
              <w:spacing w:after="0"/>
              <w:rPr>
                <w:sz w:val="20"/>
                <w:szCs w:val="20"/>
                <w:color w:val="auto"/>
              </w:rPr>
            </w:pPr>
            <w:r>
              <w:rPr>
                <w:rFonts w:ascii="Arial" w:cs="Arial" w:eastAsia="Arial" w:hAnsi="Arial"/>
                <w:sz w:val="14"/>
                <w:szCs w:val="14"/>
                <w:b w:val="1"/>
                <w:bCs w:val="1"/>
                <w:color w:val="auto"/>
                <w:w w:val="95"/>
              </w:rPr>
              <w:t>Dr. Mohanbir Sawhney</w:t>
            </w:r>
          </w:p>
        </w:tc>
        <w:tc>
          <w:tcPr>
            <w:tcW w:w="1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40"/>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20" w:type="dxa"/>
            <w:vAlign w:val="bottom"/>
          </w:tcPr>
          <w:p>
            <w:pPr>
              <w:ind w:left="54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56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1280" w:type="dxa"/>
            <w:vAlign w:val="bottom"/>
            <w:gridSpan w:val="2"/>
          </w:tcPr>
          <w:p>
            <w:pPr>
              <w:ind w:left="360"/>
              <w:spacing w:after="0"/>
              <w:rPr>
                <w:sz w:val="20"/>
                <w:szCs w:val="20"/>
                <w:color w:val="auto"/>
              </w:rPr>
            </w:pPr>
            <w:r>
              <w:rPr>
                <w:rFonts w:ascii="Arial" w:cs="Arial" w:eastAsia="Arial" w:hAnsi="Arial"/>
                <w:sz w:val="18"/>
                <w:szCs w:val="18"/>
                <w:color w:val="auto"/>
              </w:rPr>
              <w:t>The following exhibits are being filed as part of this report or incorporated by reference as indicated therein:</w:t>
            </w:r>
          </w:p>
        </w:tc>
      </w:tr>
      <w:tr>
        <w:trPr>
          <w:trHeight w:val="445"/>
        </w:trPr>
        <w:tc>
          <w:tcPr>
            <w:tcW w:w="720" w:type="dxa"/>
            <w:vAlign w:val="bottom"/>
          </w:tcPr>
          <w:p>
            <w:pPr>
              <w:ind w:left="80"/>
              <w:spacing w:after="0"/>
              <w:rPr>
                <w:sz w:val="20"/>
                <w:szCs w:val="20"/>
                <w:color w:val="auto"/>
              </w:rPr>
            </w:pPr>
            <w:r>
              <w:rPr>
                <w:rFonts w:ascii="Arial" w:cs="Arial" w:eastAsia="Arial" w:hAnsi="Arial"/>
                <w:sz w:val="18"/>
                <w:szCs w:val="18"/>
                <w:color w:val="auto"/>
              </w:rPr>
              <w:t>3.1</w:t>
            </w:r>
          </w:p>
        </w:tc>
        <w:tc>
          <w:tcPr>
            <w:tcW w:w="10560" w:type="dxa"/>
            <w:vAlign w:val="bottom"/>
          </w:tcPr>
          <w:p>
            <w:pPr>
              <w:ind w:left="340"/>
              <w:spacing w:after="0"/>
              <w:rPr>
                <w:sz w:val="20"/>
                <w:szCs w:val="20"/>
                <w:color w:val="auto"/>
              </w:rPr>
            </w:pPr>
            <w:r>
              <w:rPr>
                <w:rFonts w:ascii="Arial" w:cs="Arial" w:eastAsia="Arial" w:hAnsi="Arial"/>
                <w:sz w:val="18"/>
                <w:szCs w:val="18"/>
                <w:color w:val="auto"/>
                <w:w w:val="95"/>
              </w:rPr>
              <w:t>Amended and Restated Certificate of Incorporation (incorporated by reference to Exhibit 3.1 to the Current Report on Form 8-K filed on</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October 25, 2006).</w:t>
            </w:r>
          </w:p>
        </w:tc>
      </w:tr>
      <w:tr>
        <w:trPr>
          <w:trHeight w:val="324"/>
        </w:trPr>
        <w:tc>
          <w:tcPr>
            <w:tcW w:w="720" w:type="dxa"/>
            <w:vAlign w:val="bottom"/>
          </w:tcPr>
          <w:p>
            <w:pPr>
              <w:ind w:left="80"/>
              <w:spacing w:after="0"/>
              <w:rPr>
                <w:sz w:val="20"/>
                <w:szCs w:val="20"/>
                <w:color w:val="auto"/>
              </w:rPr>
            </w:pPr>
            <w:r>
              <w:rPr>
                <w:rFonts w:ascii="Arial" w:cs="Arial" w:eastAsia="Arial" w:hAnsi="Arial"/>
                <w:sz w:val="18"/>
                <w:szCs w:val="18"/>
                <w:color w:val="auto"/>
              </w:rPr>
              <w:t>3.2</w:t>
            </w:r>
          </w:p>
        </w:tc>
        <w:tc>
          <w:tcPr>
            <w:tcW w:w="10560" w:type="dxa"/>
            <w:vAlign w:val="bottom"/>
          </w:tcPr>
          <w:p>
            <w:pPr>
              <w:ind w:left="340"/>
              <w:spacing w:after="0"/>
              <w:rPr>
                <w:sz w:val="20"/>
                <w:szCs w:val="20"/>
                <w:color w:val="auto"/>
              </w:rPr>
            </w:pPr>
            <w:r>
              <w:rPr>
                <w:rFonts w:ascii="Arial" w:cs="Arial" w:eastAsia="Arial" w:hAnsi="Arial"/>
                <w:sz w:val="18"/>
                <w:szCs w:val="18"/>
                <w:color w:val="auto"/>
                <w:w w:val="93"/>
              </w:rPr>
              <w:t>Third Amended and Restated By-laws (incorporated by reference to Exhibit 3.1 to the Current Report on Form 8-K filed on May 2, 2011).</w:t>
            </w:r>
          </w:p>
        </w:tc>
      </w:tr>
      <w:tr>
        <w:trPr>
          <w:trHeight w:val="310"/>
        </w:trPr>
        <w:tc>
          <w:tcPr>
            <w:tcW w:w="720" w:type="dxa"/>
            <w:vAlign w:val="bottom"/>
          </w:tcPr>
          <w:p>
            <w:pPr>
              <w:ind w:left="80"/>
              <w:spacing w:after="0"/>
              <w:rPr>
                <w:sz w:val="20"/>
                <w:szCs w:val="20"/>
                <w:color w:val="auto"/>
              </w:rPr>
            </w:pPr>
            <w:r>
              <w:rPr>
                <w:rFonts w:ascii="Arial" w:cs="Arial" w:eastAsia="Arial" w:hAnsi="Arial"/>
                <w:sz w:val="18"/>
                <w:szCs w:val="18"/>
                <w:color w:val="auto"/>
              </w:rPr>
              <w:t>4.1</w:t>
            </w: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Specimen Stock Certificate (incorporated by reference to Exhibit 4.1 of Amendment 6 to our Registration Statement on Form S-1 (No. 333-</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121001)).</w:t>
            </w:r>
          </w:p>
        </w:tc>
      </w:tr>
      <w:tr>
        <w:trPr>
          <w:trHeight w:val="324"/>
        </w:trPr>
        <w:tc>
          <w:tcPr>
            <w:tcW w:w="720" w:type="dxa"/>
            <w:vAlign w:val="bottom"/>
          </w:tcPr>
          <w:p>
            <w:pPr>
              <w:ind w:left="80"/>
              <w:spacing w:after="0"/>
              <w:rPr>
                <w:sz w:val="20"/>
                <w:szCs w:val="20"/>
                <w:color w:val="auto"/>
              </w:rPr>
            </w:pPr>
            <w:r>
              <w:rPr>
                <w:rFonts w:ascii="Arial" w:cs="Arial" w:eastAsia="Arial" w:hAnsi="Arial"/>
                <w:sz w:val="18"/>
                <w:szCs w:val="18"/>
                <w:color w:val="auto"/>
              </w:rPr>
              <w:t>4.2</w:t>
            </w:r>
          </w:p>
        </w:tc>
        <w:tc>
          <w:tcPr>
            <w:tcW w:w="10560" w:type="dxa"/>
            <w:vAlign w:val="bottom"/>
          </w:tcPr>
          <w:p>
            <w:pPr>
              <w:ind w:left="340"/>
              <w:spacing w:after="0"/>
              <w:rPr>
                <w:sz w:val="20"/>
                <w:szCs w:val="20"/>
                <w:color w:val="auto"/>
              </w:rPr>
            </w:pPr>
            <w:r>
              <w:rPr>
                <w:rFonts w:ascii="Arial" w:cs="Arial" w:eastAsia="Arial" w:hAnsi="Arial"/>
                <w:sz w:val="18"/>
                <w:szCs w:val="18"/>
                <w:color w:val="auto"/>
                <w:w w:val="95"/>
              </w:rPr>
              <w:t>Registration Rights Agreement (incorporated by reference to Exhibit 4.1 to the Current Report on Form 8-K filed on October 25, 2006).</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340"/>
              <w:spacing w:after="0"/>
              <w:rPr>
                <w:sz w:val="20"/>
                <w:szCs w:val="20"/>
                <w:color w:val="auto"/>
              </w:rPr>
            </w:pPr>
            <w:r>
              <w:rPr>
                <w:rFonts w:ascii="Arial" w:cs="Arial" w:eastAsia="Arial" w:hAnsi="Arial"/>
                <w:sz w:val="18"/>
                <w:szCs w:val="18"/>
                <w:color w:val="auto"/>
                <w:w w:val="96"/>
              </w:rPr>
              <w:t>Professional Services Agreement, dated March 7, 2006, between The Travelers Indemnity Company and ExlService Holdings, Inc as</w:t>
            </w:r>
          </w:p>
        </w:tc>
      </w:tr>
      <w:tr>
        <w:trPr>
          <w:trHeight w:val="216"/>
        </w:trPr>
        <w:tc>
          <w:tcPr>
            <w:tcW w:w="7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4"/>
              </w:rPr>
              <w:t>amended by Amendment 3, effective January 1, 2009 (incorporated by reference to Exhibit 10.1 to Annual Report on Form 10-K filed on</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March 16, 2010).</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Employment Agreement, dated May 1, 2009, between exlservice.com (India) Private Limited and Vishal Chhibbar (incorporated by reference</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to Exhibit 10.2 to Annual Report on Form 10-K filed on March 16, 2010).</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Letter Agreement, effective June 1, 2009, between ExlService Holdings, Inc, and Vishal Chhibbar (incorporated by reference to Exhibit 10.3</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to Annual Report on Form 10-K filed on March 16, 2010).</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340"/>
              <w:spacing w:after="0"/>
              <w:rPr>
                <w:sz w:val="20"/>
                <w:szCs w:val="20"/>
                <w:color w:val="auto"/>
              </w:rPr>
            </w:pPr>
            <w:r>
              <w:rPr>
                <w:rFonts w:ascii="Arial" w:cs="Arial" w:eastAsia="Arial" w:hAnsi="Arial"/>
                <w:sz w:val="18"/>
                <w:szCs w:val="18"/>
                <w:color w:val="auto"/>
                <w:w w:val="94"/>
              </w:rPr>
              <w:t>Amended and Restated Employment and Non-Competition Agreement entered into by and among ExlService Holdings, Inc. and Vikram</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Talwar (incorporated by reference to Exhibit 10.10 to Annual Report on Form 10-K filed on March 16, 2009).</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340"/>
              <w:spacing w:after="0"/>
              <w:rPr>
                <w:sz w:val="20"/>
                <w:szCs w:val="20"/>
                <w:color w:val="auto"/>
              </w:rPr>
            </w:pPr>
            <w:r>
              <w:rPr>
                <w:rFonts w:ascii="Arial" w:cs="Arial" w:eastAsia="Arial" w:hAnsi="Arial"/>
                <w:sz w:val="18"/>
                <w:szCs w:val="18"/>
                <w:color w:val="auto"/>
                <w:w w:val="90"/>
              </w:rPr>
              <w:t>Amendment, effective June 2, 2010, to the Amended and Restated Employment and Non-Competition Agreement, dated December 16, 2008</w:t>
            </w:r>
          </w:p>
        </w:tc>
      </w:tr>
      <w:tr>
        <w:trPr>
          <w:trHeight w:val="216"/>
        </w:trPr>
        <w:tc>
          <w:tcPr>
            <w:tcW w:w="7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between Vikram Talwar and ExlService Holdings, Inc. (incorporated by reference to Exhibit 10.1 to Quarterly Report on Form 10-Q filed on</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August 9, 2010).</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Summary of terms of compensation for Vikram Talwar (incorporated by reference to Exhibit 10.1 to Quarterly Report on Form 10-Q filed on</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November 9, 2010).</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340"/>
              <w:spacing w:after="0"/>
              <w:rPr>
                <w:sz w:val="20"/>
                <w:szCs w:val="20"/>
                <w:color w:val="auto"/>
              </w:rPr>
            </w:pPr>
            <w:r>
              <w:rPr>
                <w:rFonts w:ascii="Arial" w:cs="Arial" w:eastAsia="Arial" w:hAnsi="Arial"/>
                <w:sz w:val="18"/>
                <w:szCs w:val="18"/>
                <w:color w:val="auto"/>
                <w:w w:val="95"/>
              </w:rPr>
              <w:t>Amended and Restated Employment and Non-Competition Agreement entered into by and among ExlService Holdings, Inc. and Rohit</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Kapoor (incorporated by reference to Exhibit 10.11 to Annual Report on Form 10-K filed on March 16, 2009).</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Amendment to the Amended and Restated Employment and Non-Competition Agreement entered into by and among ExlService Holdings,</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Inc. and Rohit Kapoor (incorporated by reference to Exhibit 10.7 to Annual Report on Form 10-K filed on March 16, 2010).</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340"/>
              <w:spacing w:after="0"/>
              <w:rPr>
                <w:sz w:val="20"/>
                <w:szCs w:val="20"/>
                <w:color w:val="auto"/>
              </w:rPr>
            </w:pPr>
            <w:r>
              <w:rPr>
                <w:rFonts w:ascii="Arial" w:cs="Arial" w:eastAsia="Arial" w:hAnsi="Arial"/>
                <w:sz w:val="18"/>
                <w:szCs w:val="18"/>
                <w:color w:val="auto"/>
                <w:w w:val="95"/>
              </w:rPr>
              <w:t>ExlService Holdings, Inc. 2003 India Stock Option Plan (incorporated by reference to Exhibit 10.16 of Amendment 6 to our Registration</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Statement on Form S-1 (No. 333-121001)).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340"/>
              <w:spacing w:after="0"/>
              <w:rPr>
                <w:sz w:val="20"/>
                <w:szCs w:val="20"/>
                <w:color w:val="auto"/>
              </w:rPr>
            </w:pPr>
            <w:r>
              <w:rPr>
                <w:rFonts w:ascii="Arial" w:cs="Arial" w:eastAsia="Arial" w:hAnsi="Arial"/>
                <w:sz w:val="18"/>
                <w:szCs w:val="18"/>
                <w:color w:val="auto"/>
                <w:w w:val="91"/>
              </w:rPr>
              <w:t>ExlService Holdings, Inc. 2003 Stock Option Plan (incorporated by reference to Exhibit 10.18 of Amendment 6 to our Registration Statement</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on Form S-1 (No. 333-121001)).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ExlService Holdings, Inc. 2006 Omnibus Plan (incorporated by reference to Exhibit 10.20 of Amendment 6 to our Registration Statement on</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Form S-1 (No. 333-121001)).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340"/>
              <w:spacing w:after="0"/>
              <w:rPr>
                <w:sz w:val="20"/>
                <w:szCs w:val="20"/>
                <w:color w:val="auto"/>
              </w:rPr>
            </w:pPr>
            <w:r>
              <w:rPr>
                <w:rFonts w:ascii="Arial" w:cs="Arial" w:eastAsia="Arial" w:hAnsi="Arial"/>
                <w:sz w:val="18"/>
                <w:szCs w:val="18"/>
                <w:color w:val="auto"/>
                <w:w w:val="93"/>
              </w:rPr>
              <w:t>ExlService Holdings, Inc. 2006 Omnibus India Subplan 1 (incorporated by reference to Exhibit 10.21 of Amendment 6 to our Registration</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Statement on Form S-1 (No. 333-121001)).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340"/>
              <w:spacing w:after="0"/>
              <w:rPr>
                <w:sz w:val="20"/>
                <w:szCs w:val="20"/>
                <w:color w:val="auto"/>
              </w:rPr>
            </w:pPr>
            <w:r>
              <w:rPr>
                <w:rFonts w:ascii="Arial" w:cs="Arial" w:eastAsia="Arial" w:hAnsi="Arial"/>
                <w:sz w:val="18"/>
                <w:szCs w:val="18"/>
                <w:color w:val="auto"/>
                <w:w w:val="92"/>
              </w:rPr>
              <w:t>Form of Stock Option Agreement under the 2006 Omnibus India Subplan 1 (incorporated by reference to Exhibit 10.22 of Amendment 6 to</w:t>
            </w:r>
          </w:p>
        </w:tc>
      </w:tr>
      <w:tr>
        <w:trPr>
          <w:trHeight w:val="230"/>
        </w:trPr>
        <w:tc>
          <w:tcPr>
            <w:tcW w:w="72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our Registration Statement on Form S-1 (No. 333-121001)).</w:t>
            </w:r>
          </w:p>
        </w:tc>
      </w:tr>
      <w:tr>
        <w:trPr>
          <w:trHeight w:val="365"/>
        </w:trPr>
        <w:tc>
          <w:tcPr>
            <w:tcW w:w="72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10.14</w:t>
            </w: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ExlService Holdings, Inc. Management Incentive Plan (incorporated by reference to Exhibit 10.23 of Amendment 6 to our Registration</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10.15</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Form of Restricted Stock Award Agreement under the 2006 Omnibus Award Plan (incorporated by reference to Exhibit 10.31 of Amendment</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10.16</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Form of Stock Option Agreement under the 2006 Omnibus Award Plan (incorporated by reference to Exhibit 10.32 of Amendment 6 to our</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10.17</w:t>
            </w: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Form of Restricted Stock Award Agreement under the 2006 Omnibus India Subplan 1 (incorporated by reference to Exhibit 10.33 of</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10.18</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ExlService Holdings, Inc. 2006 Omnibus India Subplan 2 (incorporated by reference to Exhibit 10.38 of Amendment 6 to our Registration</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10.19</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Form of Stock Option Agreement under the 2006 Omnibus India Subplan 2 (incorporated by reference to Exhibit 10.39 of Amendment 6 to</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10.20</w:t>
            </w: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Form of Restricted Stock Award Agreement under the 2006 Omnibus India Subplan 2 (incorporated by reference to Exhibit 10.40 of</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Amendment 6 to 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10.21</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Restricted Stock Award Agreement between Vikram Talwar and the Company dated July 27, 2006 (incorporated by reference to Exhibit 10.41</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of Amendment 6 to 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10.22</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Non-Qualified Stock Option Agreement between Rohit Kapoor and the Company dated July 27, 2006 (incorporated by reference to Exhibit</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10.42 of Amendment 6 to 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10.23</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Amendment to ExlService Holdings, Inc. 2006 Omnibus Award Plan (incorporated by reference to Exhibit 10.43 of Amendment 6 to our</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10.24</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Form of Restricted Stock Unit Agreement 1 under the 2006 Omnibus Award Plan (incorporated by reference to Exhibit 10.44 of Amendment</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10.25</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Form of Restricted Stock Unit Agreement 2 under the 2006 Omnibus Award Plan (incorporated by reference to Exhibit 10.45 of Amendment</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6 to 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10.26</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Amendment No. 2 to ExlService Holdings, Inc. 2006 Omnibus Award Plan (incorporated by reference to Exhibit 10.46 of Amendment 6 to</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our Registration Statement on Form S-1 (No. 333-121001)).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10.27</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Letter Agreement, dated March 20, 2008, between Exl Service.com, Inc. and Rembert de Villa (incorporated by reference to Exhibit 10.29 to</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the Annual Report on Form 10-K filed on March 16, 2011).</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10.28</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Form of 2010 Restricted Stock Unit Agreement 1 (incorporated by reference to Exhibit 99.1 to the Current Report on Form 8-K filed on</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February 4, 2010).</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10.29</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Form of 2010 Restricted Stock Unit Agreement 2 (incorporated by reference to Exhibit 99.2 to the Current Report on Form 8-K filed on</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February 4, 2010).</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10.30</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Form of 2010 Restricted Stock Unit Agreement 3 (incorporated by reference to Exhibit 99.3 to the Current Report on Form 8-K filed on</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February 4, 2010).</w:t>
            </w:r>
          </w:p>
        </w:tc>
      </w:tr>
      <w:tr>
        <w:trPr>
          <w:trHeight w:val="310"/>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10.31</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Form of 2010 Restricted Stock Unit Agreement 4 (incorporated by reference to Exhibit 99.4 to the Current Report on Form 8-K filed on</w:t>
            </w:r>
          </w:p>
        </w:tc>
      </w:tr>
      <w:tr>
        <w:trPr>
          <w:trHeight w:val="230"/>
        </w:trPr>
        <w:tc>
          <w:tcPr>
            <w:tcW w:w="720" w:type="dxa"/>
            <w:vAlign w:val="bottom"/>
          </w:tcPr>
          <w:p>
            <w:pPr>
              <w:spacing w:after="0"/>
              <w:rPr>
                <w:sz w:val="20"/>
                <w:szCs w:val="20"/>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February 4, 2010).</w:t>
            </w:r>
          </w:p>
        </w:tc>
      </w:tr>
      <w:tr>
        <w:trPr>
          <w:trHeight w:val="365"/>
        </w:trPr>
        <w:tc>
          <w:tcPr>
            <w:tcW w:w="72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00"/>
          </w:cols>
          <w:pgMar w:left="240" w:top="459" w:right="259" w:bottom="144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9940" w:type="dxa"/>
            <w:vAlign w:val="bottom"/>
          </w:tcPr>
          <w:p>
            <w:pPr>
              <w:spacing w:after="0"/>
              <w:rPr>
                <w:sz w:val="17"/>
                <w:szCs w:val="17"/>
                <w:color w:val="auto"/>
              </w:rPr>
            </w:pPr>
          </w:p>
        </w:tc>
      </w:tr>
      <w:tr>
        <w:trPr>
          <w:trHeight w:val="627"/>
        </w:trPr>
        <w:tc>
          <w:tcPr>
            <w:tcW w:w="1360" w:type="dxa"/>
            <w:vAlign w:val="bottom"/>
            <w:tcBorders>
              <w:top w:val="single" w:sz="8" w:color="0000EE"/>
            </w:tcBorders>
          </w:tcPr>
          <w:p>
            <w:pPr>
              <w:ind w:left="10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Form of 2010 Restricted Stock Unit Agreement 5 (incorporated by reference to Exhibit 99.5 to the Current Report on Form 8-K filed on</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February 4, 2010).</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Framework Agreement, dated July 25, 2005, between Centrica plc, the Company and ExlService.com (India) Private Limited</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by reference to Exhibit 10.37 to Annual Report on Form 10-K filed on March 16, 2009).</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Notice of Extension between Centrica plc and the Company, dated July 11, 2008 (incorporated by reference to Exhibit 10.1 to the</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Quarterly Report on Form 10-Q filed on November 10, 2008).</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Amendment No. 6, dated April 1, 2009, to the Framework Agreement between Centrica plc, the Company and ExlService.com (India)</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Private Limited (incorporated by reference to Exhibit 10.36 to Annual Report on Form 10-K filed on March 16, 2010).</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Amendment No. 3 to ExlService Holdings, Inc. 2006 Omnibus Award Plan (incorporated by reference to Exhibit 4.6 to our Registration</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on Form S-8 (No. 333-157076)).</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Framework Agreement, dated February 29, 2012, by and among Centrica plc, the Company and exl Service.com (India) Private Limited</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by reference to Exhibit 10.39 to the Annual Report on Form 10-K/A filed on June 1, 2012).</w:t>
            </w:r>
          </w:p>
        </w:tc>
      </w:tr>
      <w:tr>
        <w:trPr>
          <w:trHeight w:val="324"/>
        </w:trPr>
        <w:tc>
          <w:tcPr>
            <w:tcW w:w="1360" w:type="dxa"/>
            <w:vAlign w:val="bottom"/>
          </w:tcPr>
          <w:p>
            <w:pPr>
              <w:ind w:left="10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1360" w:type="dxa"/>
            <w:vAlign w:val="bottom"/>
          </w:tcPr>
          <w:p>
            <w:pPr>
              <w:ind w:left="10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Certification of the Chief Executive Officer of ExlService Holdings, pursuant to Rule 13a-14(a) of the Exchange Act, as adopted pursuant</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 Section 302 of the Sarbanes-Oxley Act of 2002.</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Certification of the Chief Financial Officer of ExlService Holdings, pursuant to Rule 13a-14(a) of the Exchange Act, as adopted pursuant</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 Section 302 of the Sarbanes-Oxley Act of 2002.</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Certification of the Chief Executive Officer pursuant to Rule 13a-14(b) of the Exchange Act and 18 U.S.C. Section 1350, as adopted</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10"/>
        </w:trPr>
        <w:tc>
          <w:tcPr>
            <w:tcW w:w="1360" w:type="dxa"/>
            <w:vAlign w:val="bottom"/>
          </w:tcPr>
          <w:p>
            <w:pPr>
              <w:ind w:left="10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5"/>
              </w:rPr>
              <w:t>Certification of the Chief Financial Officer pursuant to Rule 13a-14(b) of the Exchange Act and 18 U.S.C. Section 1350, as adopted</w:t>
            </w:r>
          </w:p>
        </w:tc>
      </w:tr>
      <w:tr>
        <w:trPr>
          <w:trHeight w:val="230"/>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spacing w:after="0"/>
              <w:rPr>
                <w:sz w:val="20"/>
                <w:szCs w:val="20"/>
                <w:color w:val="auto"/>
              </w:rPr>
            </w:pPr>
            <w:r>
              <w:rPr>
                <w:rFonts w:ascii="Arial" w:cs="Arial" w:eastAsia="Arial" w:hAnsi="Arial"/>
                <w:sz w:val="18"/>
                <w:szCs w:val="18"/>
                <w:color w:val="auto"/>
              </w:rPr>
              <w:t>XBRL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firstLine="8"/>
        <w:spacing w:after="0" w:line="291" w:lineRule="auto"/>
        <w:tabs>
          <w:tab w:leader="none" w:pos="4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confidential treatment granted by the SEC. The omitted portions have been filed with the SEC. ** This exhibit will not be deemed “filed” for purposes of Section 18 of the Exchange Act, or otherwise subject to the liability of that section. Such exhibit</w:t>
      </w:r>
    </w:p>
    <w:p>
      <w:pPr>
        <w:ind w:left="460" w:right="100"/>
        <w:spacing w:after="0" w:line="261" w:lineRule="auto"/>
        <w:rPr>
          <w:rFonts w:ascii="Arial" w:cs="Arial" w:eastAsia="Arial" w:hAnsi="Arial"/>
          <w:sz w:val="16"/>
          <w:szCs w:val="16"/>
          <w:color w:val="auto"/>
        </w:rPr>
      </w:pPr>
      <w:r>
        <w:rPr>
          <w:rFonts w:ascii="Arial" w:cs="Arial" w:eastAsia="Arial" w:hAnsi="Arial"/>
          <w:sz w:val="18"/>
          <w:szCs w:val="18"/>
          <w:color w:val="auto"/>
        </w:rPr>
        <w:t>will not be deemed to be incorporated by reference into any filing under the Securities Act or the Exchange Act, except to the extent that the Company specifically incorporates it by reference.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46"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9"/>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1020" w:type="dxa"/>
            <w:vAlign w:val="bottom"/>
            <w:gridSpan w:val="9"/>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1066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Balance Sheets as of December 31, 2013 and 2012</w:t>
              </w:r>
            </w:hyperlink>
          </w:p>
        </w:tc>
        <w:tc>
          <w:tcPr>
            <w:tcW w:w="60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Income for the years ended December 31, 2013, 2012 and 2011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Comprehensive Income/(Loss) for the years ended December 31, 2013, 2012 and 2011</w:t>
              </w:r>
            </w:hyperlink>
          </w:p>
        </w:tc>
        <w:tc>
          <w:tcPr>
            <w:tcW w:w="2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Stockholders’ Equity for the years ended December 31, 2013, 2012 and 2011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 for the years ended December 31, 2013, 2012 and 2011</w:t>
              </w:r>
            </w:hyperlink>
          </w:p>
        </w:tc>
        <w:tc>
          <w:tcPr>
            <w:tcW w:w="660" w:type="dxa"/>
            <w:vAlign w:val="bottom"/>
            <w:tcBorders>
              <w:top w:val="single" w:sz="8" w:color="0000EE"/>
            </w:tcBorders>
          </w:tcPr>
          <w:p>
            <w:pPr>
              <w:spacing w:after="0"/>
              <w:rPr>
                <w:sz w:val="24"/>
                <w:szCs w:val="24"/>
                <w:color w:val="auto"/>
              </w:rPr>
            </w:pPr>
          </w:p>
        </w:tc>
        <w:tc>
          <w:tcPr>
            <w:tcW w:w="30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5"/>
          </w:tcPr>
          <w:p>
            <w:pPr>
              <w:ind w:left="5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ExlService Holdings, Inc. and subsidiaries as of December 31, 2013 and 2012, and the related consolidated statements of income, comprehensive income/(loss), stockholders’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ExlService Holdings, Inc. and subsidiaries at December 31, 2013 and 2012, and the consolidated results of their operations and their cash flows for each of the three years in the period ended December 31, 2013, in conformity with U.S. generally accepted accounting principles.</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ExlService Holdings, Inc. and subsidiaries’ internal control over financial reporting as of December 31, 2013, based on criteria established in Internal Control—Integrated Framework issued by the Committee of Sponsoring Organizations of the Treadway Commission (1992 Framework) and our report dated March 3, 2014 expressed an unqualified opinion thereon.</w:t>
      </w:r>
    </w:p>
    <w:p>
      <w:pPr>
        <w:spacing w:after="0" w:line="187" w:lineRule="exact"/>
        <w:rPr>
          <w:sz w:val="20"/>
          <w:szCs w:val="20"/>
          <w:color w:val="auto"/>
        </w:rPr>
      </w:pPr>
    </w:p>
    <w:p>
      <w:pPr>
        <w:jc w:val="right"/>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ExlService Holdings, Inc.</w:t>
      </w:r>
    </w:p>
    <w:p>
      <w:pPr>
        <w:spacing w:after="0" w:line="225" w:lineRule="exact"/>
        <w:rPr>
          <w:sz w:val="20"/>
          <w:szCs w:val="20"/>
          <w:color w:val="auto"/>
        </w:rPr>
      </w:pPr>
    </w:p>
    <w:p>
      <w:pPr>
        <w:ind w:right="440" w:firstLine="456"/>
        <w:spacing w:after="0" w:line="255" w:lineRule="auto"/>
        <w:rPr>
          <w:sz w:val="20"/>
          <w:szCs w:val="20"/>
          <w:color w:val="auto"/>
        </w:rPr>
      </w:pPr>
      <w:r>
        <w:rPr>
          <w:rFonts w:ascii="Arial" w:cs="Arial" w:eastAsia="Arial" w:hAnsi="Arial"/>
          <w:sz w:val="18"/>
          <w:szCs w:val="18"/>
          <w:color w:val="auto"/>
        </w:rPr>
        <w:t>We have audited ExlService Holdings, Inc. and subsidiaries’ internal control over financial reporting as of December 31, 2013, based on criteria established in Internal Control—Integrated Framework issued by the Committee of Sponsoring Organizations of the Treadway Commission (1992 Framework) (the COSO criteria). ExlService Holdings,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our opinion, ExlService Holdings, Inc. and subsidiaries maintained, in all material respects, effective internal control over financial reporting as of December 31, 2013, based on the COSO criteria.</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ExlService Holdings, Inc. and subsidiaries as of December 31, 2013 and 2012, and the related consolidated statements of income, comprehensive income/(loss), stockholders’ equity and cash flows for each of the three years in the period ended December 31, 2013 and our report dated March 3, 2014 expressed an unqualified opinion thereon.</w:t>
      </w:r>
    </w:p>
    <w:p>
      <w:pPr>
        <w:spacing w:after="0" w:line="187" w:lineRule="exact"/>
        <w:rPr>
          <w:sz w:val="20"/>
          <w:szCs w:val="20"/>
          <w:color w:val="auto"/>
        </w:rPr>
      </w:pPr>
    </w:p>
    <w:p>
      <w:pPr>
        <w:jc w:val="right"/>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(Recasted)</w:t>
            </w: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148,065</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103,037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5,987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76,121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72,443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Deferred tax assets,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6,958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7,460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Advance income tax,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252,627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206,104</w:t>
            </w:r>
          </w:p>
        </w:tc>
        <w:tc>
          <w:tcPr>
            <w:tcW w:w="100" w:type="dxa"/>
            <w:vAlign w:val="bottom"/>
            <w:shd w:val="clear" w:color="auto" w:fill="CCEEFF"/>
          </w:tcPr>
          <w:p>
            <w:pPr>
              <w:spacing w:after="0"/>
              <w:rPr>
                <w:sz w:val="17"/>
                <w:szCs w:val="17"/>
                <w:color w:val="auto"/>
              </w:rPr>
            </w:pPr>
          </w:p>
        </w:tc>
      </w:tr>
      <w:tr>
        <w:trPr>
          <w:trHeight w:val="204"/>
        </w:trPr>
        <w:tc>
          <w:tcPr>
            <w:tcW w:w="9020" w:type="dxa"/>
            <w:vAlign w:val="bottom"/>
            <w:gridSpan w:val="2"/>
          </w:tcPr>
          <w:p>
            <w:pPr>
              <w:spacing w:after="0"/>
              <w:rPr>
                <w:sz w:val="20"/>
                <w:szCs w:val="20"/>
                <w:color w:val="auto"/>
              </w:rPr>
            </w:pPr>
            <w:r>
              <w:rPr>
                <w:rFonts w:ascii="Arial" w:cs="Arial" w:eastAsia="Arial" w:hAnsi="Arial"/>
                <w:sz w:val="16"/>
                <w:szCs w:val="16"/>
                <w:color w:val="auto"/>
              </w:rPr>
              <w:t>Fixed assets,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34,564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39,356</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Arial" w:cs="Arial" w:eastAsia="Arial" w:hAnsi="Arial"/>
                <w:sz w:val="16"/>
                <w:szCs w:val="16"/>
                <w:color w:val="auto"/>
              </w:rPr>
              <w:t>Deferred tax assets,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12,254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14,123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40,711</w:t>
            </w:r>
          </w:p>
        </w:tc>
      </w:tr>
      <w:tr>
        <w:trPr>
          <w:trHeight w:val="203"/>
        </w:trPr>
        <w:tc>
          <w:tcPr>
            <w:tcW w:w="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107,407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110,948</w:t>
            </w: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20,860</w:t>
            </w:r>
          </w:p>
        </w:tc>
        <w:tc>
          <w:tcPr>
            <w:tcW w:w="100" w:type="dxa"/>
            <w:vAlign w:val="bottom"/>
            <w:shd w:val="clear" w:color="auto" w:fill="CCEEFF"/>
          </w:tcPr>
          <w:p>
            <w:pPr>
              <w:spacing w:after="0"/>
              <w:rPr>
                <w:sz w:val="17"/>
                <w:szCs w:val="17"/>
                <w:color w:val="auto"/>
              </w:rPr>
            </w:pPr>
          </w:p>
        </w:tc>
      </w:tr>
      <w:tr>
        <w:trPr>
          <w:trHeight w:val="207"/>
        </w:trPr>
        <w:tc>
          <w:tcPr>
            <w:tcW w:w="902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463,432</w:t>
            </w:r>
          </w:p>
        </w:tc>
        <w:tc>
          <w:tcPr>
            <w:tcW w:w="340" w:type="dxa"/>
            <w:vAlign w:val="bottom"/>
          </w:tcPr>
          <w:p>
            <w:pPr>
              <w:spacing w:after="0"/>
              <w:rPr>
                <w:sz w:val="17"/>
                <w:szCs w:val="17"/>
                <w:color w:val="auto"/>
              </w:rPr>
            </w:pP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435,854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8,618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7,922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employee cost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32,219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31,737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capital lease obligations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7"/>
                <w:szCs w:val="17"/>
                <w:color w:val="auto"/>
              </w:rPr>
            </w:pPr>
          </w:p>
        </w:tc>
      </w:tr>
      <w:tr>
        <w:trPr>
          <w:trHeight w:val="217"/>
        </w:trPr>
        <w:tc>
          <w:tcPr>
            <w:tcW w:w="902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74,341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Capital lease obligations, less current portion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6"/>
                <w:szCs w:val="16"/>
                <w:color w:val="auto"/>
              </w:rPr>
              <w:t>Non-current liabilities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97,258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91,337</w:t>
            </w:r>
          </w:p>
        </w:tc>
        <w:tc>
          <w:tcPr>
            <w:tcW w:w="100" w:type="dxa"/>
            <w:vAlign w:val="bottom"/>
            <w:shd w:val="clear" w:color="auto" w:fill="CCEEFF"/>
          </w:tcPr>
          <w:p>
            <w:pPr>
              <w:spacing w:after="0"/>
              <w:rPr>
                <w:sz w:val="17"/>
                <w:szCs w:val="17"/>
                <w:color w:val="auto"/>
              </w:rPr>
            </w:pPr>
          </w:p>
        </w:tc>
      </w:tr>
      <w:tr>
        <w:trPr>
          <w:trHeight w:val="204"/>
        </w:trPr>
        <w:tc>
          <w:tcPr>
            <w:tcW w:w="9020" w:type="dxa"/>
            <w:vAlign w:val="bottom"/>
            <w:gridSpan w:val="2"/>
          </w:tcPr>
          <w:p>
            <w:pPr>
              <w:spacing w:after="0"/>
              <w:rPr>
                <w:sz w:val="20"/>
                <w:szCs w:val="20"/>
                <w:color w:val="auto"/>
              </w:rPr>
            </w:pPr>
            <w:r>
              <w:rPr>
                <w:rFonts w:ascii="Arial" w:cs="Arial" w:eastAsia="Arial" w:hAnsi="Arial"/>
                <w:sz w:val="16"/>
                <w:szCs w:val="16"/>
                <w:color w:val="auto"/>
              </w:rPr>
              <w:t>Commitments and contingencies (See Note 15)</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9000" w:type="dxa"/>
            <w:vAlign w:val="bottom"/>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$0.001 par value; 100,000,000 shares authorized, 33,342,312 shares issued and 32,172,183 shares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6"/>
              </w:rPr>
              <w:t>outstanding as of December 31, 2013 and 32,540,082 shares issued and 32,203,820 shares outstanding as of December 31,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2012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Additional paid-in-capital</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214,522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195,248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236,979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188,882</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(60,718)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(36,647)</w:t>
            </w: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 including shares held in treasury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390,816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347,516</w:t>
            </w:r>
          </w:p>
        </w:tc>
        <w:tc>
          <w:tcPr>
            <w:tcW w:w="100" w:type="dxa"/>
            <w:vAlign w:val="bottom"/>
            <w:shd w:val="clear" w:color="auto" w:fill="CCEEFF"/>
          </w:tcPr>
          <w:p>
            <w:pPr>
              <w:spacing w:after="0"/>
              <w:rPr>
                <w:sz w:val="17"/>
                <w:szCs w:val="17"/>
                <w:color w:val="auto"/>
              </w:rPr>
            </w:pPr>
          </w:p>
        </w:tc>
      </w:tr>
      <w:tr>
        <w:trPr>
          <w:trHeight w:val="217"/>
        </w:trPr>
        <w:tc>
          <w:tcPr>
            <w:tcW w:w="9020" w:type="dxa"/>
            <w:vAlign w:val="bottom"/>
            <w:gridSpan w:val="2"/>
          </w:tcPr>
          <w:p>
            <w:pPr>
              <w:spacing w:after="0"/>
              <w:rPr>
                <w:sz w:val="20"/>
                <w:szCs w:val="20"/>
                <w:color w:val="auto"/>
              </w:rPr>
            </w:pPr>
            <w:r>
              <w:rPr>
                <w:rFonts w:ascii="Arial" w:cs="Arial" w:eastAsia="Arial" w:hAnsi="Arial"/>
                <w:sz w:val="16"/>
                <w:szCs w:val="16"/>
                <w:color w:val="auto"/>
              </w:rPr>
              <w:t>Less: 1,170,129 shares as of December 31, 2013 and 336,262 shares as of December 31, 2012, held in treasury, at cost</w:t>
            </w: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(24,642)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(3,024)</w:t>
            </w: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ExlService Holdings, Inc. stockholders’ equity</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366,174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344,492</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366,174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344,517</w:t>
            </w:r>
          </w:p>
        </w:tc>
        <w:tc>
          <w:tcPr>
            <w:tcW w:w="100" w:type="dxa"/>
            <w:vAlign w:val="bottom"/>
            <w:shd w:val="clear" w:color="auto" w:fill="CCEEFF"/>
          </w:tcPr>
          <w:p>
            <w:pPr>
              <w:spacing w:after="0"/>
              <w:rPr>
                <w:sz w:val="17"/>
                <w:szCs w:val="17"/>
                <w:color w:val="auto"/>
              </w:rPr>
            </w:pPr>
          </w:p>
        </w:tc>
      </w:tr>
      <w:tr>
        <w:trPr>
          <w:trHeight w:val="207"/>
        </w:trPr>
        <w:tc>
          <w:tcPr>
            <w:tcW w:w="902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463,432</w:t>
            </w:r>
          </w:p>
        </w:tc>
        <w:tc>
          <w:tcPr>
            <w:tcW w:w="340" w:type="dxa"/>
            <w:vAlign w:val="bottom"/>
          </w:tcPr>
          <w:p>
            <w:pPr>
              <w:spacing w:after="0"/>
              <w:rPr>
                <w:sz w:val="17"/>
                <w:szCs w:val="17"/>
                <w:color w:val="auto"/>
              </w:rPr>
            </w:pP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435,854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478,452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442,930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290,942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271,876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171,054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57,192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36,376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31,007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25,623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22,994</w:t>
            </w: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120,090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113,822</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57,232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income/(expense)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(loss)/gain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56,720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16,880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14,884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34,780</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32,750,178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31,968,386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30,264,805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33,842,938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33,171,105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31,546,144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2"/>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$ 48,097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$41,836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Other comprehensive income/(loss):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20" w:type="dxa"/>
            <w:vAlign w:val="bottom"/>
            <w:shd w:val="clear" w:color="auto" w:fill="CCEEFF"/>
          </w:tcPr>
          <w:p>
            <w:pPr>
              <w:ind w:left="1080"/>
              <w:spacing w:after="0" w:line="201" w:lineRule="exact"/>
              <w:rPr>
                <w:sz w:val="20"/>
                <w:szCs w:val="20"/>
                <w:color w:val="auto"/>
              </w:rPr>
            </w:pPr>
            <w:r>
              <w:rPr>
                <w:rFonts w:ascii="Arial" w:cs="Arial" w:eastAsia="Arial" w:hAnsi="Arial"/>
                <w:sz w:val="18"/>
                <w:szCs w:val="18"/>
                <w:color w:val="auto"/>
              </w:rPr>
              <w:t>Unrealized (loss)/gain on effective cash flow hedges, net of taxes ($1,840), $192, and</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($5,509), respectively</w:t>
            </w:r>
          </w:p>
        </w:tc>
        <w:tc>
          <w:tcPr>
            <w:tcW w:w="12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(7,759)</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(14,820)</w:t>
            </w:r>
          </w:p>
        </w:tc>
      </w:tr>
      <w:tr>
        <w:trPr>
          <w:trHeight w:val="216"/>
        </w:trPr>
        <w:tc>
          <w:tcPr>
            <w:tcW w:w="8320" w:type="dxa"/>
            <w:vAlign w:val="bottom"/>
          </w:tcPr>
          <w:p>
            <w:pPr>
              <w:ind w:left="1080"/>
              <w:spacing w:after="0"/>
              <w:rPr>
                <w:sz w:val="20"/>
                <w:szCs w:val="20"/>
                <w:color w:val="auto"/>
              </w:rPr>
            </w:pPr>
            <w:r>
              <w:rPr>
                <w:rFonts w:ascii="Arial" w:cs="Arial" w:eastAsia="Arial" w:hAnsi="Arial"/>
                <w:sz w:val="18"/>
                <w:szCs w:val="18"/>
                <w:color w:val="auto"/>
              </w:rPr>
              <w:t>Foreign currency translation adjustment</w:t>
            </w:r>
          </w:p>
        </w:tc>
        <w:tc>
          <w:tcPr>
            <w:tcW w:w="1200" w:type="dxa"/>
            <w:vAlign w:val="bottom"/>
            <w:gridSpan w:val="4"/>
          </w:tcPr>
          <w:p>
            <w:pPr>
              <w:jc w:val="right"/>
              <w:ind w:right="408"/>
              <w:spacing w:after="0"/>
              <w:rPr>
                <w:sz w:val="20"/>
                <w:szCs w:val="20"/>
                <w:color w:val="auto"/>
              </w:rPr>
            </w:pPr>
            <w:r>
              <w:rPr>
                <w:rFonts w:ascii="Arial" w:cs="Arial" w:eastAsia="Arial" w:hAnsi="Arial"/>
                <w:sz w:val="18"/>
                <w:szCs w:val="18"/>
                <w:color w:val="auto"/>
              </w:rPr>
              <w:t>(19,605)</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(4,149)</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(24,844)</w:t>
            </w:r>
          </w:p>
        </w:tc>
      </w:tr>
      <w:tr>
        <w:trPr>
          <w:trHeight w:val="216"/>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Retirement benefits, net of taxes ($91), ($65) and ($66), respectively</w:t>
            </w:r>
          </w:p>
        </w:tc>
        <w:tc>
          <w:tcPr>
            <w:tcW w:w="12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(331)</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8320" w:type="dxa"/>
            <w:vAlign w:val="bottom"/>
          </w:tcPr>
          <w:p>
            <w:pPr>
              <w:ind w:left="720"/>
              <w:spacing w:after="0"/>
              <w:rPr>
                <w:sz w:val="20"/>
                <w:szCs w:val="20"/>
                <w:color w:val="auto"/>
              </w:rPr>
            </w:pPr>
            <w:r>
              <w:rPr>
                <w:rFonts w:ascii="Arial" w:cs="Arial" w:eastAsia="Arial" w:hAnsi="Arial"/>
                <w:sz w:val="18"/>
                <w:szCs w:val="18"/>
                <w:color w:val="auto"/>
              </w:rPr>
              <w:t>Reclassification adjustments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20" w:type="dxa"/>
            <w:vAlign w:val="bottom"/>
            <w:shd w:val="clear" w:color="auto" w:fill="CCEEFF"/>
          </w:tcPr>
          <w:p>
            <w:pPr>
              <w:ind w:left="1080"/>
              <w:spacing w:after="0" w:line="201" w:lineRule="exact"/>
              <w:rPr>
                <w:sz w:val="20"/>
                <w:szCs w:val="20"/>
                <w:color w:val="auto"/>
              </w:rPr>
            </w:pPr>
            <w:r>
              <w:rPr>
                <w:rFonts w:ascii="Arial" w:cs="Arial" w:eastAsia="Arial" w:hAnsi="Arial"/>
                <w:sz w:val="18"/>
                <w:szCs w:val="18"/>
                <w:color w:val="auto"/>
              </w:rPr>
              <w:t>Realized loss/(gain) on cash flow hedges, net of taxes $1,625, $2,106 and ($484),</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respectively</w:t>
            </w:r>
            <w:r>
              <w:rPr>
                <w:rFonts w:ascii="Arial" w:cs="Arial" w:eastAsia="Arial" w:hAnsi="Arial"/>
                <w:sz w:val="15"/>
                <w:szCs w:val="15"/>
                <w:color w:val="auto"/>
              </w:rPr>
              <w:t>(1)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6,938</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16"/>
        </w:trPr>
        <w:tc>
          <w:tcPr>
            <w:tcW w:w="8320" w:type="dxa"/>
            <w:vAlign w:val="bottom"/>
          </w:tcPr>
          <w:p>
            <w:pPr>
              <w:ind w:left="1080"/>
              <w:spacing w:after="0"/>
              <w:rPr>
                <w:sz w:val="20"/>
                <w:szCs w:val="20"/>
                <w:color w:val="auto"/>
              </w:rPr>
            </w:pPr>
            <w:r>
              <w:rPr>
                <w:rFonts w:ascii="Arial" w:cs="Arial" w:eastAsia="Arial" w:hAnsi="Arial"/>
                <w:sz w:val="18"/>
                <w:szCs w:val="18"/>
                <w:color w:val="auto"/>
              </w:rPr>
              <w:t>Retirement benefits, net of taxes $31, $26 and $22</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comprehensive (loss)/income</w:t>
            </w: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(24,071)</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(40,984)</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comprehensive income/(loss)</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$ 24,026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45,047</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4" w:lineRule="exact"/>
        <w:rPr>
          <w:sz w:val="20"/>
          <w:szCs w:val="20"/>
          <w:color w:val="auto"/>
        </w:rPr>
      </w:pPr>
    </w:p>
    <w:p>
      <w:pPr>
        <w:ind w:left="460" w:right="800" w:hanging="452"/>
        <w:spacing w:after="0" w:line="258"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loss in the consolidated statements of income. See Note 7 to the consolidated financial statements.</w:t>
      </w:r>
    </w:p>
    <w:p>
      <w:pPr>
        <w:spacing w:after="0" w:line="1" w:lineRule="exact"/>
        <w:rPr>
          <w:rFonts w:ascii="Arial" w:cs="Arial" w:eastAsia="Arial" w:hAnsi="Arial"/>
          <w:sz w:val="18"/>
          <w:szCs w:val="18"/>
          <w:i w:val="1"/>
          <w:iCs w:val="1"/>
          <w:color w:val="auto"/>
        </w:rPr>
      </w:pPr>
    </w:p>
    <w:p>
      <w:pPr>
        <w:ind w:left="460" w:right="320" w:hanging="452"/>
        <w:spacing w:after="0" w:line="261"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consolidated statements of income. See Note 10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Non -</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Other</w:t>
            </w:r>
          </w:p>
        </w:tc>
        <w:tc>
          <w:tcPr>
            <w:tcW w:w="1640" w:type="dxa"/>
            <w:vAlign w:val="bottom"/>
            <w:gridSpan w:val="6"/>
            <w:vMerge w:val="restart"/>
          </w:tcPr>
          <w:p>
            <w:pPr>
              <w:jc w:val="right"/>
              <w:ind w:right="399"/>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Paid-in</w:t>
            </w: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6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Capital</w:t>
            </w: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2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Income/(Loss)</w:t>
            </w:r>
          </w:p>
        </w:tc>
        <w:tc>
          <w:tcPr>
            <w:tcW w:w="840" w:type="dxa"/>
            <w:vAlign w:val="bottom"/>
            <w:tcBorders>
              <w:top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Interest</w:t>
            </w: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December 31, 2010</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29,690,463</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136,173</w:t>
            </w:r>
          </w:p>
        </w:tc>
        <w:tc>
          <w:tcPr>
            <w:tcW w:w="2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$ 112,266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1,126</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(252,502)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(1,069)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w:t>
            </w: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$248,546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805,998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5,535</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in primary offering</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21,525</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Non-employee stock options</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2"/>
                <w:szCs w:val="12"/>
                <w:color w:val="auto"/>
              </w:rPr>
            </w:pP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9,462</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1,210</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(70,895)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Non controlling interest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(40,984)</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34,780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2011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31,496,461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173,926</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$ 147,046</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(39,858)</w:t>
            </w:r>
          </w:p>
        </w:tc>
        <w:tc>
          <w:tcPr>
            <w:tcW w:w="8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b w:val="1"/>
                <w:bCs w:val="1"/>
                <w:color w:val="auto"/>
              </w:rPr>
              <w:t>(323,397)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b w:val="1"/>
                <w:bCs w:val="1"/>
                <w:color w:val="auto"/>
              </w:rPr>
              <w:t>(2,693)</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$278,475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1,043,621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9,601</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options</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9,416</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2,273</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(12,865)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(331)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controlling interest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3,211</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41,836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41,836</w:t>
            </w:r>
          </w:p>
        </w:tc>
        <w:tc>
          <w:tcPr>
            <w:tcW w:w="0" w:type="dxa"/>
            <w:vAlign w:val="bottom"/>
          </w:tcPr>
          <w:p>
            <w:pPr>
              <w:spacing w:after="0"/>
              <w:rPr>
                <w:sz w:val="1"/>
                <w:szCs w:val="1"/>
                <w:color w:val="auto"/>
              </w:rPr>
            </w:pPr>
          </w:p>
        </w:tc>
      </w:tr>
      <w:tr>
        <w:trPr>
          <w:trHeight w:val="156"/>
        </w:trPr>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December 31, 2012</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32,540,082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195,248</w:t>
            </w:r>
          </w:p>
        </w:tc>
        <w:tc>
          <w:tcPr>
            <w:tcW w:w="2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$ 188,882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(36,647)</w:t>
            </w:r>
          </w:p>
        </w:tc>
        <w:tc>
          <w:tcPr>
            <w:tcW w:w="2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(336,262)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(3,024)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w:t>
            </w:r>
          </w:p>
        </w:tc>
        <w:tc>
          <w:tcPr>
            <w:tcW w:w="28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$344,517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on exercise/vesting of equity awards</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802,230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5,489</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11,832</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from stock based compensation</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1,953</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Acquisition of treasury stock</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(833,867)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1"/>
              </w:rPr>
              <w:t>(21,618)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controlling interest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(24,071)</w:t>
            </w:r>
          </w:p>
        </w:tc>
        <w:tc>
          <w:tcPr>
            <w:tcW w:w="84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48,097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48,097</w:t>
            </w:r>
          </w:p>
        </w:tc>
        <w:tc>
          <w:tcPr>
            <w:tcW w:w="0" w:type="dxa"/>
            <w:vAlign w:val="bottom"/>
          </w:tcPr>
          <w:p>
            <w:pPr>
              <w:spacing w:after="0"/>
              <w:rPr>
                <w:sz w:val="1"/>
                <w:szCs w:val="1"/>
                <w:color w:val="auto"/>
              </w:rPr>
            </w:pPr>
          </w:p>
        </w:tc>
      </w:tr>
      <w:tr>
        <w:trPr>
          <w:trHeight w:val="156"/>
        </w:trPr>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December 31, 2013</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33,342,312</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214,522</w:t>
            </w:r>
          </w:p>
        </w:tc>
        <w:tc>
          <w:tcPr>
            <w:tcW w:w="2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$ 236,979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(60,718)</w:t>
            </w:r>
          </w:p>
        </w:tc>
        <w:tc>
          <w:tcPr>
            <w:tcW w:w="2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(1,170,129</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(24,642</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366,174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Net income</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48,097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41,836</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24,917</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25,623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22,994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sale of business unit</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Write-off of accounts receivable</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2,029</w:t>
            </w: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 expense</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11,832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Amortization of deferred financing cost</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Non-employee stock options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Unrealized foreign exchange gain</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(7,782)</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(943)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bargain purchase</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2,484</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Excess tax benefit from stock-based compensation</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(1,953)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(2,273)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Non-controlling interest</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Change in operating assets and liabilities (net of effect of acquisitions):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Restricted cash</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(5,678)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(8,086)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(3,418)</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(1,793)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(375)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696</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(3,721)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expenses and other liabilities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8,871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320"/>
              <w:spacing w:after="0"/>
              <w:rPr>
                <w:sz w:val="20"/>
                <w:szCs w:val="20"/>
                <w:color w:val="auto"/>
              </w:rPr>
            </w:pPr>
            <w:r>
              <w:rPr>
                <w:rFonts w:ascii="Arial" w:cs="Arial" w:eastAsia="Arial" w:hAnsi="Arial"/>
                <w:sz w:val="16"/>
                <w:szCs w:val="16"/>
                <w:color w:val="auto"/>
              </w:rPr>
              <w:t>Advance income tax, net</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(1,313)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assets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2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16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82,792</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65,782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Purchase of fixed assets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w w:val="93"/>
              </w:rPr>
              <w:t>(15,916)</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(18,804)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(19,468)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Business acquisition (net of cash acquired)</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(1,183)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3"/>
              </w:rPr>
              <w:t>(37,500)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(1,927)</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(7,351)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(8,818)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redemption of short-term investments</w:t>
            </w:r>
          </w:p>
        </w:tc>
        <w:tc>
          <w:tcPr>
            <w:tcW w:w="16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20" w:type="dxa"/>
            <w:vAlign w:val="bottom"/>
            <w:gridSpan w:val="2"/>
          </w:tcPr>
          <w:p>
            <w:pPr>
              <w:spacing w:after="0"/>
              <w:rPr>
                <w:sz w:val="20"/>
                <w:szCs w:val="20"/>
                <w:color w:val="auto"/>
              </w:rPr>
            </w:pPr>
            <w:r>
              <w:rPr>
                <w:rFonts w:ascii="Arial" w:cs="Arial" w:eastAsia="Arial" w:hAnsi="Arial"/>
                <w:sz w:val="16"/>
                <w:szCs w:val="16"/>
                <w:color w:val="auto"/>
              </w:rPr>
              <w:t>Net cash used for investing activities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w w:val="93"/>
              </w:rPr>
              <w:t>(17,535)</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(54,834)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(105,752)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6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Principal payments on capital lease obligations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(1,511)</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(1,640)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common stock, net of issuance costs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Proceeds from short-term borrowings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short-term borrowings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Payment for purchase of non-controlling interest</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Payment of debt issuance costs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Acquisition of treasury stock</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w w:val="93"/>
              </w:rPr>
              <w:t>(21,618)</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5,489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Excess tax benefit from stock-based compensation</w:t>
            </w:r>
          </w:p>
        </w:tc>
        <w:tc>
          <w:tcPr>
            <w:tcW w:w="1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for)/provided by financing activities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3"/>
              </w:rPr>
              <w:t>(15,714)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20" w:type="dxa"/>
            <w:vAlign w:val="bottom"/>
            <w:gridSpan w:val="2"/>
            <w:vMerge w:val="continue"/>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rPr>
              <w:t>(4,515)</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Net increase/(decrease) in cash and cash equivalents</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45,028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(28,789)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103,037</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111,182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9"/>
              </w:rPr>
              <w:t>148,065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103,037</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20" w:type="dxa"/>
            <w:vAlign w:val="bottom"/>
            <w:gridSpan w:val="2"/>
            <w:vMerge w:val="continue"/>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Cash paid for taxes, net of refund</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8,585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13,779</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14,542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Assets acquired under capital lease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utilizing operations management, analytics and technology. The Company’s clients are located principally in the U.S. and the U.K.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and related notes have been reclassified to conform to the 2013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U.S. generally accepted accounting principles (“US GAAP”).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non-controlling interest at December 31, 2012 represented the minority partner’s interest in the operations of exl Service.com (India) Private Limited (“Exl India”) and the profits associated with the minority partner’s interest in those operations, in the consolidated balance sheets and consolidated statements of income, respectively. During the year ended December 31, 2013, the Company purchased the entire non-controlling interest from the minority partner for an insignificant amount. The minority partner’s interest in the operations for the years ended December 31, 2013, 2012 and 2011 was insignificant and is included under general and administrative expenses in the consolidated statements of income.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Foreign Currency Translation</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Monetary assets and liabilities in foreign currencies are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loss in the audited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time-and-material and fixed price basis. The services provided within our outsourcing and transformation contracts generally contain one unit of accounting except the information technology contracts involving complex implementation services and post contract maintenance services. Revenues are recognized under our contracts generally when persuasive evidence of an arrangement exists, the sales price is fixed or determinable, services have been performed and collection of amounts billed is reasonably assured.</w:t>
      </w:r>
    </w:p>
    <w:p>
      <w:pPr>
        <w:spacing w:after="0" w:line="193"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 Revenue on contingent fee based contracts is recognized when the related contingency has been met to the client’s satisfaction.</w:t>
      </w:r>
    </w:p>
    <w:p>
      <w:pPr>
        <w:spacing w:after="0" w:line="1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Revenues for Company’s fixed-price transformation services contracts are recognized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Revenues from software licensing arrangements, which does not involve significant production, modification, or customization of software, are recognized at the later of time of delivery or expiration of significant termination rights as long as other revenue recognition criteria (mentioned above) are met. When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there are significant production, modifications or customization, installation, systems integration or related services, the professional services and license revenues are combined as a single unit of account and maintenance services, if any, as a separate unit of account and the total contract fees are allocated among the two based on residual value method. Revenues related to license fee and the complex information technology application development services are recognized as the service is performed using the percentage of completion method of accounting, under which the total value of revenue is recognized on the basis of the percentage that each contract’s total labor hours to date bears to the total expected labor hours (input method). Revenues related to the maintenance services contract, whether entered into solely for providing such services or is segregated from a multiple element contract, is recognized on a straight-line basis over the contract term unless revenues are earned and obligations are fulfilled in a different pattern.</w:t>
      </w:r>
    </w:p>
    <w:p>
      <w:pPr>
        <w:spacing w:after="0" w:line="16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Company accrues for revenue and receivables for services rendered between the last billing date and the balance sheet date. Accordingly, our accounts receivable include amounts for services that we have performed and for which an invoice has not yet been issued to the client.</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Reimbursements of out-of-pocket expenses received from clients have been included as part of revenues on a gross basis. Revenues for the following periods include reimbursements of out-of-pocket expenses: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3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$18,862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3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$16,073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 and Restricted Cash</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ninety days or less to be cash equivalents. Pursuant to the Company’s investment policy, its surplus funds are kept as cash or cash equivalents and are invested in highly-rated mutual funds, money market accounts and time deposits to reduce its exposure to market risk with regard to these funds.</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Current restricted cash represents amounts on deposit with banks against bank guarantees issued through banks for equipment imports that will mature on various dates before December 31, 2014, as well as client funds held in dedicated bank accounts.</w:t>
      </w:r>
    </w:p>
    <w:p>
      <w:pPr>
        <w:spacing w:after="0" w:line="170"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Non-current restricted cash represents amounts on deposit with banks against bank guarantees issued through banks for equipment imports and for demands against pending income tax assessments (see Note 15 for details), that will mature on various dates after December 31,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Investments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Accounts Receivable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the accounts receivable aging and prior collection experience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estimate the ultimate collectability of these receivables. As of December 31, 2013 and 2012, the Company had $91 and $207 of allowance for doubtful accounts, respectively.</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Accounts receivable include unbilled accounts receivable which represents revenues for services performed but yet to be billed to the client. As of December 31, 2013 and 2012, the Company had $16,400 and $15,601 of unbilled accounts receivable,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Fixed Assets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Fixed assets are stated at cost less accumulated depreciation. Equipment held under capital leases are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lives used in determining depreciation are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r>
      <w:tr>
        <w:trPr>
          <w:trHeight w:val="149"/>
        </w:trPr>
        <w:tc>
          <w:tcPr>
            <w:tcW w:w="5100" w:type="dxa"/>
            <w:vAlign w:val="bottom"/>
          </w:tcPr>
          <w:p>
            <w:pPr>
              <w:spacing w:after="0"/>
              <w:rPr>
                <w:sz w:val="12"/>
                <w:szCs w:val="12"/>
                <w:color w:val="auto"/>
              </w:rPr>
            </w:pPr>
          </w:p>
        </w:tc>
        <w:tc>
          <w:tcPr>
            <w:tcW w:w="2660" w:type="dxa"/>
            <w:vAlign w:val="bottom"/>
            <w:gridSpan w:val="3"/>
          </w:tcPr>
          <w:p>
            <w:pPr>
              <w:jc w:val="center"/>
              <w:ind w:left="1674"/>
              <w:spacing w:after="0" w:line="149" w:lineRule="exact"/>
              <w:rPr>
                <w:sz w:val="20"/>
                <w:szCs w:val="20"/>
                <w:color w:val="auto"/>
              </w:rPr>
            </w:pPr>
            <w:r>
              <w:rPr>
                <w:rFonts w:ascii="Arial" w:cs="Arial" w:eastAsia="Arial" w:hAnsi="Arial"/>
                <w:sz w:val="14"/>
                <w:szCs w:val="14"/>
                <w:b w:val="1"/>
                <w:bCs w:val="1"/>
                <w:color w:val="auto"/>
                <w:w w:val="92"/>
              </w:rPr>
              <w:t>Useful Life</w:t>
            </w:r>
          </w:p>
        </w:tc>
      </w:tr>
      <w:tr>
        <w:trPr>
          <w:trHeight w:val="171"/>
        </w:trPr>
        <w:tc>
          <w:tcPr>
            <w:tcW w:w="5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Network equipment, computers and software</w:t>
            </w:r>
          </w:p>
        </w:tc>
        <w:tc>
          <w:tcPr>
            <w:tcW w:w="1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Buildings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Business Combinations, Goodwill and Other Intangible Assets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ASC topic 805, “Business Combinations” (ASC No. 805), requires that the purchase method of accounting be used for all business combinations. The guidance specifies criteria as to intangible assets acquired in a business combination that must be recognized and reported separately from goodwill. Under ASC topic 350, “Intangibles—Goodwill and Other” (ASC No. 350), all assets and liabilities of the acquired businesses, including goodwill, are assigned to reporting units.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of the reporting units to which it is assigned. Recoverability of goodwill is evaluated using a two-step process.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is tested for impairment annually or if an event occurs or circumstances change that would more likely than not reduce the fair value of the reporting unit below its carrying amount.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definite lived intangible assets are amortized over their estimated useful lives as listed below using a straight-line method:</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Leasehold benefits</w:t>
            </w:r>
          </w:p>
        </w:tc>
        <w:tc>
          <w:tcPr>
            <w:tcW w:w="3300" w:type="dxa"/>
            <w:vAlign w:val="bottom"/>
          </w:tcPr>
          <w:p>
            <w:pPr>
              <w:jc w:val="right"/>
              <w:ind w:right="50"/>
              <w:spacing w:after="0"/>
              <w:rPr>
                <w:sz w:val="20"/>
                <w:szCs w:val="20"/>
                <w:color w:val="auto"/>
              </w:rPr>
            </w:pPr>
            <w:r>
              <w:rPr>
                <w:rFonts w:ascii="Arial" w:cs="Arial" w:eastAsia="Arial" w:hAnsi="Arial"/>
                <w:sz w:val="18"/>
                <w:szCs w:val="18"/>
                <w:color w:val="auto"/>
              </w:rPr>
              <w:t>3-8 years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5-10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3300" w:type="dxa"/>
            <w:vAlign w:val="bottom"/>
          </w:tcPr>
          <w:p>
            <w:pPr>
              <w:jc w:val="right"/>
              <w:ind w:right="50"/>
              <w:spacing w:after="0"/>
              <w:rPr>
                <w:sz w:val="20"/>
                <w:szCs w:val="20"/>
                <w:color w:val="auto"/>
              </w:rPr>
            </w:pPr>
            <w:r>
              <w:rPr>
                <w:rFonts w:ascii="Arial" w:cs="Arial" w:eastAsia="Arial" w:hAnsi="Arial"/>
                <w:sz w:val="18"/>
                <w:szCs w:val="18"/>
                <w:color w:val="auto"/>
              </w:rPr>
              <w:t>1-2 years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 years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Derivative Financial Instruments.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normal course of business, the Company uses derivative instruments for the purpose of mitigating the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contracts are purchased within the Company’s policy and are with counterparties that are highly rated financial institutions.</w:t>
      </w:r>
    </w:p>
    <w:p>
      <w:pPr>
        <w:spacing w:after="0" w:line="18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The Company hedges anticipated transactions that are subject to foreign exchange exposure with foreign currency exchange contracts that qualify as cash flow hedges. Changes in the fair value of these cash flow hedges which are deemed effective, are recorded in accumulated other comprehensive income/(loss) (AOCI) until the hedged transactions occur and at that time are recognized in the consolidated statements of income. Changes in the fair value of cash flow hedges deemed ineffective are recognized in the consolidated statement of income and are included in foreign exchange (loss)/gain. The Company also uses derivatives instruments consisting of foreign currency exchange contracts to hedge intercompany balances and other monetary assets or liabilities denominated in currencies other than the functional currency. Changes in the fair value of these derivatives are recognized in the consolidated statements of income and are included in foreign exchange (loss)/gain.</w:t>
      </w:r>
    </w:p>
    <w:p>
      <w:pPr>
        <w:spacing w:after="0" w:line="17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consolidated statements of income and is included in foreign exchange (loss)/gain. For hedge relationships that are discontinued because the forecasted transaction is not expected to occur by the end of the originally specified period, any related derivative amounts recorded in equity are reclassified to earnings.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Retirement Benefits</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 The Company recognizes its liabilities for compensated absences dependent on whether the obligation is attributable to employee services already rendered, relates to rights that vest or accumulate and payment is probable and estimable.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Share-Based Compensation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recognizes stock-based compensation expense in the consolidated financial statements for awards of equity instruments to employees and non-employee directors based on the grant-date fair value of those awards. The Company recognizes these compensation costs, net of an estimated forfeiture rate, over the requisite service period of the award. Forfeitures are estimated at the time of grant and revised, if necessary, in subsequent periods if actual forfeiture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Income Taxes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8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Financial Instruments and Concentration of Credit Risk</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short-term investments, accounts receivable,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accrued expenses, and other current liabilities, recorded amounts approximate fair value due to the relatively short maturity periods of such instruments.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concentrations of credit risk consist principally of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time deposits, accounts receivable and derivative financial instruments. By their nature, all such financial instruments involve risks including the credit risks of non-performance by counterparties. Pursuant to the Company’s investment policy, its surplus funds 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maintained as cash or cash equivalents and are invested in highly-rated mutual funds, money market accounts and time deposits, placed with highly rated financial institutions to reduce its exposure to market risk with regard to these funds.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Earnings Per Share</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48,097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41,836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34,780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32,750,178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31,968,386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30,264,805</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share based awards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1,092,760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1,202,719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1,281,339</w:t>
            </w:r>
          </w:p>
        </w:tc>
        <w:tc>
          <w:tcPr>
            <w:tcW w:w="100" w:type="dxa"/>
            <w:vAlign w:val="bottom"/>
            <w:shd w:val="clear" w:color="auto" w:fill="CCEEFF"/>
          </w:tcPr>
          <w:p>
            <w:pPr>
              <w:spacing w:after="0"/>
              <w:rPr>
                <w:sz w:val="18"/>
                <w:szCs w:val="18"/>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33,842,938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33,171,105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31,546,144</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02"/>
        </w:trPr>
        <w:tc>
          <w:tcPr>
            <w:tcW w:w="726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considered anti-dilutive in computing diluted earnings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268,219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413,493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424,081</w:t>
            </w:r>
          </w:p>
        </w:tc>
        <w:tc>
          <w:tcPr>
            <w:tcW w:w="10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Accumulated Other Comprehensive Loss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For the Company, comprehensive loss consists of net earnings/(loss),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recorded as a component of accumulated other comprehensive loss until the settlement of that contract. The balances as of December 31, 2013 and 2012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Cumulative currency translation adjustments</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(50,091)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(30,486)</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1"/>
              </w:rPr>
              <w:t>Unrealized loss on cash flow hedges, net of taxes of ($2,736) and ($2,521)</w:t>
            </w: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(9,699)</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(5,456)</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 net of taxes of ($263) and ($203)</w:t>
            </w: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3720" w:type="dxa"/>
            <w:vAlign w:val="bottom"/>
            <w:gridSpan w:val="2"/>
          </w:tcPr>
          <w:p>
            <w:pPr>
              <w:ind w:left="80"/>
              <w:spacing w:after="0"/>
              <w:rPr>
                <w:sz w:val="20"/>
                <w:szCs w:val="20"/>
                <w:color w:val="auto"/>
              </w:rPr>
            </w:pPr>
            <w:r>
              <w:rPr>
                <w:rFonts w:ascii="Arial" w:cs="Arial" w:eastAsia="Arial" w:hAnsi="Arial"/>
                <w:sz w:val="18"/>
                <w:szCs w:val="18"/>
                <w:color w:val="auto"/>
              </w:rPr>
              <w:t>F-15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Accrued expenses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20,134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7,689</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3,923</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32,219</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3"/>
              </w:rPr>
              <w:t>31,737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 Non-current liabilities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2"/>
          </w:tcPr>
          <w:p>
            <w:pPr>
              <w:spacing w:after="0"/>
              <w:rPr>
                <w:sz w:val="20"/>
                <w:szCs w:val="20"/>
                <w:color w:val="auto"/>
              </w:rPr>
            </w:pPr>
            <w:r>
              <w:rPr>
                <w:rFonts w:ascii="Arial" w:cs="Arial" w:eastAsia="Arial" w:hAnsi="Arial"/>
                <w:sz w:val="18"/>
                <w:szCs w:val="18"/>
                <w:color w:val="auto"/>
              </w:rPr>
              <w:t>Non-current liabilities consist of the following:</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3,458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4,776</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4,973</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Retirement benefits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3,543</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3"/>
              </w:rPr>
              <w:t>14,317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Recent Accounting Pronouncements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February 2013, the FASB issued ASU No. 2013-02, </w:t>
      </w:r>
      <w:r>
        <w:rPr>
          <w:rFonts w:ascii="Arial" w:cs="Arial" w:eastAsia="Arial" w:hAnsi="Arial"/>
          <w:sz w:val="17"/>
          <w:szCs w:val="17"/>
          <w:i w:val="1"/>
          <w:iCs w:val="1"/>
          <w:color w:val="auto"/>
        </w:rPr>
        <w:t>“Reporting of Amounts Reclassified out of Accumulated Other Comprehensive Income”</w:t>
      </w:r>
      <w:r>
        <w:rPr>
          <w:rFonts w:ascii="Arial" w:cs="Arial" w:eastAsia="Arial" w:hAnsi="Arial"/>
          <w:sz w:val="17"/>
          <w:szCs w:val="17"/>
          <w:color w:val="auto"/>
        </w:rPr>
        <w:t xml:space="preserve"> (ASU No. 2013-02). Under ASU No. 2013-02, an entity is required to provide information about the amounts reclassified out of accumulated other comprehensive 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ASU No. 2013-02 does not change the current requirements for reporting net income or other comprehensive income in the financial statements. ASU No. 2013-02 became effective from January 1, 2013 and the new guidance did not have any material impact on the Company’s consolidated financial statements.</w:t>
      </w:r>
    </w:p>
    <w:p>
      <w:pPr>
        <w:spacing w:after="0" w:line="1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March 2013, the FASB issued ASU No. 2013-05, “</w:t>
      </w:r>
      <w:r>
        <w:rPr>
          <w:rFonts w:ascii="Arial" w:cs="Arial" w:eastAsia="Arial" w:hAnsi="Arial"/>
          <w:sz w:val="18"/>
          <w:szCs w:val="18"/>
          <w:i w:val="1"/>
          <w:iCs w:val="1"/>
          <w:color w:val="auto"/>
        </w:rPr>
        <w:t>Parent’s Accounting for the Cumulative Translation Adjustment upon Derecognition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 or Groups of Assets within a Foreign Entity or of an Investment in a Foreign Entity</w:t>
      </w:r>
      <w:r>
        <w:rPr>
          <w:rFonts w:ascii="Arial" w:cs="Arial" w:eastAsia="Arial" w:hAnsi="Arial"/>
          <w:sz w:val="18"/>
          <w:szCs w:val="18"/>
          <w:color w:val="auto"/>
        </w:rPr>
        <w:t>” (ASU 2013-05). It applies to the release of the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 into net income when a parent either sells a part of all of its investment in a foreign entity or no longer holds a controlling financial interest in a subsidiary or group of assets that is a nonprofit activity or a business within a foreign entity. For public entities, the amendments are effective for fiscal years and interim reporting periods beginning after December 15, 2013. The Company is currently assessing the impact, if any, on its consolidated financial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2013, the FASB issued ASU No. 2013-11, “</w:t>
      </w:r>
      <w:r>
        <w:rPr>
          <w:rFonts w:ascii="Arial" w:cs="Arial" w:eastAsia="Arial" w:hAnsi="Arial"/>
          <w:sz w:val="16"/>
          <w:szCs w:val="16"/>
          <w:i w:val="1"/>
          <w:iCs w:val="1"/>
          <w:color w:val="auto"/>
        </w:rPr>
        <w:t>Presentation of an Unrecognized Tax Benefit When a Net Operating Loss Carryforward, a Similar</w:t>
      </w:r>
      <w:r>
        <w:rPr>
          <w:rFonts w:ascii="Arial" w:cs="Arial" w:eastAsia="Arial" w:hAnsi="Arial"/>
          <w:sz w:val="16"/>
          <w:szCs w:val="16"/>
          <w:color w:val="auto"/>
        </w:rPr>
        <w:t xml:space="preserve"> </w:t>
      </w:r>
      <w:r>
        <w:rPr>
          <w:rFonts w:ascii="Arial" w:cs="Arial" w:eastAsia="Arial" w:hAnsi="Arial"/>
          <w:sz w:val="16"/>
          <w:szCs w:val="16"/>
          <w:i w:val="1"/>
          <w:iCs w:val="1"/>
          <w:color w:val="auto"/>
        </w:rPr>
        <w:t>Tax Loss, or a Tax Credit Carryforward Exists</w:t>
      </w:r>
      <w:r>
        <w:rPr>
          <w:rFonts w:ascii="Arial" w:cs="Arial" w:eastAsia="Arial" w:hAnsi="Arial"/>
          <w:sz w:val="16"/>
          <w:szCs w:val="16"/>
          <w:color w:val="auto"/>
        </w:rPr>
        <w:t>” (ASU No. 2013-11). The provisions of the rule require an unrecognized tax benefit to be presented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to a deferred tax asset in the financial statements for a net operating loss carryforward, a similar tax loss, or a tax credit carryforward except in circumstances when the carryforward or tax loss is not available at the reporting date under the tax laws of the applicable jurisdiction to settle any additional income taxes or the tax law does not require the entity to use, and the entity does not intend to use, the deferred tax asset for such purposes. When those circumstances exist, the unrecognized tax benefit should be presented in the financial statements as a liability and should not be combined with deferred tax assets. The new financial statement presentation provisions relating to this update are prospective and effective for interim and annual periods beginning after December 15, 2013, with early adoption permitted. The Company is currently assessing the impact, if any, on its consolidated financial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Quarterly Financial Data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Summarized quarterly results for the years ended December 31, 2013 and 2012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June 30</w:t>
            </w:r>
          </w:p>
        </w:tc>
        <w:tc>
          <w:tcPr>
            <w:tcW w:w="11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116,008</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122,315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124,123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43,093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42,078</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52,073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number of shares used in computing earnings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32,521,481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32,778,800</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32,907,281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32,788,489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32,750,178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33,719,794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33,899,097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33,955,445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33,792,757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33,842,938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Note: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1,534</w:t>
            </w:r>
          </w:p>
        </w:tc>
        <w:tc>
          <w:tcPr>
            <w:tcW w:w="1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June 30</w:t>
            </w:r>
          </w:p>
        </w:tc>
        <w:tc>
          <w:tcPr>
            <w:tcW w:w="11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37,936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41,985</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43,989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47,144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number of shares used in computing earnings per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31,445,592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31,970,881</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32,154,001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32,297,414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31,968,386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32,783,855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33,096,607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33,283,854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33,514,446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33,171,105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Note: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Figures for the quarters may not be comparable due to the Landacorp acquisition in 2012.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Company provides various types of business process solutions utilizing operations management, analytics and technology. These services are provided in an integrated manner to clients in various industries. The chief operating decision maker (“CODM”) generally reviews financial information at the consolidated statement of income level disaggregated by our two segments: Outsourcing Services and Transformation Services, but does not review any information except for revenues and cost of revenues of these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Revenues and cost of revenues for each of the years ended December 31, 2013, 2012 and 2011, for outsourcing services and transformation services segments,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jc w:val="right"/>
              <w:ind w:right="269"/>
              <w:spacing w:after="0"/>
              <w:rPr>
                <w:sz w:val="20"/>
                <w:szCs w:val="20"/>
                <w:color w:val="auto"/>
              </w:rPr>
            </w:pPr>
            <w:r>
              <w:rPr>
                <w:rFonts w:ascii="Arial" w:cs="Arial" w:eastAsia="Arial" w:hAnsi="Arial"/>
                <w:sz w:val="14"/>
                <w:szCs w:val="14"/>
                <w:b w:val="1"/>
                <w:bCs w:val="1"/>
                <w:color w:val="auto"/>
              </w:rPr>
              <w:t>Year ended December 31, 2013</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9"/>
          </w:tcPr>
          <w:p>
            <w:pPr>
              <w:jc w:val="right"/>
              <w:ind w:right="492"/>
              <w:spacing w:after="0"/>
              <w:rPr>
                <w:sz w:val="20"/>
                <w:szCs w:val="20"/>
                <w:color w:val="auto"/>
              </w:rPr>
            </w:pPr>
            <w:r>
              <w:rPr>
                <w:rFonts w:ascii="Arial" w:cs="Arial" w:eastAsia="Arial" w:hAnsi="Arial"/>
                <w:sz w:val="14"/>
                <w:szCs w:val="14"/>
                <w:b w:val="1"/>
                <w:bCs w:val="1"/>
                <w:color w:val="auto"/>
              </w:rPr>
              <w:t>Year ended December 31,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Outsourcing</w:t>
            </w:r>
          </w:p>
        </w:tc>
        <w:tc>
          <w:tcPr>
            <w:tcW w:w="60" w:type="dxa"/>
            <w:vAlign w:val="bottom"/>
          </w:tcPr>
          <w:p>
            <w:pPr>
              <w:spacing w:after="0"/>
              <w:rPr>
                <w:sz w:val="10"/>
                <w:szCs w:val="10"/>
                <w:color w:val="auto"/>
              </w:rPr>
            </w:pPr>
          </w:p>
        </w:tc>
        <w:tc>
          <w:tcPr>
            <w:tcW w:w="11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Transformation</w:t>
            </w:r>
          </w:p>
        </w:tc>
        <w:tc>
          <w:tcPr>
            <w:tcW w:w="160" w:type="dxa"/>
            <w:vAlign w:val="bottom"/>
          </w:tcPr>
          <w:p>
            <w:pPr>
              <w:spacing w:after="0"/>
              <w:rPr>
                <w:sz w:val="10"/>
                <w:szCs w:val="10"/>
                <w:color w:val="auto"/>
              </w:rPr>
            </w:pPr>
          </w:p>
        </w:tc>
        <w:tc>
          <w:tcPr>
            <w:tcW w:w="98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900" w:type="dxa"/>
            <w:vAlign w:val="bottom"/>
            <w:gridSpan w:val="4"/>
          </w:tcPr>
          <w:p>
            <w:pPr>
              <w:jc w:val="right"/>
              <w:ind w:right="82"/>
              <w:spacing w:after="0" w:line="119" w:lineRule="exact"/>
              <w:rPr>
                <w:sz w:val="20"/>
                <w:szCs w:val="20"/>
                <w:color w:val="auto"/>
              </w:rPr>
            </w:pPr>
            <w:r>
              <w:rPr>
                <w:rFonts w:ascii="Arial" w:cs="Arial" w:eastAsia="Arial" w:hAnsi="Arial"/>
                <w:sz w:val="13"/>
                <w:szCs w:val="13"/>
                <w:b w:val="1"/>
                <w:bCs w:val="1"/>
                <w:color w:val="auto"/>
                <w:w w:val="95"/>
              </w:rPr>
              <w:t>Outsourcing</w:t>
            </w:r>
          </w:p>
        </w:tc>
        <w:tc>
          <w:tcPr>
            <w:tcW w:w="160" w:type="dxa"/>
            <w:vAlign w:val="bottom"/>
          </w:tcPr>
          <w:p>
            <w:pPr>
              <w:spacing w:after="0"/>
              <w:rPr>
                <w:sz w:val="10"/>
                <w:szCs w:val="10"/>
                <w:color w:val="auto"/>
              </w:rPr>
            </w:pPr>
          </w:p>
        </w:tc>
        <w:tc>
          <w:tcPr>
            <w:tcW w:w="1300" w:type="dxa"/>
            <w:vAlign w:val="bottom"/>
            <w:gridSpan w:val="4"/>
          </w:tcPr>
          <w:p>
            <w:pPr>
              <w:jc w:val="right"/>
              <w:ind w:right="320"/>
              <w:spacing w:after="0" w:line="119" w:lineRule="exact"/>
              <w:rPr>
                <w:sz w:val="20"/>
                <w:szCs w:val="20"/>
                <w:color w:val="auto"/>
              </w:rPr>
            </w:pPr>
            <w:r>
              <w:rPr>
                <w:rFonts w:ascii="Arial" w:cs="Arial" w:eastAsia="Arial" w:hAnsi="Arial"/>
                <w:sz w:val="13"/>
                <w:szCs w:val="13"/>
                <w:b w:val="1"/>
                <w:bCs w:val="1"/>
                <w:color w:val="auto"/>
              </w:rPr>
              <w:t>Transformation</w:t>
            </w:r>
          </w:p>
        </w:tc>
        <w:tc>
          <w:tcPr>
            <w:tcW w:w="8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w w:val="83"/>
              </w:rPr>
              <w:t>Services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394,987</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$478,452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366,767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76,163</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442,930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 amortization)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232,286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290,942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w w:val="95"/>
              </w:rPr>
              <w:t>222,860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49,016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162,701</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24,809</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$187,510</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143,907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27,147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171,054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120,090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(2,443)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16,880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$ 48,097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7"/>
            <w:vMerge w:val="restart"/>
          </w:tcPr>
          <w:p>
            <w:pPr>
              <w:jc w:val="right"/>
              <w:ind w:right="240"/>
              <w:spacing w:after="0"/>
              <w:rPr>
                <w:sz w:val="20"/>
                <w:szCs w:val="20"/>
                <w:color w:val="auto"/>
              </w:rPr>
            </w:pPr>
            <w:r>
              <w:rPr>
                <w:rFonts w:ascii="Arial" w:cs="Arial" w:eastAsia="Arial" w:hAnsi="Arial"/>
                <w:sz w:val="14"/>
                <w:szCs w:val="14"/>
                <w:b w:val="1"/>
                <w:bCs w:val="1"/>
                <w:color w:val="auto"/>
                <w:w w:val="96"/>
              </w:rPr>
              <w:t>Year ended December 31,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6"/>
          </w:tcPr>
          <w:p>
            <w:pPr>
              <w:jc w:val="right"/>
              <w:ind w:right="20"/>
              <w:spacing w:after="0" w:line="119" w:lineRule="exact"/>
              <w:rPr>
                <w:sz w:val="20"/>
                <w:szCs w:val="20"/>
                <w:color w:val="auto"/>
              </w:rPr>
            </w:pPr>
            <w:r>
              <w:rPr>
                <w:rFonts w:ascii="Arial" w:cs="Arial" w:eastAsia="Arial" w:hAnsi="Arial"/>
                <w:sz w:val="13"/>
                <w:szCs w:val="13"/>
                <w:b w:val="1"/>
                <w:bCs w:val="1"/>
                <w:color w:val="auto"/>
                <w:w w:val="95"/>
              </w:rPr>
              <w:t>Outsourcing</w:t>
            </w:r>
          </w:p>
        </w:tc>
        <w:tc>
          <w:tcPr>
            <w:tcW w:w="640" w:type="dxa"/>
            <w:vAlign w:val="bottom"/>
          </w:tcPr>
          <w:p>
            <w:pPr>
              <w:spacing w:after="0"/>
              <w:rPr>
                <w:sz w:val="10"/>
                <w:szCs w:val="10"/>
                <w:color w:val="auto"/>
              </w:rPr>
            </w:pPr>
          </w:p>
        </w:tc>
        <w:tc>
          <w:tcPr>
            <w:tcW w:w="1600" w:type="dxa"/>
            <w:vAlign w:val="bottom"/>
            <w:gridSpan w:val="6"/>
          </w:tcPr>
          <w:p>
            <w:pPr>
              <w:jc w:val="right"/>
              <w:ind w:right="640"/>
              <w:spacing w:after="0" w:line="119" w:lineRule="exact"/>
              <w:rPr>
                <w:sz w:val="20"/>
                <w:szCs w:val="20"/>
                <w:color w:val="auto"/>
              </w:rPr>
            </w:pPr>
            <w:r>
              <w:rPr>
                <w:rFonts w:ascii="Arial" w:cs="Arial" w:eastAsia="Arial" w:hAnsi="Arial"/>
                <w:sz w:val="13"/>
                <w:szCs w:val="13"/>
                <w:b w:val="1"/>
                <w:bCs w:val="1"/>
                <w:color w:val="auto"/>
                <w:w w:val="98"/>
              </w:rPr>
              <w:t>Transformation</w:t>
            </w:r>
          </w:p>
        </w:tc>
        <w:tc>
          <w:tcPr>
            <w:tcW w:w="8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97"/>
              </w:rPr>
              <w:t>Services</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294,361</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66,180</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360,541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Cost of revenues (exclusive of depreciation and amortization)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w w:val="98"/>
              </w:rPr>
              <w:t>178,301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41,686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219,987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8"/>
              </w:rPr>
              <w:t>116,060</w:t>
            </w: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24,494</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140,554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F-19</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October 12, 2012, the Company acquired Landacorp Inc., a leading provider of healthcare solutions and technology. Landacorp has more than 50 million lives under management on its software platforms and has developed services and technology solutions that share vital clinical data with payers, providers, plan participants and accountable care organizations. The Landacorp acquisition furthers the Company’s strategic intent to continue investing in the healthcare domain and strengthen its capabilities to serve the U.S. healthcare industry and continue to invest in building processes, analytics and platform capabilities in its focused verticals. Accordingly, the Company paid a premium for the acquisition which is being reflected in the goodwill recognized from the purchase price allocation of the total consideration paid by the Company.</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240" w:type="dxa"/>
            <w:vAlign w:val="bottom"/>
            <w:gridSpan w:val="4"/>
          </w:tcPr>
          <w:p>
            <w:pPr>
              <w:spacing w:after="0"/>
              <w:rPr>
                <w:sz w:val="20"/>
                <w:szCs w:val="20"/>
                <w:color w:val="auto"/>
              </w:rPr>
            </w:pPr>
            <w:r>
              <w:rPr>
                <w:rFonts w:ascii="Arial" w:cs="Arial" w:eastAsia="Arial" w:hAnsi="Arial"/>
                <w:sz w:val="18"/>
                <w:szCs w:val="18"/>
                <w:color w:val="auto"/>
              </w:rPr>
              <w:t>The total purchase price of the acquisition is as follows:</w:t>
            </w:r>
          </w:p>
        </w:tc>
        <w:tc>
          <w:tcPr>
            <w:tcW w:w="2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1240" w:type="dxa"/>
            <w:vAlign w:val="bottom"/>
            <w:gridSpan w:val="2"/>
          </w:tcPr>
          <w:p>
            <w:pPr>
              <w:spacing w:after="0"/>
              <w:rPr>
                <w:sz w:val="21"/>
                <w:szCs w:val="21"/>
                <w:color w:val="auto"/>
              </w:rPr>
            </w:pPr>
          </w:p>
        </w:tc>
        <w:tc>
          <w:tcPr>
            <w:tcW w:w="36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Add: Working capital adjustments*</w:t>
            </w:r>
          </w:p>
        </w:tc>
        <w:tc>
          <w:tcPr>
            <w:tcW w:w="2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00" w:type="dxa"/>
            <w:vAlign w:val="bottom"/>
            <w:gridSpan w:val="2"/>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5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440"/>
              <w:spacing w:after="0"/>
              <w:rPr>
                <w:sz w:val="20"/>
                <w:szCs w:val="20"/>
                <w:color w:val="auto"/>
              </w:rPr>
            </w:pPr>
            <w:r>
              <w:rPr>
                <w:rFonts w:ascii="Arial" w:cs="Arial" w:eastAsia="Arial" w:hAnsi="Arial"/>
                <w:sz w:val="18"/>
                <w:szCs w:val="18"/>
                <w:color w:val="auto"/>
              </w:rPr>
              <w:t>paid in January 2013</w:t>
            </w:r>
          </w:p>
        </w:tc>
        <w:tc>
          <w:tcPr>
            <w:tcW w:w="2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After the December 31, 2012 consolidated financial statements were issued, the Company received further information including a revised valuation report from a third party valuation firm with respect to the Landacorp acquisition. After considering the results of the additional information, the Company revised its estimates related to certain of its acquired intangibles and other assets as of the date of acquisition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Revised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Initial</w:t>
            </w:r>
          </w:p>
        </w:tc>
      </w:tr>
      <w:tr>
        <w:trPr>
          <w:trHeight w:val="171"/>
        </w:trPr>
        <w:tc>
          <w:tcPr>
            <w:tcW w:w="66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Allocation</w:t>
            </w:r>
          </w:p>
        </w:tc>
        <w:tc>
          <w:tcPr>
            <w:tcW w:w="1400" w:type="dxa"/>
            <w:vAlign w:val="bottom"/>
            <w:gridSpan w:val="4"/>
          </w:tcPr>
          <w:p>
            <w:pPr>
              <w:ind w:left="660"/>
              <w:spacing w:after="0"/>
              <w:rPr>
                <w:sz w:val="20"/>
                <w:szCs w:val="20"/>
                <w:color w:val="auto"/>
              </w:rPr>
            </w:pPr>
            <w:r>
              <w:rPr>
                <w:rFonts w:ascii="Arial" w:cs="Arial" w:eastAsia="Arial" w:hAnsi="Arial"/>
                <w:sz w:val="14"/>
                <w:szCs w:val="14"/>
                <w:b w:val="1"/>
                <w:bCs w:val="1"/>
                <w:color w:val="auto"/>
              </w:rPr>
              <w:t>Allocation</w:t>
            </w: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Customer relationships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3,881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Net 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9,261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10,727</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19,276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14,999</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38,683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38,683</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revision did not have a material impact on the Company’s consolidated earnings for the year ended December 31, 2012. As required by the accounting guidance for business combinations, this adjustment was recorded by the Company retrospectively as of the acquisition date resulting in changes to the preliminary amounts as set forth in the Company’s December 31, 2012 consolidated balance sheet included in its Annual Report on Form 10-K for the year ended December 31, 2012.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December 31,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3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10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75,502</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3"/>
              </w:rPr>
              <w:t>16,785</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Goodwill arising from Landacorp acquisition</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19,276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16,785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(3,291)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90,622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3"/>
              </w:rPr>
              <w:t>16,785</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58" w:lineRule="auto"/>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Relates to the acquisition of Business Process outsourcing Inc. (“OPI”) on May 31, 2011 (the “OPI Acquisition”) pertaining to service tax receivables included under “other current assets” in the consolidated balance sheet as of December 31, 2011.</w:t>
      </w:r>
    </w:p>
    <w:p>
      <w:pPr>
        <w:spacing w:after="0" w:line="1" w:lineRule="exact"/>
        <w:rPr>
          <w:rFonts w:ascii="Arial" w:cs="Arial" w:eastAsia="Arial" w:hAnsi="Arial"/>
          <w:sz w:val="18"/>
          <w:szCs w:val="18"/>
          <w:i w:val="1"/>
          <w:iCs w:val="1"/>
          <w:color w:val="auto"/>
        </w:rPr>
      </w:pPr>
    </w:p>
    <w:p>
      <w:pPr>
        <w:ind w:left="460" w:right="240" w:hanging="452"/>
        <w:spacing w:after="0" w:line="255" w:lineRule="auto"/>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Relates to the sale of a business unit (acquired with the OPI acquisition) during the year ended December 31, 2013. The net loss recognized from the sale of this business unit is $190 and is included under “other income/ (expense)” in the consolidated statements of income for the year ended December 31, 2013.</w:t>
      </w:r>
    </w:p>
    <w:p>
      <w:pPr>
        <w:spacing w:after="0" w:line="19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The entire amount of goodwill recognized from the Landacorp Acquisition in 2012 is not deductible for tax purposes.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Based on the results of the impairment testing performed during the year ended December 31, 2013,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Carrying Amount</w:t>
            </w:r>
          </w:p>
        </w:tc>
        <w:tc>
          <w:tcPr>
            <w:tcW w:w="7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(12,201)</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Leasehold benefits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2,986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1,316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r>
      <w:tr>
        <w:trPr>
          <w:trHeight w:val="223"/>
        </w:trPr>
        <w:tc>
          <w:tcPr>
            <w:tcW w:w="3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52,251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(18,136</w:t>
            </w:r>
          </w:p>
        </w:tc>
        <w:tc>
          <w:tcPr>
            <w:tcW w:w="800" w:type="dxa"/>
            <w:vAlign w:val="bottom"/>
          </w:tcPr>
          <w:p>
            <w:pPr>
              <w:jc w:val="right"/>
              <w:ind w:right="6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34,115</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F-21</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As of December 31, 2012</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Gross</w:t>
            </w:r>
          </w:p>
        </w:tc>
        <w:tc>
          <w:tcPr>
            <w:tcW w:w="86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100" w:type="dxa"/>
            <w:vAlign w:val="bottom"/>
          </w:tcPr>
          <w:p>
            <w:pPr>
              <w:spacing w:after="0"/>
              <w:rPr>
                <w:sz w:val="10"/>
                <w:szCs w:val="10"/>
                <w:color w:val="auto"/>
              </w:rPr>
            </w:pPr>
          </w:p>
        </w:tc>
      </w:tr>
      <w:tr>
        <w:trPr>
          <w:trHeight w:val="171"/>
        </w:trPr>
        <w:tc>
          <w:tcPr>
            <w:tcW w:w="50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6"/>
              </w:rPr>
              <w:t>Carrying Amount</w:t>
            </w:r>
          </w:p>
        </w:tc>
        <w:tc>
          <w:tcPr>
            <w:tcW w:w="8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38,728</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Leasehold benefits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3,355</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w:t>
            </w:r>
          </w:p>
        </w:tc>
      </w:tr>
      <w:tr>
        <w:trPr>
          <w:trHeight w:val="223"/>
        </w:trPr>
        <w:tc>
          <w:tcPr>
            <w:tcW w:w="50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52,734</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(12,023</w:t>
            </w:r>
          </w:p>
        </w:tc>
        <w:tc>
          <w:tcPr>
            <w:tcW w:w="800" w:type="dxa"/>
            <w:vAlign w:val="bottom"/>
          </w:tcPr>
          <w:p>
            <w:pPr>
              <w:jc w:val="right"/>
              <w:ind w:right="6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40,711</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Amortization expense for the years ended December 31, 2013, 2012 and 2011 was $6,300, $5,638 and $4,329, respectively. The weighted average life of intangible assets was 8.8 years for customer relationships, 6.8 years for leasehold benefits, 8.0 years for developed technology, 1.5 years for non-compete agreements and 3.5 years for trade names and trademarks excluding indefinite life trade names and trademarks. The Company had $900 of indefinite lived trade names and trademarks as of December 31, 2013 and December 31, 2012.</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000" w:type="dxa"/>
            <w:vAlign w:val="bottom"/>
          </w:tcPr>
          <w:p>
            <w:pPr>
              <w:spacing w:after="0"/>
              <w:rPr>
                <w:sz w:val="20"/>
                <w:szCs w:val="20"/>
                <w:color w:val="auto"/>
              </w:rPr>
            </w:pPr>
            <w:r>
              <w:rPr>
                <w:rFonts w:ascii="Arial" w:cs="Arial" w:eastAsia="Arial" w:hAnsi="Arial"/>
                <w:sz w:val="14"/>
                <w:szCs w:val="14"/>
                <w:b w:val="1"/>
                <w:bCs w:val="1"/>
                <w:color w:val="auto"/>
                <w:w w:val="92"/>
              </w:rPr>
              <w:t>Estimated amortization of intangible assets during the year ending December 31,</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2015</w:t>
            </w:r>
          </w:p>
        </w:tc>
        <w:tc>
          <w:tcPr>
            <w:tcW w:w="12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5,543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2017</w:t>
            </w:r>
          </w:p>
        </w:tc>
        <w:tc>
          <w:tcPr>
            <w:tcW w:w="12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5,509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88" w:lineRule="exact"/>
        <w:rPr>
          <w:sz w:val="20"/>
          <w:szCs w:val="20"/>
          <w:color w:val="auto"/>
        </w:rPr>
      </w:pPr>
    </w:p>
    <w:p>
      <w:pPr>
        <w:ind w:right="760" w:firstLine="456"/>
        <w:spacing w:after="0" w:line="312" w:lineRule="auto"/>
        <w:rPr>
          <w:sz w:val="20"/>
          <w:szCs w:val="20"/>
          <w:color w:val="auto"/>
        </w:rPr>
      </w:pPr>
      <w:r>
        <w:rPr>
          <w:rFonts w:ascii="Arial" w:cs="Arial" w:eastAsia="Arial" w:hAnsi="Arial"/>
          <w:sz w:val="16"/>
          <w:szCs w:val="16"/>
          <w:color w:val="auto"/>
        </w:rPr>
        <w:t>ASC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5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are unobservable.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December 31, 2013 and 2012. The table excludes short-term investments, accounts receivable, accounts payable and accrued expenses for which fair values approximate their carrying amounts.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assets and liabilities measured at fair value on recurring basis are summarized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2013</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116,662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2"/>
              </w:rPr>
              <w:t>116,662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6"/>
              </w:rPr>
              <w:t>$ —</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13,295</w:t>
            </w:r>
          </w:p>
        </w:tc>
        <w:tc>
          <w:tcPr>
            <w:tcW w:w="300" w:type="dxa"/>
            <w:vAlign w:val="bottom"/>
          </w:tcPr>
          <w:p>
            <w:pPr>
              <w:spacing w:after="0"/>
              <w:rPr>
                <w:sz w:val="18"/>
                <w:szCs w:val="18"/>
                <w:color w:val="auto"/>
              </w:rPr>
            </w:pPr>
          </w:p>
        </w:tc>
        <w:tc>
          <w:tcPr>
            <w:tcW w:w="7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13,295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2012</w:t>
            </w:r>
          </w:p>
        </w:tc>
        <w:tc>
          <w:tcPr>
            <w:tcW w:w="8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64,766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64,766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6"/>
              </w:rPr>
              <w:t>$ —</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9,861</w:t>
            </w:r>
          </w:p>
        </w:tc>
        <w:tc>
          <w:tcPr>
            <w:tcW w:w="300" w:type="dxa"/>
            <w:vAlign w:val="bottom"/>
          </w:tcPr>
          <w:p>
            <w:pPr>
              <w:spacing w:after="0"/>
              <w:rPr>
                <w:sz w:val="18"/>
                <w:szCs w:val="18"/>
                <w:color w:val="auto"/>
              </w:rPr>
            </w:pPr>
          </w:p>
        </w:tc>
        <w:tc>
          <w:tcPr>
            <w:tcW w:w="7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7 for further details on Derivatives and Hedge Accounting.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exchanges rates. The Company’s derivative financial instruments are largely forward foreign exchange contracts that are designated effective and that qualify as cash flow hedges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815). The Company also uses derivatives consisting of foreign currency exchange contracts not designated as hedging instruments under ASC 815 to hedge intercompany balances and other monetary assets or liabilities denominated in currencies other than the Company’s functional currency (“fair value hedges”). The Company’s primary exchange rate exposure is with the Indian rupee, the Philippine peso and the U.K. pound sterling. The Company also has exposure in Czech koruna and other local currencies in which it operates.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had outstanding foreign exchange contracts totaling $262,085 and GBP 10,973 as of December 31, 2013 and totaling $221,255 and GBP 11,544 as of December 31, 2012. The Company estimates that approximately $7,252 of net derivative losses included in accumulated other comprehensive loss (“AOCI”) could be reclassified into earnings within the next 12 months based on exchange rates prevailing as of December 31, 2013. At December 31, 2013, the maximum outstanding term of the cash flow hedges was forty-five months.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(loss)/gain. For hedging positions that are discontinued because the forecasted transaction is not expected to occur by the end of the originally specified period, any related derivative amounts recorded in equity are reclassified to earnings. No such significant amounts of gains or losses were reclassified from AOCI into earnings during the year ended December 31, 2013 and 2012.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set forth the fair value of the foreign currency exchange contracts and their location on the consolidated financial statements:</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8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880" w:type="dxa"/>
            <w:vAlign w:val="bottom"/>
            <w:gridSpan w:val="3"/>
          </w:tcPr>
          <w:p>
            <w:pPr>
              <w:ind w:left="276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right"/>
              <w:ind w:right="940"/>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6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880" w:type="dxa"/>
            <w:vAlign w:val="bottom"/>
            <w:gridSpan w:val="3"/>
          </w:tcPr>
          <w:p>
            <w:pPr>
              <w:ind w:left="276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right"/>
              <w:ind w:right="940"/>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6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880" w:type="dxa"/>
            <w:vAlign w:val="bottom"/>
            <w:gridSpan w:val="3"/>
          </w:tcPr>
          <w:p>
            <w:pPr>
              <w:ind w:left="276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right"/>
              <w:ind w:right="940"/>
              <w:spacing w:after="0"/>
              <w:rPr>
                <w:sz w:val="20"/>
                <w:szCs w:val="20"/>
                <w:color w:val="auto"/>
              </w:rPr>
            </w:pPr>
            <w:r>
              <w:rPr>
                <w:rFonts w:ascii="Arial" w:cs="Arial" w:eastAsia="Arial" w:hAnsi="Arial"/>
                <w:sz w:val="18"/>
                <w:szCs w:val="18"/>
                <w:color w:val="auto"/>
              </w:rPr>
              <w:t>7,689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6,249</w:t>
            </w:r>
          </w:p>
        </w:tc>
      </w:tr>
      <w:tr>
        <w:trPr>
          <w:trHeight w:val="216"/>
        </w:trPr>
        <w:tc>
          <w:tcPr>
            <w:tcW w:w="6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880" w:type="dxa"/>
            <w:vAlign w:val="bottom"/>
            <w:gridSpan w:val="3"/>
          </w:tcPr>
          <w:p>
            <w:pPr>
              <w:ind w:left="276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jc w:val="right"/>
              <w:ind w:right="940"/>
              <w:spacing w:after="0"/>
              <w:rPr>
                <w:sz w:val="20"/>
                <w:szCs w:val="20"/>
                <w:color w:val="auto"/>
              </w:rPr>
            </w:pPr>
            <w:r>
              <w:rPr>
                <w:rFonts w:ascii="Arial" w:cs="Arial" w:eastAsia="Arial" w:hAnsi="Arial"/>
                <w:sz w:val="18"/>
                <w:szCs w:val="18"/>
                <w:color w:val="auto"/>
              </w:rPr>
              <w:t>5,606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3,458</w:t>
            </w:r>
          </w:p>
        </w:tc>
      </w:tr>
      <w:tr>
        <w:trPr>
          <w:trHeight w:val="526"/>
        </w:trPr>
        <w:tc>
          <w:tcPr>
            <w:tcW w:w="4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8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760" w:type="dxa"/>
            <w:vAlign w:val="bottom"/>
            <w:gridSpan w:val="2"/>
          </w:tcPr>
          <w:p>
            <w:pPr>
              <w:ind w:left="2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760" w:type="dxa"/>
            <w:vAlign w:val="bottom"/>
            <w:gridSpan w:val="2"/>
          </w:tcPr>
          <w:p>
            <w:pPr>
              <w:ind w:left="2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660" w:type="dxa"/>
            <w:vAlign w:val="bottom"/>
            <w:gridSpan w:val="3"/>
          </w:tcPr>
          <w:p>
            <w:pPr>
              <w:jc w:val="right"/>
              <w:ind w:right="1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350"/>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80" w:type="dxa"/>
            <w:vAlign w:val="bottom"/>
            <w:gridSpan w:val="3"/>
          </w:tcPr>
          <w:p>
            <w:pPr>
              <w:ind w:left="520"/>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consolidated statements of income for the years ended December 31, 2013 and 2012:</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 in Cash Flow Hedging</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3290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Derivatives not designated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0293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Foreign exchange contracts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Fixed assets consist of the following: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Location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Gain/(Loss)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Income 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100" w:type="dxa"/>
            <w:vAlign w:val="bottom"/>
          </w:tcPr>
          <w:p>
            <w:pPr>
              <w:spacing w:after="0"/>
              <w:rPr>
                <w:sz w:val="12"/>
                <w:szCs w:val="12"/>
                <w:color w:val="auto"/>
              </w:rPr>
            </w:pPr>
          </w:p>
        </w:tc>
        <w:tc>
          <w:tcPr>
            <w:tcW w:w="15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4"/>
              </w:rPr>
              <w:t>Amount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Derivative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rPr>
              <w:t>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(Loss)/Gain</w:t>
            </w: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(Ineffective Portion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5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and 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Excluded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 AOCI on</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12"/>
                <w:szCs w:val="12"/>
                <w:color w:val="auto"/>
              </w:rPr>
            </w:pPr>
          </w:p>
        </w:tc>
        <w:tc>
          <w:tcPr>
            <w:tcW w:w="15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from AOCI into</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Excluded from</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100" w:type="dxa"/>
            <w:vAlign w:val="bottom"/>
          </w:tcPr>
          <w:p>
            <w:pPr>
              <w:spacing w:after="0"/>
              <w:rPr>
                <w:sz w:val="12"/>
                <w:szCs w:val="12"/>
                <w:color w:val="auto"/>
              </w:rPr>
            </w:pPr>
          </w:p>
        </w:tc>
        <w:tc>
          <w:tcPr>
            <w:tcW w:w="15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Effectiveness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Portion)</w:t>
            </w: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Testing)</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Testing)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8"/>
                <w:szCs w:val="18"/>
                <w:color w:val="auto"/>
                <w:w w:val="91"/>
              </w:rPr>
              <w:t>Foreign exchange</w:t>
            </w:r>
          </w:p>
        </w:tc>
        <w:tc>
          <w:tcPr>
            <w:tcW w:w="100" w:type="dxa"/>
            <w:vAlign w:val="bottom"/>
          </w:tcPr>
          <w:p>
            <w:pPr>
              <w:spacing w:after="0"/>
              <w:rPr>
                <w:sz w:val="12"/>
                <w:szCs w:val="12"/>
                <w:color w:val="auto"/>
              </w:rPr>
            </w:pPr>
          </w:p>
        </w:tc>
        <w:tc>
          <w:tcPr>
            <w:tcW w:w="580" w:type="dxa"/>
            <w:vAlign w:val="bottom"/>
          </w:tcPr>
          <w:p>
            <w:pPr>
              <w:jc w:val="right"/>
              <w:ind w:right="6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6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380" w:type="dxa"/>
            <w:vAlign w:val="bottom"/>
            <w:gridSpan w:val="4"/>
            <w:vMerge w:val="restart"/>
          </w:tcPr>
          <w:p>
            <w:pPr>
              <w:ind w:left="80"/>
              <w:spacing w:after="0"/>
              <w:rPr>
                <w:sz w:val="20"/>
                <w:szCs w:val="20"/>
                <w:color w:val="auto"/>
              </w:rPr>
            </w:pPr>
            <w:r>
              <w:rPr>
                <w:rFonts w:ascii="Arial" w:cs="Arial" w:eastAsia="Arial" w:hAnsi="Arial"/>
                <w:sz w:val="18"/>
                <w:szCs w:val="18"/>
                <w:color w:val="auto"/>
                <w:w w:val="88"/>
              </w:rPr>
              <w:t>Foreign exchange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1"/>
              </w:rPr>
              <w:t>$ (9,599</w:t>
            </w:r>
          </w:p>
        </w:tc>
        <w:tc>
          <w:tcPr>
            <w:tcW w:w="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88"/>
              </w:rPr>
              <w:t>$ 708</w:t>
            </w:r>
          </w:p>
        </w:tc>
        <w:tc>
          <w:tcPr>
            <w:tcW w:w="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(5,141</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(9,044</w:t>
            </w:r>
          </w:p>
        </w:tc>
        <w:tc>
          <w:tcPr>
            <w:tcW w:w="140" w:type="dxa"/>
            <w:vAlign w:val="bottom"/>
            <w:gridSpan w:val="2"/>
            <w:vMerge w:val="continue"/>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top w:val="single" w:sz="8" w:color="auto"/>
            </w:tcBorders>
          </w:tcPr>
          <w:p>
            <w:pPr>
              <w:jc w:val="right"/>
              <w:ind w:right="27"/>
              <w:spacing w:after="0" w:line="182" w:lineRule="exact"/>
              <w:rPr>
                <w:sz w:val="20"/>
                <w:szCs w:val="20"/>
                <w:color w:val="auto"/>
              </w:rPr>
            </w:pPr>
            <w:r>
              <w:rPr>
                <w:rFonts w:ascii="Arial" w:cs="Arial" w:eastAsia="Arial" w:hAnsi="Arial"/>
                <w:sz w:val="18"/>
                <w:szCs w:val="18"/>
                <w:color w:val="auto"/>
                <w:w w:val="85"/>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84"/>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(loss)/gain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(loss)/gain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2"/>
              </w:rPr>
              <w:t>Amount of (Loss)/Gain</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91"/>
              </w:rPr>
              <w:t>Recognized in Income on</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gridSpan w:val="5"/>
          </w:tcPr>
          <w:p>
            <w:pPr>
              <w:jc w:val="center"/>
              <w:ind w:left="447"/>
              <w:spacing w:after="0"/>
              <w:rPr>
                <w:sz w:val="20"/>
                <w:szCs w:val="20"/>
                <w:color w:val="auto"/>
              </w:rPr>
            </w:pPr>
            <w:r>
              <w:rPr>
                <w:rFonts w:ascii="Arial" w:cs="Arial" w:eastAsia="Arial" w:hAnsi="Arial"/>
                <w:sz w:val="14"/>
                <w:szCs w:val="14"/>
                <w:b w:val="1"/>
                <w:bCs w:val="1"/>
                <w:color w:val="auto"/>
                <w:w w:val="90"/>
              </w:rPr>
              <w:t>Derivatives</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0" w:type="dxa"/>
            <w:vAlign w:val="bottom"/>
            <w:gridSpan w:val="8"/>
          </w:tcPr>
          <w:p>
            <w:pPr>
              <w:jc w:val="center"/>
              <w:ind w:right="280"/>
              <w:spacing w:after="0" w:line="106" w:lineRule="exact"/>
              <w:rPr>
                <w:sz w:val="20"/>
                <w:szCs w:val="20"/>
                <w:color w:val="auto"/>
              </w:rPr>
            </w:pPr>
            <w:r>
              <w:rPr>
                <w:rFonts w:ascii="Arial" w:cs="Arial" w:eastAsia="Arial" w:hAnsi="Arial"/>
                <w:sz w:val="12"/>
                <w:szCs w:val="12"/>
                <w:b w:val="1"/>
                <w:bCs w:val="1"/>
                <w:color w:val="auto"/>
              </w:rPr>
              <w:t>Location of Gain or (Loss) Recognized 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2"/>
              </w:rPr>
              <w:t>Income on Derivatives</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27"/>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Borders>
              <w:top w:val="single" w:sz="8" w:color="auto"/>
            </w:tcBorders>
            <w:gridSpan w:val="7"/>
          </w:tcPr>
          <w:p>
            <w:pPr>
              <w:jc w:val="right"/>
              <w:ind w:right="500"/>
              <w:spacing w:after="0"/>
              <w:rPr>
                <w:sz w:val="20"/>
                <w:szCs w:val="20"/>
                <w:color w:val="auto"/>
              </w:rPr>
            </w:pPr>
            <w:r>
              <w:rPr>
                <w:rFonts w:ascii="Arial" w:cs="Arial" w:eastAsia="Arial" w:hAnsi="Arial"/>
                <w:sz w:val="18"/>
                <w:szCs w:val="18"/>
                <w:color w:val="auto"/>
                <w:w w:val="89"/>
              </w:rPr>
              <w:t>Foreign exchange (loss)/gain</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(3,149)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-1071880</wp:posOffset>
            </wp:positionV>
            <wp:extent cx="724662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-154305</wp:posOffset>
            </wp:positionV>
            <wp:extent cx="666369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026" w:lineRule="exact"/>
        <w:rPr>
          <w:sz w:val="20"/>
          <w:szCs w:val="20"/>
          <w:color w:val="auto"/>
        </w:rPr>
      </w:pPr>
    </w:p>
    <w:p>
      <w:pPr>
        <w:sectPr>
          <w:pgSz w:w="11900" w:h="16838" w:orient="portrait"/>
          <w:cols w:equalWidth="0" w:num="2">
            <w:col w:w="3740" w:space="720"/>
            <w:col w:w="6860"/>
          </w:cols>
          <w:pgMar w:left="240" w:top="459" w:right="339" w:bottom="1440" w:gutter="0" w:footer="0" w:header="0"/>
          <w:type w:val="continuous"/>
        </w:sectPr>
      </w:pPr>
    </w:p>
    <w:p>
      <w:pPr>
        <w:spacing w:after="0" w:line="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(Recasted)</w:t>
            </w:r>
          </w:p>
        </w:tc>
        <w:tc>
          <w:tcPr>
            <w:tcW w:w="10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Owned Assets: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282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63,428</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62,580</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Land</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24,382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23,919</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11,111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10,695</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Capital work in progress</w:t>
            </w:r>
          </w:p>
        </w:tc>
        <w:tc>
          <w:tcPr>
            <w:tcW w:w="2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102,272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101,932</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w w:val="99"/>
              </w:rPr>
              <w:t>Less: Accumulated depreciation and amortization</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(69,242)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(65,581)</w:t>
            </w:r>
          </w:p>
        </w:tc>
      </w:tr>
      <w:tr>
        <w:trPr>
          <w:trHeight w:val="27"/>
        </w:trPr>
        <w:tc>
          <w:tcPr>
            <w:tcW w:w="4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36,351</w:t>
            </w: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282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1,955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2,454</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 and equipment</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Motor vehicles</w:t>
            </w:r>
          </w:p>
        </w:tc>
        <w:tc>
          <w:tcPr>
            <w:tcW w:w="2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w w:val="99"/>
              </w:rPr>
              <w:t>Less: Accumulated depreciation and amortization</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(2,618)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(2,196)</w:t>
            </w:r>
          </w:p>
        </w:tc>
      </w:tr>
      <w:tr>
        <w:trPr>
          <w:trHeight w:val="27"/>
        </w:trPr>
        <w:tc>
          <w:tcPr>
            <w:tcW w:w="42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2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820" w:type="dxa"/>
            <w:vAlign w:val="bottom"/>
            <w:gridSpan w:val="2"/>
          </w:tcPr>
          <w:p>
            <w:pPr>
              <w:ind w:left="340"/>
              <w:spacing w:after="0"/>
              <w:rPr>
                <w:sz w:val="20"/>
                <w:szCs w:val="20"/>
                <w:color w:val="auto"/>
              </w:rPr>
            </w:pPr>
            <w:r>
              <w:rPr>
                <w:rFonts w:ascii="Arial" w:cs="Arial" w:eastAsia="Arial" w:hAnsi="Arial"/>
                <w:sz w:val="18"/>
                <w:szCs w:val="18"/>
                <w:color w:val="auto"/>
              </w:rPr>
              <w:t>F-25</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Depreciation and amortization expense excluding amortization of acquisition related intangibles for the year ended December 31, 2013, 2012 and 2011 was $18,617, $19,985 and $18,665,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towards acquisition of fixed assets and the cost of fixed assets not yet ready to be placed in service.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During the year ended December 31, 2013 and 2012, the Company acquired 13,018 and 12,865 shares of common stock, respectively from employees in connection with withholding tax payments related to the vesting of restricted stock for a total consideration of $389 and $331, respectively. The weighted average purchase price of $29.89 and $25.78, respectively was the average of the high and low price of the Company’s share of common stock on the Nasdaq Global Select Market on the trading day prior to the vesting date of the shares of restricted stock. The shares acquired are held as treasury stock.</w:t>
      </w:r>
    </w:p>
    <w:p>
      <w:pPr>
        <w:spacing w:after="0" w:line="154"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During the year ended December 31, 2013, the Company purchased 820,849 shares of its common stock for an aggregate purchase price of approximately $21,229 including commissions, representing an average purchase price per share of $25.86 as part of the share repurchase program that authorized the purchase of up to an aggregate principal amount of $25,000 of the Company’s outstanding common stock.</w:t>
      </w:r>
    </w:p>
    <w:p>
      <w:pPr>
        <w:spacing w:after="0" w:line="166"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Gratuity Plans in India and the Philippines provides a lump sum payment to vested employees on retirement or 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benefit obligation has been measured as of December 31, 2013. The following table sets forth the activity and the funded status of the Gratuity Plan and the amounts recognized in the Company’s consolidated financial statements at the end of the relevant periods: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projected benefit obligation:</w:t>
            </w:r>
          </w:p>
        </w:tc>
        <w:tc>
          <w:tcPr>
            <w:tcW w:w="1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$5,491</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cost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(466)</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Actuarial loss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Divestiture</w:t>
            </w:r>
          </w:p>
        </w:tc>
        <w:tc>
          <w:tcPr>
            <w:tcW w:w="2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7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year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6,567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Unfunded amount–non-current</w:t>
            </w:r>
          </w:p>
        </w:tc>
        <w:tc>
          <w:tcPr>
            <w:tcW w:w="17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amount–current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accrued liability</w:t>
            </w:r>
          </w:p>
        </w:tc>
        <w:tc>
          <w:tcPr>
            <w:tcW w:w="17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4,411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4,628</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Interest cost</w:t>
            </w:r>
          </w:p>
        </w:tc>
        <w:tc>
          <w:tcPr>
            <w:tcW w:w="3380" w:type="dxa"/>
            <w:vAlign w:val="bottom"/>
            <w:gridSpan w:val="3"/>
          </w:tcPr>
          <w:p>
            <w:pPr>
              <w:jc w:val="right"/>
              <w:ind w:right="488"/>
              <w:spacing w:after="0"/>
              <w:rPr>
                <w:sz w:val="20"/>
                <w:szCs w:val="20"/>
                <w:color w:val="auto"/>
              </w:rPr>
            </w:pPr>
            <w:r>
              <w:rPr>
                <w:rFonts w:ascii="Arial" w:cs="Arial" w:eastAsia="Arial" w:hAnsi="Arial"/>
                <w:sz w:val="18"/>
                <w:szCs w:val="18"/>
                <w:color w:val="auto"/>
              </w:rPr>
              <w:t>444</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80" w:type="dxa"/>
            <w:vAlign w:val="bottom"/>
            <w:gridSpan w:val="3"/>
            <w:shd w:val="clear" w:color="auto" w:fill="CCEEFF"/>
          </w:tcPr>
          <w:p>
            <w:pPr>
              <w:jc w:val="right"/>
              <w:ind w:right="428"/>
              <w:spacing w:after="0"/>
              <w:rPr>
                <w:sz w:val="20"/>
                <w:szCs w:val="20"/>
                <w:color w:val="auto"/>
              </w:rPr>
            </w:pPr>
            <w:r>
              <w:rPr>
                <w:rFonts w:ascii="Arial" w:cs="Arial" w:eastAsia="Arial" w:hAnsi="Arial"/>
                <w:sz w:val="18"/>
                <w:szCs w:val="18"/>
                <w:color w:val="auto"/>
              </w:rPr>
              <w:t>(164)</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Actuarial loss</w:t>
            </w:r>
          </w:p>
        </w:tc>
        <w:tc>
          <w:tcPr>
            <w:tcW w:w="2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7"/>
        </w:trPr>
        <w:tc>
          <w:tcPr>
            <w:tcW w:w="4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2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1,173</w:t>
            </w:r>
          </w:p>
        </w:tc>
      </w:tr>
      <w:tr>
        <w:trPr>
          <w:trHeight w:val="20"/>
        </w:trPr>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$148. The components of accumulated other comprehensive loss that have not been recognized as components of net gratuity cost in the statement of income as of December 31, 2013 and 2012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3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$917</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prior service cost</w:t>
            </w:r>
          </w:p>
        </w:tc>
        <w:tc>
          <w:tcPr>
            <w:tcW w:w="3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6"/>
              </w:rPr>
              <w:t>Accumulated other comprehensive loss, net of tax</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40" w:type="dxa"/>
            <w:vAlign w:val="bottom"/>
            <w:gridSpan w:val="2"/>
          </w:tcPr>
          <w:p>
            <w:pPr>
              <w:jc w:val="right"/>
              <w:ind w:right="3039"/>
              <w:spacing w:after="0"/>
              <w:rPr>
                <w:sz w:val="20"/>
                <w:szCs w:val="20"/>
                <w:color w:val="auto"/>
              </w:rPr>
            </w:pPr>
            <w:r>
              <w:rPr>
                <w:rFonts w:ascii="Arial" w:cs="Arial" w:eastAsia="Arial" w:hAnsi="Arial"/>
                <w:sz w:val="18"/>
                <w:szCs w:val="18"/>
                <w:color w:val="auto"/>
              </w:rPr>
              <w:t>F-27</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7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9.1%</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8.2%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8.4%</w:t>
            </w: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 during the year ending December 31,</w:t>
            </w:r>
          </w:p>
        </w:tc>
        <w:tc>
          <w:tcPr>
            <w:tcW w:w="18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2014</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$1,803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2016</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$1,517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2018</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2019 to 2023</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$3,035</w:t>
            </w:r>
          </w:p>
        </w:tc>
      </w:tr>
    </w:tbl>
    <w:p>
      <w:pPr>
        <w:spacing w:after="0" w:line="202"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Gratuity Plans in India are partially funded and are managed and administered by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on the Gratuity Plans of approximately 9.5% per annum for the year ended March 31, 2013.</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Plan assets at January 1, 2012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Actual return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January 1, 2013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Actual return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Plan assets at December 31, 2013</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maintains the ExlService.com LLC.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$1,147, $942 and $662 during the years ended December 31, 2013, 2012 and 2011, respectively. The increase in contributions in 2013 and 2012 compared to 2011 is primarily due to the Company’s acquisitions of OPI and Trumbull in 2011, Landacorp in 2012 and increased participation by employees.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During the years ended December 31, 2013, 2012 and 2011, the Company contributed the following amounts to various defined contribution plans on behalf of its employees in India, the Philippines, Romania, Bulgaria, Malaysia and the Czech Republic:</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3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3060" w:type="dxa"/>
            <w:vAlign w:val="bottom"/>
          </w:tcPr>
          <w:p>
            <w:pPr>
              <w:jc w:val="right"/>
              <w:ind w:right="10"/>
              <w:spacing w:after="0"/>
              <w:rPr>
                <w:sz w:val="20"/>
                <w:szCs w:val="20"/>
                <w:color w:val="auto"/>
              </w:rPr>
            </w:pPr>
            <w:r>
              <w:rPr>
                <w:rFonts w:ascii="Arial" w:cs="Arial" w:eastAsia="Arial" w:hAnsi="Arial"/>
                <w:sz w:val="18"/>
                <w:szCs w:val="18"/>
                <w:color w:val="auto"/>
              </w:rPr>
              <w:t>$5,626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3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Company finances its use of certain computer hardware, leasehold improvements, furniture, fixtures, office equipment and motor vehicles under various lease arrangements provided by financial institutions. Future minimum lease payments under these capital leases as of December 31, 2013 are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$1,305</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1,371</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December 31, 2013 are set forth below:</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8,389</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20,823</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accounts for scheduled rent on such leases on a straight line basis over the non-cancelable lease period determined under ASC 840. Rent expense under both cancelable and non-cancelable operating leases was $17,384, $17,860 and $14,599 for the years ended December 31, 2013, 2012 and 2011, respectively. Deferred rent as of December 31, 2013 and 2012 was $5,394 and $4,893, respectively, and is included in “Accrued expenses and other current liabilities” and “Non-current liabilities” in the consolidated balance sheets.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before income taxes consist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$24,056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40,921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34,674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40,636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64,977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56,720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46,648</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provision:</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4,519</w:t>
            </w:r>
          </w:p>
        </w:tc>
        <w:tc>
          <w:tcPr>
            <w:tcW w:w="5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3"/>
              </w:rPr>
              <w:t>10,930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14,396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10,157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provision/(benefit):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Domestic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4,371</w:t>
            </w:r>
          </w:p>
        </w:tc>
        <w:tc>
          <w:tcPr>
            <w:tcW w:w="5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(1,699)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(3,704)</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(1,705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20" w:type="dxa"/>
            <w:vAlign w:val="bottom"/>
            <w:gridSpan w:val="4"/>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16,880</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14,884</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9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60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tax provision</w:t>
            </w:r>
          </w:p>
        </w:tc>
        <w:tc>
          <w:tcPr>
            <w:tcW w:w="1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$22,742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$19,852</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$16,327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9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(254)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(1,702)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(5,531)</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2740" w:type="dxa"/>
            <w:vAlign w:val="bottom"/>
            <w:gridSpan w:val="3"/>
          </w:tcPr>
          <w:p>
            <w:pPr>
              <w:jc w:val="right"/>
              <w:ind w:right="180"/>
              <w:spacing w:after="0"/>
              <w:rPr>
                <w:sz w:val="20"/>
                <w:szCs w:val="20"/>
                <w:color w:val="auto"/>
              </w:rPr>
            </w:pPr>
            <w:r>
              <w:rPr>
                <w:rFonts w:ascii="Arial" w:cs="Arial" w:eastAsia="Arial" w:hAnsi="Arial"/>
                <w:sz w:val="18"/>
                <w:szCs w:val="18"/>
                <w:color w:val="auto"/>
              </w:rPr>
              <w:t>(1,412)</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(1,071)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(benefit)/provision</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356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Unrecognized tax benefits and interest</w:t>
            </w:r>
          </w:p>
        </w:tc>
        <w:tc>
          <w:tcPr>
            <w:tcW w:w="2740" w:type="dxa"/>
            <w:vAlign w:val="bottom"/>
            <w:gridSpan w:val="3"/>
          </w:tcPr>
          <w:p>
            <w:pPr>
              <w:jc w:val="right"/>
              <w:ind w:right="240"/>
              <w:spacing w:after="0"/>
              <w:rPr>
                <w:sz w:val="20"/>
                <w:szCs w:val="20"/>
                <w:color w:val="auto"/>
              </w:rPr>
            </w:pPr>
            <w:r>
              <w:rPr>
                <w:rFonts w:ascii="Arial" w:cs="Arial" w:eastAsia="Arial" w:hAnsi="Arial"/>
                <w:sz w:val="18"/>
                <w:szCs w:val="18"/>
                <w:color w:val="auto"/>
              </w:rPr>
              <w:t>2,399</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(2,083)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taxes</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601</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740" w:type="dxa"/>
            <w:vAlign w:val="bottom"/>
            <w:gridSpan w:val="3"/>
          </w:tcPr>
          <w:p>
            <w:pPr>
              <w:jc w:val="right"/>
              <w:ind w:right="240"/>
              <w:spacing w:after="0"/>
              <w:rPr>
                <w:sz w:val="20"/>
                <w:szCs w:val="20"/>
                <w:color w:val="auto"/>
              </w:rPr>
            </w:pPr>
            <w:r>
              <w:rPr>
                <w:rFonts w:ascii="Arial" w:cs="Arial" w:eastAsia="Arial" w:hAnsi="Arial"/>
                <w:sz w:val="18"/>
                <w:szCs w:val="18"/>
                <w:color w:val="auto"/>
              </w:rPr>
              <w:t>310</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591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benefit</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(921)</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92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7"/>
        </w:trPr>
        <w:tc>
          <w:tcPr>
            <w:tcW w:w="4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16,880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14,884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11,868</w:t>
            </w:r>
          </w:p>
        </w:tc>
      </w:tr>
      <w:tr>
        <w:trPr>
          <w:trHeight w:val="20"/>
        </w:trPr>
        <w:tc>
          <w:tcPr>
            <w:tcW w:w="4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fiscal year under the Indian Income Tax Act ends on March 31. Certain of the Company’s operations centers in India qualified for an exemption from corporate tax under the Indian Income Tax Act which expired 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April 1, 2011. Therefore, profits generated from the services provided from such operations centers have become fully taxable and consequently, the Company’s tax expense increased from 2011 and may continue to be higher going forward.</w:t>
      </w:r>
    </w:p>
    <w:p>
      <w:pPr>
        <w:spacing w:after="0" w:line="17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benefited from a four-year income tax holiday for one of its operations centers in the Philippines that expired in May 2012. The tax benefit was extendable by two successive one-year periods on fulfillment of certain performance and investment criteria. The Company fulfilled such obligations and extensions were granted by the Philippines Economic Zone Authority (“PEZA”) in February 2013 retroactively from May 2012 and in May 2013 for an additional one year which will expire in May 2014. Other operations centers in the Philippines, which began operations in January 2012 and in May 2013, respectively, benefit from a separate four-year income tax holiday from the date of their starting operations that can be extended at PEZA’s discretion for two successive one-year periods. While the Company is reasonably certain that these benefits will continue to be available for the expected period, it is possible that such tax holidays or extensions may be conditioned or removed entirely due to changes in applicable legislation by the government of the Philippines. Should any of these events occur, the Company’s tax liability in the Philippines would likely increase.</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operations centers in Jaipur and Noida, India, which were established in Special Economic Zones (“SEZs”) in 2010, are eligible for tax incentives until 2020. As part of the OPI Acquisition, the Company also acquired operations centers in Bengaluru and Kochi, India that are also established in SEZs. The operations center in Bengaluru completed its first five years of operations on March 31, 2012 during which such operations were entitled to a 100% tax exemption on export profits. Under Indian tax regulations, the Bengaluru operations center is entitled to a 50% tax exemption on export profits for five years from April 1, 2012. The Company’s tax expense for the Bengaluru center increased after April 1, 2012 and will further increase after the expiration of the current five-year term in 2017. The Company also established a new operations center in Pune, India in June 2012 and in Kochi, India in May 2013, both of which are located in SEZs. The Company anticipates establishing additional operations centers in SEZs or other tax advantaged locations in the future.</w:t>
      </w:r>
    </w:p>
    <w:p>
      <w:pPr>
        <w:spacing w:after="0" w:line="192" w:lineRule="exact"/>
        <w:rPr>
          <w:sz w:val="20"/>
          <w:szCs w:val="20"/>
          <w:color w:val="auto"/>
        </w:rPr>
      </w:pPr>
    </w:p>
    <w:p>
      <w:pPr>
        <w:jc w:val="center"/>
        <w:ind w:left="600" w:right="100"/>
        <w:spacing w:after="0" w:line="449" w:lineRule="auto"/>
        <w:rPr>
          <w:sz w:val="20"/>
          <w:szCs w:val="20"/>
          <w:color w:val="auto"/>
        </w:rPr>
      </w:pPr>
      <w:r>
        <w:rPr>
          <w:rFonts w:ascii="Arial" w:cs="Arial" w:eastAsia="Arial" w:hAnsi="Arial"/>
          <w:sz w:val="18"/>
          <w:szCs w:val="18"/>
          <w:color w:val="auto"/>
        </w:rPr>
        <w:t>The diluted earnings per share effect of the tax holiday is $0.16, $0.10 and $0.10 for the years ended December 31, 2013, 2012 and 2011, respectively. F-31</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deferred tax balances as of December 31, 2013 and 2012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Tax credit carry forward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3,332</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5,361</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employee costs and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Net operating loss carry 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10,474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13,553</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exchange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33,047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35,735</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(665)</w:t>
            </w:r>
          </w:p>
        </w:tc>
      </w:tr>
      <w:tr>
        <w:trPr>
          <w:trHeight w:val="27"/>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32,382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35,070</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exchange gain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13,417</w:t>
            </w:r>
          </w:p>
        </w:tc>
        <w:tc>
          <w:tcPr>
            <w:tcW w:w="120" w:type="dxa"/>
            <w:vAlign w:val="bottom"/>
          </w:tcPr>
          <w:p>
            <w:pPr>
              <w:spacing w:after="0"/>
              <w:rPr>
                <w:sz w:val="19"/>
                <w:szCs w:val="19"/>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13,170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13,487</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19,212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21,583</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2013 and 2012, the Company performed an analysis of the deferred tax asset valuation allowance for net operating loss carry forward for its domestic entities. Based on this analysis, the Company continues to carry a valuation allowance on the deferred tax assets on certain net operating loss carry forwards. Accordingly, the Company had recorded a valuation allowance of $665 each as of December 31, 2013 and 2012.</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a result of the OPI Acquisition and the Landacorp Acquisition, the Company acquired federal and state net operating losses in the United States. Thus, as of December 31, 2013, the Company has federal net operating loss carry forwards of approximately $26,934, which expire through various years till 2032. The Company’s federal net operating loss carry forwards are subject to certain annual utilization limitations under Section 382 of the United States Internal Revenue Code. The Company also has state and local net operating loss carry forwards of varying amounts, which are subject to limitations under the applicable rules and regulations of those taxing jurisdictions. The Company estimates that it will be able to utilize all of the losses before their expiration.</w:t>
      </w:r>
    </w:p>
    <w:p>
      <w:pPr>
        <w:spacing w:after="0" w:line="15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Company’s Indian subsidiaries are liable to pay Minimum Alternative Tax (MAT) under India’s domestic tax laws. As of December 31, 2013 and 2012 deferred income taxes related to the MAT were $3,332 and $2,932, respectively expiring through various years until 2024.</w:t>
      </w:r>
    </w:p>
    <w:p>
      <w:pPr>
        <w:spacing w:after="0" w:line="147"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At December 31, 2013 and 2012, no deferred income taxes have been provided for the Company’s share of undistributed net earnings of foreign operations due to management’s intent to reinvest such amounts indefinitely. The determination of the amount of such unrecognized deferred taxes is not practicable. Those earnings totaled approximately $185,596 and $153,906 as of December 31, 2013 and 2012,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The Company’s provision for income taxes also includes the impact of provisions established for uncertain income tax positions determined in accordance with ASC No.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2013 through December 31, 2013:</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9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9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4,913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December 31, 2013 of $4,913, if recognized, would impact the effective tax rate.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has recognized interest and penalties of $283 during the year ended December 31, 2013, which is included in the income tax provision in the consolidated statements of income. The unrecognized tax benefits may increase or decrease in the next twelve months depending on the Company’s tax positions.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2006, the Company instituted the ExlService Holdings, Inc. 2006 Omnibus Award Plan (the 2006 Plan) which replaced the 2003 Plan. The 2006 Plan covers all of the employees of the Company. Under the 2006 Plan, the Compensation Committee (“the Committee”) may grant awards of nonqualified stock options, incentive stock options, stock appreciation rights, restricted stock, restricted stock units, stock bonus awards, performance based compensation awards (including cash bonus awards) or any combination of the foregoing.</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 reserved 3,399,384 shares of common stock (in addition to the available pool of 329,854 shares from the 2003 plan) for the granting of equity awards. If an employee resigns or is terminated, the employee must exercise any vested options within 90 days after termination or the vested options are forfeited. At a special meeting of the Company’s stockholders held on January 29, 2009, the Company’s stockholders approved, among other things, an amendment to the 2006 Plan to increase the number of shares of its common stock issuable there under by 4,000,000 shares, which brought the total number of shares reserved under the plan to 7,729,238.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Company applies the provisions of </w:t>
      </w:r>
      <w:r>
        <w:rPr>
          <w:rFonts w:ascii="Arial" w:cs="Arial" w:eastAsia="Arial" w:hAnsi="Arial"/>
          <w:sz w:val="18"/>
          <w:szCs w:val="18"/>
          <w:i w:val="1"/>
          <w:iCs w:val="1"/>
          <w:color w:val="auto"/>
        </w:rPr>
        <w:t>ASC No. 718, “compensation-stock compensation”</w:t>
      </w:r>
      <w:r>
        <w:rPr>
          <w:rFonts w:ascii="Arial" w:cs="Arial" w:eastAsia="Arial" w:hAnsi="Arial"/>
          <w:sz w:val="18"/>
          <w:szCs w:val="18"/>
          <w:color w:val="auto"/>
        </w:rPr>
        <w:t xml:space="preserve"> to account for it’s stock based compensation, using the modified prospective method of transition. Under the provisions of this guidance, the estimated fair value of share-based awards granted under stock incentive plans is recognized as compensation expense over the vesting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statements of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$1,893</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5,077</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4,551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4,589</w:t>
            </w:r>
          </w:p>
        </w:tc>
      </w:tr>
      <w:tr>
        <w:trPr>
          <w:trHeight w:val="216"/>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4,342</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2,972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3,238</w:t>
            </w:r>
          </w:p>
        </w:tc>
      </w:tr>
      <w:tr>
        <w:trPr>
          <w:trHeight w:val="223"/>
        </w:trPr>
        <w:tc>
          <w:tcPr>
            <w:tcW w:w="9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11,832</w:t>
            </w: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9,416</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9,462</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during the year ended December 31, 2013, recognized an additional stock compensation expense of $854 as a result of modified vesting conditions on certain restricted stock units.</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Year ended December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Expected life (years)</w:t>
            </w:r>
          </w:p>
        </w:tc>
        <w:tc>
          <w:tcPr>
            <w:tcW w:w="1000" w:type="dxa"/>
            <w:vAlign w:val="bottom"/>
            <w:gridSpan w:val="2"/>
          </w:tcPr>
          <w:p>
            <w:pPr>
              <w:jc w:val="right"/>
              <w:ind w:right="548"/>
              <w:spacing w:after="0"/>
              <w:rPr>
                <w:sz w:val="20"/>
                <w:szCs w:val="20"/>
                <w:color w:val="auto"/>
              </w:rPr>
            </w:pPr>
            <w:r>
              <w:rPr>
                <w:rFonts w:ascii="Arial" w:cs="Arial" w:eastAsia="Arial" w:hAnsi="Arial"/>
                <w:sz w:val="18"/>
                <w:szCs w:val="18"/>
                <w:color w:val="auto"/>
              </w:rPr>
              <w:t>5.50</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5.38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5.58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0.87%</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0.97%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2.16%</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Volatility</w:t>
            </w:r>
          </w:p>
        </w:tc>
        <w:tc>
          <w:tcPr>
            <w:tcW w:w="1000" w:type="dxa"/>
            <w:vAlign w:val="bottom"/>
            <w:gridSpan w:val="2"/>
          </w:tcPr>
          <w:p>
            <w:pPr>
              <w:jc w:val="right"/>
              <w:ind w:right="388"/>
              <w:spacing w:after="0"/>
              <w:rPr>
                <w:sz w:val="20"/>
                <w:szCs w:val="20"/>
                <w:color w:val="auto"/>
              </w:rPr>
            </w:pPr>
            <w:r>
              <w:rPr>
                <w:rFonts w:ascii="Arial" w:cs="Arial" w:eastAsia="Arial" w:hAnsi="Arial"/>
                <w:sz w:val="18"/>
                <w:szCs w:val="18"/>
                <w:color w:val="auto"/>
              </w:rPr>
              <w:t>40%</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estimated expected term of options granted has been based on historical experience,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w:t>
      </w:r>
    </w:p>
    <w:p>
      <w:pPr>
        <w:spacing w:after="0" w:line="187"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Aggregate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9"/>
              </w:rPr>
              <w:t>Number of</w:t>
            </w: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Intrinsic</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3,075,617</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360,867</w:t>
            </w: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20.41</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(342,166)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11.97</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(64,190)</w:t>
            </w: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10.06</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3,030,128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416,129</w:t>
            </w: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25.36</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(793,053)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12.11</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(198,570)</w:t>
            </w: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17.35</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2,454,634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15.30</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14,301</w:t>
            </w: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26.76</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(485,141)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11.32</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(27,279)</w:t>
            </w:r>
          </w:p>
        </w:tc>
        <w:tc>
          <w:tcPr>
            <w:tcW w:w="1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24.13</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1,956,515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16.25</w:t>
            </w:r>
          </w:p>
        </w:tc>
        <w:tc>
          <w:tcPr>
            <w:tcW w:w="11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1"/>
              </w:rPr>
              <w:t>$ 22,255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1,410,736</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13.90</w:t>
            </w:r>
          </w:p>
        </w:tc>
        <w:tc>
          <w:tcPr>
            <w:tcW w:w="5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$ 19,359</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2013</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1,824,149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unrecognized compensation cost for unvested options as of December 31, 2013 is $2,786, which is expected to be expensed over a weighted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average period of 1.75 years. The weighted-average fair value of options granted during the years ended December 31, 2013, 2012 and 2011 was $10.07,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$9.43 and $8.16, respectively. The total grant date fair value of options vested during the years ended December 31, 2013, 2012 and 2011 was $3,061, $3,000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$3,099, respectively. The aggregate intrinsic value of options exercised during the years ended December 31, 2013, 2012 and 2011 was $8,960, $12,020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$4,180, respectively.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status of the Company’s stock options outstanding and stock options vested and exercisable at December 31, 2013:</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60" w:type="dxa"/>
            <w:vAlign w:val="bottom"/>
            <w:gridSpan w:val="6"/>
          </w:tcPr>
          <w:p>
            <w:pPr>
              <w:ind w:left="520"/>
              <w:spacing w:after="0"/>
              <w:rPr>
                <w:sz w:val="20"/>
                <w:szCs w:val="20"/>
                <w:color w:val="auto"/>
              </w:rPr>
            </w:pPr>
            <w:r>
              <w:rPr>
                <w:rFonts w:ascii="Arial" w:cs="Arial" w:eastAsia="Arial" w:hAnsi="Arial"/>
                <w:sz w:val="14"/>
                <w:szCs w:val="14"/>
                <w:b w:val="1"/>
                <w:bCs w:val="1"/>
                <w:color w:val="auto"/>
              </w:rPr>
              <w:t>Options Outstanding</w:t>
            </w:r>
          </w:p>
        </w:tc>
        <w:tc>
          <w:tcPr>
            <w:tcW w:w="2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15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Weighted-</w:t>
            </w:r>
          </w:p>
        </w:tc>
        <w:tc>
          <w:tcPr>
            <w:tcW w:w="6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352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1520" w:type="dxa"/>
            <w:vAlign w:val="bottom"/>
            <w:vMerge w:val="continue"/>
          </w:tcPr>
          <w:p>
            <w:pPr>
              <w:spacing w:after="0"/>
              <w:rPr>
                <w:sz w:val="14"/>
                <w:szCs w:val="14"/>
                <w:color w:val="auto"/>
              </w:rPr>
            </w:pPr>
          </w:p>
        </w:tc>
        <w:tc>
          <w:tcPr>
            <w:tcW w:w="35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Exercise Price</w:t>
            </w:r>
          </w:p>
        </w:tc>
        <w:tc>
          <w:tcPr>
            <w:tcW w:w="11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$8.00 to $15.00</w:t>
            </w:r>
          </w:p>
        </w:tc>
        <w:tc>
          <w:tcPr>
            <w:tcW w:w="3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854,069</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854,069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$15.01 to $24.00</w:t>
            </w:r>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752,246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19.15</w:t>
            </w:r>
          </w:p>
        </w:tc>
        <w:tc>
          <w:tcPr>
            <w:tcW w:w="820" w:type="dxa"/>
            <w:vAlign w:val="bottom"/>
          </w:tcPr>
          <w:p>
            <w:pPr>
              <w:jc w:val="right"/>
              <w:spacing w:after="0"/>
              <w:rPr>
                <w:sz w:val="20"/>
                <w:szCs w:val="20"/>
                <w:color w:val="auto"/>
              </w:rPr>
            </w:pPr>
            <w:r>
              <w:rPr>
                <w:rFonts w:ascii="Arial" w:cs="Arial" w:eastAsia="Arial" w:hAnsi="Arial"/>
                <w:sz w:val="18"/>
                <w:szCs w:val="18"/>
                <w:color w:val="auto"/>
              </w:rPr>
              <w:t>496,238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$24.01 to $36.15</w:t>
            </w:r>
          </w:p>
        </w:tc>
        <w:tc>
          <w:tcPr>
            <w:tcW w:w="4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350,200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25.23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23"/>
        </w:trPr>
        <w:tc>
          <w:tcPr>
            <w:tcW w:w="1520" w:type="dxa"/>
            <w:vAlign w:val="bottom"/>
          </w:tcPr>
          <w:p>
            <w:pPr>
              <w:ind w:left="360"/>
              <w:spacing w:after="0"/>
              <w:rPr>
                <w:sz w:val="20"/>
                <w:szCs w:val="20"/>
                <w:color w:val="auto"/>
              </w:rPr>
            </w:pPr>
            <w:r>
              <w:rPr>
                <w:rFonts w:ascii="Arial" w:cs="Arial" w:eastAsia="Arial" w:hAnsi="Arial"/>
                <w:sz w:val="18"/>
                <w:szCs w:val="18"/>
                <w:color w:val="auto"/>
              </w:rPr>
              <w:t>Total</w:t>
            </w:r>
          </w:p>
        </w:tc>
        <w:tc>
          <w:tcPr>
            <w:tcW w:w="35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1,956,515</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1,410,736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Subsequent to December 31, 2013, the Company granted approximately 500,000 restricted stock units and 9,800 stock options to its employees and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82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Restricted Stock</w:t>
            </w: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Weighted-</w:t>
            </w:r>
          </w:p>
        </w:tc>
        <w:tc>
          <w:tcPr>
            <w:tcW w:w="6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Average</w:t>
            </w: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Intrinsic Value</w:t>
            </w: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624,815</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460,972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(152,962)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19.02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(108,670)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(19,089)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19.70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(37,458)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18.41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939,659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389,050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18.26</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(2,901)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23.82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(103,956)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17.58</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1,025,911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522,130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17.56</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(300,316)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17.72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(103,283)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1,144,442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$20,000, $24,000 and $24,000 restricted stock units vested during the years ended December 31, 2013, 2012 and 2011, respectively (112,000, 124,000 and 120,000 as of December 31, 2013, 2012 and 2011, respectively) for which the underlying common stock is yet to be issued.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2013, unrecognized compensation cost of $19,670 is expected to be expensed over a weighted average period of 2.42 years. The weighted-average fair value of restricted stock units under the 2006 Plan granted during the years ended December 31, 2013, 2012 and 2011 was $29.37, $25.07 and $20.84, respectively. The total grant date fair value of restricted stock and restricted stock units vested during the years ended December 31, 2013, 2012 and 2011 was $9,126, $7,010 and $5,456,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12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United States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$353,274</w:t>
            </w: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$320,246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$258,807</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92,601</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89,483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79,419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Rest of World</w:t>
            </w:r>
          </w:p>
        </w:tc>
        <w:tc>
          <w:tcPr>
            <w:tcW w:w="700" w:type="dxa"/>
            <w:vAlign w:val="bottom"/>
          </w:tcPr>
          <w:p>
            <w:pPr>
              <w:jc w:val="right"/>
              <w:spacing w:after="0"/>
              <w:rPr>
                <w:sz w:val="20"/>
                <w:szCs w:val="20"/>
                <w:color w:val="auto"/>
              </w:rPr>
            </w:pPr>
            <w:r>
              <w:rPr>
                <w:rFonts w:ascii="Arial" w:cs="Arial" w:eastAsia="Arial" w:hAnsi="Arial"/>
                <w:sz w:val="18"/>
                <w:szCs w:val="18"/>
                <w:color w:val="auto"/>
              </w:rPr>
              <w:t>32,577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22,315</w:t>
            </w:r>
          </w:p>
        </w:tc>
      </w:tr>
      <w:tr>
        <w:trPr>
          <w:trHeight w:val="27"/>
        </w:trPr>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478,452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442,930</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360,541</w:t>
            </w:r>
          </w:p>
        </w:tc>
      </w:tr>
      <w:tr>
        <w:trPr>
          <w:trHeight w:val="20"/>
        </w:trPr>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82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India</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21,433</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29,539</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8,409</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8"/>
                <w:szCs w:val="18"/>
                <w:color w:val="auto"/>
              </w:rPr>
            </w:pPr>
          </w:p>
        </w:tc>
      </w:tr>
      <w:tr>
        <w:trPr>
          <w:trHeight w:val="223"/>
        </w:trPr>
        <w:tc>
          <w:tcPr>
            <w:tcW w:w="6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At December 31, 2013, the Company has committed to spend approximately $12,239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units of the Company’s Indian subsidiaries were established as 100% Export-Oriented units under the Software Technology Parks of India (“STPI”) scheme promulgated by the Government of India which provided the Company with certain incentives on imported and indigenous capital goods on fulfillment of certain conditions. Although the corporate tax incentives under the STPI scheme are no longer available to the Company, the units are required to fulfill such conditions for a limited time. In the event that these units are unable to meet the prescribed conditions over the specified period, the Company may be required to refund those incentives along with penalties and fines. The Company’s management believes, however, that these units have in the past satisfied and will continue to satisfy the required conditions.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Company’s operations centers in the Philippines are registered with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ExlService.com LLC are engaged in tax litigation with the income-tax authorities in India on the issue of permanent establishment.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disputed amount demanded by Income tax authorities from the Company related to its transfer pricing issues for various years ranging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tax years 2003 to 2009 and its permanent establishment issues ranging from tax years 2003 to 2007 as of December 31, 2013 and 2012 is $14,742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$18,624, respectively of which the Company has already made payment or provided bank guarantee to the extent $13,797 and $14,715, respectively. Amounts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as deposits in respect of such assessments aggregating to $11,653 and $12,307 as of December 31, 2013 and 2012, respectively, are included in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amounts deposited for bank guarantees aggregating to $2,144 and $2,408 as of December 31, 2013 and 2012, respectively, are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in the non-current assets section of the Company’s consolidated balance sheets as of December 31, 2013 and 2012.</w:t>
      </w:r>
    </w:p>
    <w:p>
      <w:pPr>
        <w:spacing w:after="0" w:line="21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crystallization of these liabilities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for subsequent years. Even if these disputes are resolved, the Indian tax authorities may still serve additional orders.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Subsidiaries of the Registrant</w:t>
            </w:r>
          </w:p>
        </w:tc>
        <w:tc>
          <w:tcPr>
            <w:tcW w:w="420" w:type="dxa"/>
            <w:vAlign w:val="bottom"/>
          </w:tcPr>
          <w:p>
            <w:pPr>
              <w:spacing w:after="0"/>
              <w:rPr>
                <w:sz w:val="17"/>
                <w:szCs w:val="17"/>
                <w:color w:val="auto"/>
              </w:rPr>
            </w:pPr>
          </w:p>
        </w:tc>
      </w:tr>
      <w:tr>
        <w:trPr>
          <w:trHeight w:val="412"/>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148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1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3"/>
              </w:rPr>
              <w:t>Business Process</w:t>
            </w:r>
          </w:p>
        </w:tc>
        <w:tc>
          <w:tcPr>
            <w:tcW w:w="3360" w:type="dxa"/>
            <w:vAlign w:val="bottom"/>
          </w:tcPr>
          <w:p>
            <w:pPr>
              <w:ind w:left="60"/>
              <w:spacing w:after="0" w:line="195" w:lineRule="exact"/>
              <w:rPr>
                <w:sz w:val="20"/>
                <w:szCs w:val="20"/>
                <w:color w:val="auto"/>
              </w:rPr>
            </w:pPr>
            <w:r>
              <w:rPr>
                <w:rFonts w:ascii="Arial" w:cs="Arial" w:eastAsia="Arial" w:hAnsi="Arial"/>
                <w:sz w:val="18"/>
                <w:szCs w:val="18"/>
                <w:color w:val="auto"/>
              </w:rPr>
              <w:t>Outsourcing, LLC</w:t>
            </w:r>
          </w:p>
        </w:tc>
        <w:tc>
          <w:tcPr>
            <w:tcW w:w="148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Delaware</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 Service.com, LLC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Landacorp,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Outsource Partners International,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Professional Data Management Again,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Trumbull Services, LLC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Connecticut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Business Process Outsourcing (India)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 Service.com (India)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 Support Services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ExlService SEZ BPO Solutions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Inductis (India)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Outsource Partners International Private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India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Business Process Outsourcing Ltd.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Mauritius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OPI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Mauritius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ExlService (U.K.)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Outsource Partners International Ltd.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3"/>
              </w:rPr>
              <w:t>United Kingdom</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 Service Germany, GmbH</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Germany</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ExlService Czech Republic S.R.O.</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w w:val="95"/>
              </w:rPr>
              <w:t>Czech Republic</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ExlService Mauritius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Mauritius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ExlService Philippines, Inc.</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Philippines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ExlService Romania Private Limited S.R.L.</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Romania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Exl Services South Africa (PTY) Ltd.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South Africa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Inductis (Singapore) PTE Limited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Singapore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Outsource Partners International EAD</w:t>
            </w:r>
          </w:p>
        </w:tc>
        <w:tc>
          <w:tcPr>
            <w:tcW w:w="14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Bulgaria</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Outsource Partners International SDN BHD</w:t>
            </w:r>
          </w:p>
        </w:tc>
        <w:tc>
          <w:tcPr>
            <w:tcW w:w="14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3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Statement (Form S-3 No. 333-179098) of ExlService Holdings,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Statement (Form S-8 No. 333-139211) pertaining to the 2006 Omnibus Award Plan of ExlService Holdings, Inc.;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Statement (Form S-8 No. 333-157076) pertaining to the 2003 Stock Option Plan, 2003 India Stock Employee Option Plan, 2006 Omnibus Award Plan, 2006 Omnibus India Subplan 1 and 2006 Omnibus India Subplan 2 of ExlService Holdings, Inc.;</w:t>
      </w:r>
    </w:p>
    <w:p>
      <w:pPr>
        <w:spacing w:after="0" w:line="6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of our reports dated March 3, 2014, with respect to the consolidated financial statements of ExlService Holdings, Inc. and subsidiaries, and the effectiveness of internal control over financial reporting of ExlService Holdings, Inc. and subsidiaries included in this Annual Report (Form 10-K) for the year ended December 31, 2013.</w:t>
      </w:r>
    </w:p>
    <w:p>
      <w:pPr>
        <w:spacing w:after="0" w:line="181"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900" w:right="28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Date: March 3, 2014</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2752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Rohit Kapoor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900" w:right="28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March 3, 2014</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Vishal Chhibbar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2013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8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Rohit Kapoor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2013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8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Vishal Chhibbar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2"/>
    </w:lvl>
  </w:abstractNum>
  <w:abstractNum w:abstractNumId="12">
    <w:nsid w:val="7C83E458"/>
    <w:multiLevelType w:val="hybridMultilevel"/>
    <w:lvl w:ilvl="0">
      <w:lvlJc w:val="left"/>
      <w:lvlText w:val="%1."/>
      <w:numFmt w:val="decimal"/>
      <w:start w:val="3"/>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2019-12-07T07:38:38Z</dcterms:created>
  <dcterms:modified xsi:type="dcterms:W3CDTF">2019-12-07T07:38:38Z</dcterms:modified>
</cp:coreProperties>
</file>