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333-162335</w:t>
      </w:r>
    </w:p>
    <w:p>
      <w:pPr>
        <w:spacing w:after="0" w:line="141" w:lineRule="exact"/>
        <w:rPr>
          <w:sz w:val="24"/>
          <w:szCs w:val="24"/>
          <w:color w:val="auto"/>
        </w:rPr>
      </w:pPr>
    </w:p>
    <w:p>
      <w:pPr>
        <w:ind w:right="700"/>
        <w:spacing w:after="0" w:line="249"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is not an offer to sell these securities and it is not soliciting an offer to buy these securities in any jurisdiction where the offer or sale is not permitted.</w:t>
      </w:r>
    </w:p>
    <w:p>
      <w:pPr>
        <w:spacing w:after="0" w:line="265"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DE1A1E"/>
        </w:rPr>
        <w:t>SUBJECT TO COMPLETION, DATED DECEMBER 1, 2011</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color w:val="DE1A1E"/>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DE1A1E"/>
        </w:rPr>
        <w:t>(To Prospectus dated January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50165</wp:posOffset>
            </wp:positionV>
            <wp:extent cx="120078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78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2,000,000 Shares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123190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5"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The selling stockholders named in this prospectus supplement are selling 2,000,000 shares. We will not receive any proceeds from the sale of the shares by the selling stockholders.</w:t>
      </w:r>
    </w:p>
    <w:p>
      <w:pPr>
        <w:spacing w:after="0" w:line="37" w:lineRule="exact"/>
        <w:rPr>
          <w:sz w:val="24"/>
          <w:szCs w:val="24"/>
          <w:color w:val="auto"/>
        </w:rPr>
      </w:pPr>
    </w:p>
    <w:p>
      <w:pPr>
        <w:ind w:right="52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“EXLS.” The last reported sale price of our common stock on the Nasdaq Global Select Market on November 30, 2011 was $26.60 per share.</w:t>
      </w:r>
    </w:p>
    <w:p>
      <w:pPr>
        <w:spacing w:after="0" w:line="18" w:lineRule="exact"/>
        <w:rPr>
          <w:sz w:val="24"/>
          <w:szCs w:val="24"/>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122555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4"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67945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68" w:lineRule="exact"/>
        <w:rPr>
          <w:sz w:val="24"/>
          <w:szCs w:val="24"/>
          <w:color w:val="auto"/>
        </w:rPr>
      </w:pPr>
    </w:p>
    <w:p>
      <w:pPr>
        <w:ind w:right="240" w:firstLine="456"/>
        <w:spacing w:after="0" w:line="286" w:lineRule="auto"/>
        <w:rPr>
          <w:sz w:val="20"/>
          <w:szCs w:val="20"/>
          <w:color w:val="auto"/>
        </w:rPr>
      </w:pPr>
      <w:r>
        <w:rPr>
          <w:rFonts w:ascii="Arial" w:cs="Arial" w:eastAsia="Arial" w:hAnsi="Arial"/>
          <w:sz w:val="16"/>
          <w:szCs w:val="16"/>
          <w:color w:val="auto"/>
        </w:rPr>
        <w:t>The underwriter has agreed to purchase the shares of common stock from the selling stockholders at a price of $ per share, which will result in approximately $ million of gross proceeds to the selling stockholders. The underwriter proposes to offer the shares of common stock offered hereby</w:t>
      </w:r>
    </w:p>
    <w:p>
      <w:pPr>
        <w:ind w:right="160"/>
        <w:spacing w:after="0" w:line="255" w:lineRule="auto"/>
        <w:rPr>
          <w:sz w:val="20"/>
          <w:szCs w:val="20"/>
          <w:color w:val="auto"/>
        </w:rPr>
      </w:pPr>
      <w:r>
        <w:rPr>
          <w:rFonts w:ascii="Arial" w:cs="Arial" w:eastAsia="Arial" w:hAnsi="Arial"/>
          <w:sz w:val="18"/>
          <w:szCs w:val="18"/>
          <w:color w:val="auto"/>
        </w:rPr>
        <w:t>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subject to receipt and acceptance by the underwriter and its right to reject any order in whole or in part. See “Underwriting.”</w:t>
      </w:r>
    </w:p>
    <w:p>
      <w:pPr>
        <w:sectPr>
          <w:pgSz w:w="11900" w:h="16838" w:orient="portrait"/>
          <w:cols w:equalWidth="0" w:num="1">
            <w:col w:w="11420"/>
          </w:cols>
          <w:pgMar w:left="240" w:top="230" w:right="239" w:bottom="1440" w:gutter="0" w:footer="0" w:header="0"/>
        </w:sectPr>
      </w:pPr>
    </w:p>
    <w:p>
      <w:pPr>
        <w:spacing w:after="0" w:line="131"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The underwriter expects to deliver the shares of common stock to purchasers on or about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149225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color w:val="auto"/>
        </w:rPr>
        <w:t>, 2011 through the book-entry facilities of The</w:t>
      </w:r>
    </w:p>
    <w:p>
      <w:pPr>
        <w:spacing w:after="0" w:line="478" w:lineRule="exact"/>
        <w:rPr>
          <w:sz w:val="24"/>
          <w:szCs w:val="24"/>
          <w:color w:val="auto"/>
        </w:rPr>
      </w:pPr>
    </w:p>
    <w:p>
      <w:pPr>
        <w:sectPr>
          <w:pgSz w:w="11900" w:h="16838" w:orient="portrait"/>
          <w:cols w:equalWidth="0" w:num="2">
            <w:col w:w="7080" w:space="720"/>
            <w:col w:w="3620"/>
          </w:cols>
          <w:pgMar w:left="240" w:top="230" w:right="239" w:bottom="1440" w:gutter="0" w:footer="0" w:header="0"/>
          <w:type w:val="continuous"/>
        </w:sectPr>
      </w:pP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Citigroup</w:t>
      </w:r>
    </w:p>
    <w:p>
      <w:pPr>
        <w:spacing w:after="0" w:line="372" w:lineRule="exact"/>
        <w:rPr>
          <w:sz w:val="24"/>
          <w:szCs w:val="24"/>
          <w:color w:val="auto"/>
        </w:rPr>
      </w:pPr>
    </w:p>
    <w:p>
      <w:pPr>
        <w:ind w:left="760"/>
        <w:spacing w:after="0"/>
        <w:rPr>
          <w:sz w:val="20"/>
          <w:szCs w:val="20"/>
          <w:color w:val="auto"/>
        </w:rPr>
      </w:pPr>
      <w:r>
        <w:rPr>
          <w:rFonts w:ascii="Arial" w:cs="Arial" w:eastAsia="Arial" w:hAnsi="Arial"/>
          <w:sz w:val="18"/>
          <w:szCs w:val="18"/>
          <w:color w:val="auto"/>
        </w:rPr>
        <w:t>, 2011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We are responsible for the information contained in or incorporated by reference in this prospectus supplement and the accompanying prospectus and in any free-writing prospectus we prepare or authorize. We have not authorized anyone to provide you with different information, and we take no responsibility for any other information others may give you. We, the selling stockholders and the underwriter are not making an offer to sell these securities in any jurisdiction where the offer or sale is not permitted. You should not assume that the information contained in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137795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20" w:type="dxa"/>
            <w:vAlign w:val="bottom"/>
            <w:gridSpan w:val="4"/>
          </w:tcPr>
          <w:p>
            <w:pPr>
              <w:ind w:left="9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20" w:type="dxa"/>
            <w:vAlign w:val="bottom"/>
            <w:gridSpan w:val="4"/>
            <w:vMerge w:val="restart"/>
          </w:tcPr>
          <w:p>
            <w:pPr>
              <w:jc w:val="center"/>
              <w:ind w:right="34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2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00" w:type="dxa"/>
            <w:vAlign w:val="bottom"/>
            <w:tcBorders>
              <w:bottom w:val="single" w:sz="8" w:color="0000EE"/>
            </w:tcBorders>
            <w:gridSpan w:val="22"/>
          </w:tcPr>
          <w:p>
            <w:pPr>
              <w:spacing w:after="0" w:line="184"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020" w:type="dxa"/>
            <w:vAlign w:val="bottom"/>
            <w:gridSpan w:val="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120" w:type="dxa"/>
            <w:vAlign w:val="bottom"/>
            <w:gridSpan w:val="2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992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Price Range of Common Stock</w:t>
              </w:r>
            </w:hyperlink>
          </w:p>
        </w:tc>
        <w:tc>
          <w:tcPr>
            <w:tcW w:w="862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sz w:val="20"/>
                <w:szCs w:val="20"/>
                <w:color w:val="auto"/>
              </w:rPr>
            </w:pPr>
            <w:r>
              <w:rPr>
                <w:rFonts w:ascii="Arial" w:cs="Arial" w:eastAsia="Arial" w:hAnsi="Arial"/>
                <w:sz w:val="18"/>
                <w:szCs w:val="18"/>
                <w:color w:val="0000EE"/>
              </w:rPr>
              <w:t>Unaudited Pro Forma Financial Information</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31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Selling Stockholders</w:t>
              </w:r>
            </w:hyperlink>
          </w:p>
        </w:tc>
        <w:tc>
          <w:tcPr>
            <w:tcW w:w="77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Material United States Federal Income Tax Consequences for Non-U.S. 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Underwriting</w:t>
              </w:r>
            </w:hyperlink>
          </w:p>
        </w:tc>
        <w:tc>
          <w:tcPr>
            <w:tcW w:w="4680" w:type="dxa"/>
            <w:vAlign w:val="bottom"/>
            <w:tcBorders>
              <w:top w:val="single" w:sz="8" w:color="0000EE"/>
            </w:tcBorders>
            <w:gridSpan w:val="20"/>
          </w:tcPr>
          <w:p>
            <w:pPr>
              <w:spacing w:after="0"/>
              <w:rPr>
                <w:sz w:val="17"/>
                <w:szCs w:val="17"/>
                <w:color w:val="auto"/>
              </w:rPr>
            </w:pPr>
          </w:p>
        </w:tc>
        <w:tc>
          <w:tcPr>
            <w:tcW w:w="51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Validity of Securities</w:t>
              </w:r>
            </w:hyperlink>
          </w:p>
        </w:tc>
        <w:tc>
          <w:tcPr>
            <w:tcW w:w="932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336"/>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8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83"/>
              </w:rPr>
              <w:t>Prospectus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20" w:type="dxa"/>
            <w:vAlign w:val="bottom"/>
            <w:gridSpan w:val="26"/>
          </w:tcPr>
          <w:p>
            <w:pPr>
              <w:spacing w:after="0" w:line="184" w:lineRule="exact"/>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The Company</w:t>
              </w:r>
            </w:hyperlink>
          </w:p>
        </w:tc>
        <w:tc>
          <w:tcPr>
            <w:tcW w:w="922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87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992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 of Earnings to Fixed Charges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Selling Stockholders</w:t>
              </w:r>
            </w:hyperlink>
          </w:p>
        </w:tc>
        <w:tc>
          <w:tcPr>
            <w:tcW w:w="83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Capital Stock</w:t>
              </w:r>
            </w:hyperlink>
          </w:p>
        </w:tc>
        <w:tc>
          <w:tcPr>
            <w:tcW w:w="88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the Debt Securities</w:t>
              </w:r>
            </w:hyperlink>
          </w:p>
        </w:tc>
        <w:tc>
          <w:tcPr>
            <w:tcW w:w="84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Depositary Shares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the Warrants</w:t>
              </w:r>
            </w:hyperlink>
          </w:p>
        </w:tc>
        <w:tc>
          <w:tcPr>
            <w:tcW w:w="82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88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Description of the Purchase Contracts</w:t>
              </w:r>
            </w:hyperlink>
          </w:p>
        </w:tc>
        <w:tc>
          <w:tcPr>
            <w:tcW w:w="814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the Units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91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936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982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Incorporation by Reference</w:t>
              </w:r>
            </w:hyperlink>
          </w:p>
        </w:tc>
        <w:tc>
          <w:tcPr>
            <w:tcW w:w="80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prospectus supplement updates information in the prospectus dated January 20, 2010. You should read this prospectus supplement in conjunction with the prospectus.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supplement incorporates by reference important information. You should read the information incorporated by reference before deciding to invest in our common stock, and you may obtain this information incorporated by reference without charge by following the instructions under “Where You Can Find More Information” appearing below. In this prospectus supplement, the terms “ExlService,” “we,” “us,” “our” and the “Company” refer to ExlService Holdings, Inc.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contain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supplement, the accompanying prospectus and the information incorporated by reference,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33"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the recent acquisition of Business Process Outsourcing, Inc. (“OPI”);</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and other factors are more fully discussed elsewhere in this prospectus supplement and in the documents incorporated by reference herein.</w:t>
      </w:r>
    </w:p>
    <w:p>
      <w:pPr>
        <w:spacing w:after="0" w:line="18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keep in mind that any forward-looking statement made by us in this prospectus supplement, the accompanying prospectus and in the documents incorporated by reference, or elsewhere, speaks only as of the date on which we make it. New risks and uncertainties may come up from time to time, and it is impossible for us to predict these events or how they may affect us. We have no obligation to update any forward-looking statements in this prospectus supplement after the date of this prospectus supplement, except as required by federal securities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This summary highlights information contained or incorporated by reference in this prospectus supplement. This summary does not contain all of the information that you should consider before deciding to invest in our common stock. You should read this entire prospectus supplement carefully, including the information incorporated by reference in this prospectus supplement. See “Item 1A. Risk Factors” in our Annual Report on Form 10-K for the fiscal year ended December 31, 2010 and our Quarterly Reports on Form 10-Q for the quarters ended March 31, 2011, June 30, 2011 and September 30, 2011, incorporated by reference herein.</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ExlService Holdings, Inc.</w:t>
      </w:r>
    </w:p>
    <w:p>
      <w:pPr>
        <w:spacing w:after="0" w:line="164"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United States based and United Kingdom 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Fortune Global 500 and Fortune 1000 companies in the insurance, utilities, banking and financial services, transportation and logistics and travel sectors. Our 17,400 professionals service our clients from fifteen operations centers in India, three operations centers in the United States, two operations centers in Bulgaria and one operations center in each of the Philippines, Romania, the Czech Republic and Malaysia.</w:t>
      </w:r>
    </w:p>
    <w:p>
      <w:pPr>
        <w:spacing w:after="0" w:line="114"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ExlService is a Delaware corporation. Our principal executive offices are located at 280 Park Avenue, 38th Floor, New York, New York 10017, and our telephone number at that address is (212) 277-7100. Our website is www.exlservice.com. The information contained in, or that can be accessed through, our website is not part of, and is not incorporated by reference into, this prospectus supplement or the accompanying prospectus and should not be considered part of this prospectus supplement or the accompanying prospectus.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Acquisition of OPI</w:t>
      </w:r>
    </w:p>
    <w:p>
      <w:pPr>
        <w:spacing w:after="0" w:line="83" w:lineRule="exact"/>
        <w:rPr>
          <w:sz w:val="20"/>
          <w:szCs w:val="20"/>
          <w:color w:val="auto"/>
        </w:rPr>
      </w:pPr>
    </w:p>
    <w:p>
      <w:pPr>
        <w:jc w:val="both"/>
        <w:ind w:left="200" w:right="260" w:firstLine="443"/>
        <w:spacing w:after="0" w:line="306" w:lineRule="auto"/>
        <w:rPr>
          <w:sz w:val="20"/>
          <w:szCs w:val="20"/>
          <w:color w:val="auto"/>
        </w:rPr>
      </w:pPr>
      <w:r>
        <w:rPr>
          <w:rFonts w:ascii="Arial" w:cs="Arial" w:eastAsia="Arial" w:hAnsi="Arial"/>
          <w:sz w:val="16"/>
          <w:szCs w:val="16"/>
          <w:color w:val="auto"/>
        </w:rPr>
        <w:t>On May 31, 2011, we completed the acquisition of OPI, pursuant to a Merger Agreement, dated as of April 30, 2011 (the “OPI Acquisition”). The aggregate consideration paid to OPI’s former stockholders in the OPI Acquisition was $91 million in cash excluding adjustments based on OPI’s working capital, debt and certain expenses incurred by OPI in connection with the consummation of the OPI Acquisition.</w:t>
      </w:r>
    </w:p>
    <w:p>
      <w:pPr>
        <w:spacing w:after="0" w:line="9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acquired OPI to further strengthen our position as a provider of finance and accounting outsourcing services. At the time of the OPI Acquisition, OPI had over 3,700 professionals globally and approximately 80 clients. By combining our existing finance and accounting outsourcing and transformation capabilities with OPI’s end-to-end finance and accounting outsourcing capabilities and proprietary platforms, we intend to provide a comprehensive set of finance and accounting services to our clients. The OPI Acquisition also furthers our strategic objective of leveraging technology and proprietary intellectual property in our services to our client offerings.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71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971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ExlService Holdings, Inc.</w:t>
      </w:r>
    </w:p>
    <w:p>
      <w:pPr>
        <w:spacing w:after="0" w:line="19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2,000,000 shares</w:t>
      </w:r>
    </w:p>
    <w:p>
      <w:pPr>
        <w:spacing w:after="0" w:line="205" w:lineRule="exact"/>
        <w:rPr>
          <w:sz w:val="20"/>
          <w:szCs w:val="20"/>
          <w:color w:val="auto"/>
        </w:rPr>
      </w:pPr>
    </w:p>
    <w:p>
      <w:pPr>
        <w:sectPr>
          <w:pgSz w:w="11900" w:h="16838" w:orient="portrait"/>
          <w:cols w:equalWidth="0" w:num="2">
            <w:col w:w="3740" w:space="66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31,151,039 shares</w:t>
      </w:r>
    </w:p>
    <w:p>
      <w:pPr>
        <w:spacing w:after="0" w:line="20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will not receive any proceeds from the sale of common stock by the selling stockholders.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40"/>
        <w:spacing w:after="0" w:line="332" w:lineRule="auto"/>
        <w:rPr>
          <w:sz w:val="20"/>
          <w:szCs w:val="20"/>
          <w:color w:val="auto"/>
        </w:rPr>
      </w:pPr>
      <w:r>
        <w:rPr>
          <w:rFonts w:ascii="Arial" w:cs="Arial" w:eastAsia="Arial" w:hAnsi="Arial"/>
          <w:sz w:val="16"/>
          <w:szCs w:val="16"/>
          <w:color w:val="auto"/>
        </w:rPr>
        <w:t>You should read the “Risk Factors” section of this prospectus supplement for a discussion of factors that you should consider carefully before deciding to invest in our common stock.</w:t>
      </w:r>
    </w:p>
    <w:p>
      <w:pPr>
        <w:spacing w:after="0" w:line="7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EXLS</w:t>
      </w:r>
    </w:p>
    <w:p>
      <w:pPr>
        <w:spacing w:after="0" w:line="11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firstLine="443"/>
        <w:spacing w:after="0" w:line="268" w:lineRule="auto"/>
        <w:rPr>
          <w:sz w:val="20"/>
          <w:szCs w:val="20"/>
          <w:color w:val="auto"/>
        </w:rPr>
      </w:pPr>
      <w:r>
        <w:rPr>
          <w:rFonts w:ascii="Arial" w:cs="Arial" w:eastAsia="Arial" w:hAnsi="Arial"/>
          <w:sz w:val="18"/>
          <w:szCs w:val="18"/>
          <w:color w:val="auto"/>
        </w:rPr>
        <w:t>Unless otherwise indicated, all information in this prospectus supplement relating to outstanding shares of our common stock is as of October 31, 2011 and excludes as of that date:</w:t>
      </w:r>
    </w:p>
    <w:p>
      <w:pPr>
        <w:spacing w:after="0" w:line="37" w:lineRule="exact"/>
        <w:rPr>
          <w:sz w:val="20"/>
          <w:szCs w:val="20"/>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323,397 shares of our common stock held in treasury;</w:t>
      </w:r>
    </w:p>
    <w:p>
      <w:pPr>
        <w:spacing w:after="0" w:line="103" w:lineRule="exact"/>
        <w:rPr>
          <w:rFonts w:ascii="Arial" w:cs="Arial" w:eastAsia="Arial" w:hAnsi="Arial"/>
          <w:sz w:val="18"/>
          <w:szCs w:val="18"/>
          <w:color w:val="auto"/>
        </w:rPr>
      </w:pPr>
    </w:p>
    <w:p>
      <w:pPr>
        <w:ind w:left="840" w:right="280" w:hanging="211"/>
        <w:spacing w:after="0" w:line="325"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3,034,403 shares of our common stock issuable upon the exercise of stock options outstanding with a weighted average exercise price of $13.00 and 1,014,061 restricted stock units (each of which represents the right to receive a share of our common stock upon vesting); and</w:t>
      </w:r>
    </w:p>
    <w:p>
      <w:pPr>
        <w:spacing w:after="0" w:line="1" w:lineRule="exact"/>
        <w:rPr>
          <w:rFonts w:ascii="Arial" w:cs="Arial" w:eastAsia="Arial" w:hAnsi="Arial"/>
          <w:sz w:val="16"/>
          <w:szCs w:val="16"/>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2,752,552 shares of our common stock available as of that date for future grant or issuance pursuant to our stock plans.</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risk. You should carefully consider the specific risks discussed in this prospectus supplement and the accompanying prospectus, together with all the other information contained or incorporated by reference in this prospectus supplement and the accompanying prospectus. You should also consider the risks, uncertainties and assumptions discussed under the heading “Item 1A. Risk Factors” included in our Annual Report on Form 10-K for the fiscal year ended December 31, 2010 and our Quarterly Reports on Form 10-Q for the quarters ended March 31, 2011, June 30, 2011 and September 30, 2011, incorporated by reference herein. These risk factors may be amended, supplemented or superseded from time to time by other reports we file with the Securities and Exchange Commission (the “SEC”)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this Offering and our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intend to pay dividends in the foreseeable future, and, because we are a holding company, we may be unable to pay dividends.</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 holding company, any dividend payments would depend on the cash flow of our subsidiaries. Accordingly, we may not be able to pay dividends even if our board of directors would otherwise deem it appropriate. For the foregoing reasons, you will not be able to rely on dividends to receive a return on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charter documents and Delaware law may delay or prevent our acquisition by a third party.</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amended and restated certificate of incorporation and by-laws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49"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relating to creating a board of directors that is divided into three classes with staggered terms;</w:t>
      </w:r>
    </w:p>
    <w:p>
      <w:pPr>
        <w:spacing w:after="0" w:line="103"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provisions relating to the number and election of directors, the appointment of directors upon an increase in the number of directors or vacancy and provisions permitting the removal of directors only for cause and with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w:t>
      </w:r>
    </w:p>
    <w:p>
      <w:pPr>
        <w:spacing w:after="0" w:line="37"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provisions requiring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certificate of incorporation and for the adoption, amendment and repeal of our by-laws;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barring stockholders from calling a special meeting of stockholders or requiring one to be called;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the right of our stockholders to act by written consent; and</w:t>
      </w:r>
    </w:p>
    <w:p>
      <w:pPr>
        <w:spacing w:after="0" w:line="103" w:lineRule="exact"/>
        <w:rPr>
          <w:rFonts w:ascii="Arial" w:cs="Arial" w:eastAsia="Arial" w:hAnsi="Arial"/>
          <w:sz w:val="18"/>
          <w:szCs w:val="18"/>
          <w:color w:val="auto"/>
        </w:rPr>
      </w:pPr>
    </w:p>
    <w:p>
      <w:pPr>
        <w:ind w:left="660" w:right="8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that set forth advance notice procedures for stockholders’ nominations of directors and proposals for consideration at meetings of stockholders.</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Additionally, because we are incorporated in Delaware, 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became an interested stockholder unless various conditions are satisfied. For more information, see “Description of Capital Stock” in the accompanying prospectus.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and you may lose all or part of your investment.</w:t>
      </w:r>
    </w:p>
    <w:p>
      <w:pPr>
        <w:spacing w:after="0" w:line="83" w:lineRule="exact"/>
        <w:rPr>
          <w:sz w:val="20"/>
          <w:szCs w:val="20"/>
          <w:color w:val="auto"/>
        </w:rPr>
      </w:pPr>
    </w:p>
    <w:p>
      <w:pPr>
        <w:jc w:val="both"/>
        <w:ind w:right="400" w:firstLine="456"/>
        <w:spacing w:after="0" w:line="347" w:lineRule="auto"/>
        <w:rPr>
          <w:sz w:val="20"/>
          <w:szCs w:val="20"/>
          <w:color w:val="auto"/>
        </w:rPr>
      </w:pPr>
      <w:r>
        <w:rPr>
          <w:rFonts w:ascii="Arial" w:cs="Arial" w:eastAsia="Arial" w:hAnsi="Arial"/>
          <w:sz w:val="15"/>
          <w:szCs w:val="15"/>
          <w:color w:val="auto"/>
        </w:rPr>
        <w:t>The market price of our common stock could fluctuate significantly, in which case you may not be able to resell your shares at or above your purchase price. The market price of our common stock may fluctuate based on a number of factors in addition to those listed in this prospectus supplement, including:</w:t>
      </w:r>
    </w:p>
    <w:p>
      <w:pPr>
        <w:spacing w:after="0" w:line="1"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our competitors and other similar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earnings estimates or recommendations by research analysts who track our common stock or the stocks of other companies in our industry;</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our publicly traded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our current stockholders, including this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arrival or departure of key personnel or personal matters affecting our principal stockholders;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1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addition, in recent years the stock market has experienced significant price and volume fluctuations. These fluctuations are often unrelated to the operating performance of particular companies. These broad market fluctuations may cause declines in the market price of our common stock. The price of our common stock could fluctuate based upon factors that have little or nothing to do with our company or its performance, and these fluctuations could materially reduce our stock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Sales of a substantial number of shares of our common stock, or the perception that a large number of shares will be sold, could cause the market price of our common stock to decline. As of October 31, 2011, we had 31,151,039 shares of our common stock outstanding. Of these, 8,597,497 shares will be restricted pursuant to Rule 144 under the Securities Act after giving effect to this offering. The holders of approximately 1,000,000 of these restricted shares of our common stock after giving effect to this offering have caused their shares to be registered under the registration statement of which this prospectus supplement and the accompanying prospectus are parts. In addition, the restricted shares may be sold under Rule 144 from time to time subject to the volume, manner of sale and other conditions of Rule 144. Although we and the selling stockholders, certain of our directors and our chief executive officer who beneficially own in the aggregate 8,642,912 shares of our common stock after giving effect to this offering have entered into 60-day underwriter lock-up agreements, the underwriter may waive the lock-up restrictions at its discretion.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receive any proceeds from the sale of common stock by the selling stockholders.</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“EXLS.” The following table sets forth the high and low sales prices per share of our common stock, as reported by the Nasdaq Global Select Market, for the periods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6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Third Quarter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14.99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6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Second Quarter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Fourth Quarter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22.05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6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24.75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Third Quarter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26.55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Fourth Quarter (through November 30, 2011)</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26.99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closing sale price of our common stock, as reported by the Nasdaq Global Select Market, on November 30, 2011 was $26.60. As of November 29, 2011, there were approximately 21 holders of record of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May 31, 2011, we completed the OPI Acquisition pursuant to a Merger Agreement, dated as of April 30, 2011 (the “Merger Agreement”), with F&amp;A BPO Merger Sub, Inc., a Delaware corporation and wholly owned subsidiary of EXL (“Merger Sub”), OPI and Shareholder Representative Services LLC, a Colorado limited liability company. Under the terms of the Merger Agreement, Merger Sub merged with and into OPI and OPI survived as a wholly owned subsidiary of EXL (the “Merger”).</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 million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unaudited pro forma condensed combined statement of income for the nine months ended September 30, 2011 illustrates the effect of the acquisition of OPI had it occurred on January 1, 2010, and was derived from the unaudited historical consolidated statement of income of OPI for the five months ended</w:t>
      </w:r>
    </w:p>
    <w:p>
      <w:pPr>
        <w:ind w:right="260"/>
        <w:spacing w:after="0" w:line="261" w:lineRule="auto"/>
        <w:rPr>
          <w:sz w:val="20"/>
          <w:szCs w:val="20"/>
          <w:color w:val="auto"/>
        </w:rPr>
      </w:pPr>
      <w:r>
        <w:rPr>
          <w:rFonts w:ascii="Arial" w:cs="Arial" w:eastAsia="Arial" w:hAnsi="Arial"/>
          <w:sz w:val="18"/>
          <w:szCs w:val="18"/>
          <w:color w:val="auto"/>
        </w:rPr>
        <w:t>May 31, 2011, combined with the Company’s unaudited consolidated statement of income for the nine months ended September 30, 2011, with merger-related adjustments reflected in the period presented.</w:t>
      </w:r>
    </w:p>
    <w:p>
      <w:pPr>
        <w:spacing w:after="0" w:line="12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preliminary allocation of the purchase price for the acquisition of OPI used in the unaudited pro forma information set forth below is based upon preliminary estimates and assumptions. These preliminary estimates and assumptions are subject to change during the measurement period (up to one year from the acquisition date) as the Company finalizes the valuations of certain tangible and intangible assets acquired and liabilities assumed in connection with its acquisition of OPI.</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unaudited pro forma condensed combined financial statements, including the notes thereto, do not reflect any potential cost savings or other synergies that could result from the combined operations of the Company and OPI. The unaudited pro forma condensed combined financial statements are presented for illustrative purposes only and are not necessarily indicative of the combined financial position or results of operations for future periods or the results that would have been achieved if the Merger had been consummated on the date indicated.</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unaudited pro forma condensed combined financial information should be read in conjunction with the historical consolidated financial statements and notes thereto of the Company and other financial information pertaining to the Company contained in its Annual Report on Form 10-K for the fiscal year ended December 31, 2010, which was filed with the SEC on March 16, 2011, and its Quarterly Report on Form 10-Q for the quarter ended September 30, 2011, which was filed with the SEC on November 8, 2011, as well as OPI historical financial statements for the year ended December 31, 2010 and the quarters ended March 31, 2011 and 2010, included as Exhibit 99.2 in the Company’s Current Report on Form 8-K/A, which was filed with the SEC on August 1,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Pro Forma</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7"/>
              </w:rPr>
              <w:t>Notes</w:t>
            </w:r>
            <w:r>
              <w:rPr>
                <w:rFonts w:ascii="Arial" w:cs="Arial" w:eastAsia="Arial" w:hAnsi="Arial"/>
                <w:sz w:val="22"/>
                <w:szCs w:val="22"/>
                <w:b w:val="1"/>
                <w:bCs w:val="1"/>
                <w:color w:val="auto"/>
                <w:w w:val="77"/>
                <w:vertAlign w:val="superscript"/>
              </w:rPr>
              <w:t>(1)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ind w:left="200"/>
              <w:spacing w:after="0"/>
              <w:rPr>
                <w:sz w:val="20"/>
                <w:szCs w:val="20"/>
                <w:color w:val="auto"/>
              </w:rPr>
            </w:pPr>
            <w:r>
              <w:rPr>
                <w:rFonts w:ascii="Arial" w:cs="Arial" w:eastAsia="Arial" w:hAnsi="Arial"/>
                <w:sz w:val="14"/>
                <w:szCs w:val="14"/>
                <w:b w:val="1"/>
                <w:bCs w:val="1"/>
                <w:color w:val="auto"/>
              </w:rPr>
              <w:t>EXL</w:t>
            </w:r>
          </w:p>
        </w:tc>
        <w:tc>
          <w:tcPr>
            <w:tcW w:w="100" w:type="dxa"/>
            <w:vAlign w:val="bottom"/>
          </w:tcPr>
          <w:p>
            <w:pPr>
              <w:spacing w:after="0"/>
              <w:rPr>
                <w:sz w:val="23"/>
                <w:szCs w:val="23"/>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rPr>
              <w:t>OPI</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460" w:type="dxa"/>
            <w:vAlign w:val="bottom"/>
            <w:vMerge w:val="continue"/>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36,781</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157,971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26,392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184,412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10,389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36,115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(3,041)</w:t>
            </w:r>
          </w:p>
        </w:tc>
        <w:tc>
          <w:tcPr>
            <w:tcW w:w="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16,405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(1,661)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1,344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(b)(c)</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8,639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0.84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Weighted-average number of shares used in computing earnings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29,926,846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29,926,846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31,131,513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31,131,513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-1060450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-1060450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-1060450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-1060450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-1060450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-1060450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-1060450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-1060450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-1060450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-1060450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-1060450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-1060450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-1060450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-1060450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 to note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unaudited pro forma condensed combined financial statements included herein have been prepared by the Company, without audit, pursuant to the rules and regulations of the Securities and Exchange Commission.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unaudited pro forma combined condensed statement of income for the nine months ended September 30, 2011 is based on the historical financial statements of the Company for the nine months ended September 30, 2011 and the historical financial statements of OPI for the five months ended May 31, 2011, after giving effect to the acquisition adjustments. The unaudited pro forma condensed combined statement of income is presented as if the acquisition of OPI had occurred on January 1, 2010 with merger-related adjustments reflected in the period presented.</w:t>
      </w:r>
    </w:p>
    <w:p>
      <w:pPr>
        <w:spacing w:after="0" w:line="9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accounts for business combinations pursuant to Financial Accounting Standards Board (“FASB”) Accounting Standards Codification (“ASC”) 805, Business Combinations. In accordance with ASC 805, the Company recognizes separately from goodwill, the identifiable assets acquired and the liabilities assumed, generally at the acquisition date fair value as defined by ASC 820, Fair Value Measurements and Disclosures. Goodwill as of the acquisition date is measured as the excess of consideration transferred, which is also generally measured at fair value, and the net of the acquisition date amounts of the identifiable assets acquired and the liabilities assumed. These allocations reflect various preliminary estimates and analyses, including preliminary work performed by third party valuation specialists, and are subject to change during the purchase price allocation period (generally one year from the acquisition date) as valuations are finalized.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OPI ACQUISITION</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May 31, 2011, EXL completed its acquisition of OPI, pursuant to the Merger Agreement, dated as of April 30, 2011, with Merger Sub, OPI and Shareholder Representative Services LLC, a Colorado limited liability company. Under the terms of the Merger Agreement, Merger Sub merged with and into OPI and OPI survived as a wholly owned subsidiary of EXL (the “Merger”).</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The total estimated purchase price of the acquisition is as follows: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7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OPI debt as of the acquisition date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Add: Estimated working capital baseline and other adjustments as of the acquisition date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4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purchase price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100,923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Pursuant to the Company’s business combinations accounting policy, the total preliminary purchase price for OPI was allocated to the preliminary net tangible and intangible assets based upon their preliminary fair values as set forth below. The excess of the preliminary purchase price over the preliminary net tangible assets and preliminary intangible assets was recorded as goodwill. The Company acquired OPI to strengthen its position as a provider of finance and accounting services. The Company’s finance and accounting outsourcing and transformation capabilities complement OPI’s end-to-end finance and accounting outsourcing capabilities and proprietary platforms. The Merger also furthers the Company’s strategic objective of leveraging technology and proprietary intellectual property in its service offerings.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These factors contributed to a purchase price in excess of the fair value of the OPI net tangible and intangible assets acquired, and as a result, the Company has recorded goodwill in connection with this transaction.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0" w:type="dxa"/>
            <w:vAlign w:val="bottom"/>
            <w:gridSpan w:val="2"/>
          </w:tcPr>
          <w:p>
            <w:pPr>
              <w:ind w:left="460"/>
              <w:spacing w:after="0"/>
              <w:rPr>
                <w:sz w:val="20"/>
                <w:szCs w:val="20"/>
                <w:color w:val="auto"/>
              </w:rPr>
            </w:pPr>
            <w:r>
              <w:rPr>
                <w:rFonts w:ascii="Arial" w:cs="Arial" w:eastAsia="Arial" w:hAnsi="Arial"/>
                <w:sz w:val="18"/>
                <w:szCs w:val="18"/>
                <w:color w:val="auto"/>
              </w:rPr>
              <w:t>The Company’s preliminary purchase price allocation for OPI is as follows: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8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1"/>
              </w:rPr>
              <w:t>Adjustment to recognize assets and liabilities at fair value, except deferred income taxes which are recognized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in accordance with ASC 740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Favorable lease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Trade name and trademarks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8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100,923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60" w:type="dxa"/>
            <w:vAlign w:val="bottom"/>
            <w:tcBorders>
              <w:bottom w:val="single" w:sz="8" w:color="808080"/>
            </w:tcBorders>
          </w:tcPr>
          <w:p>
            <w:pPr>
              <w:spacing w:after="0"/>
              <w:rPr>
                <w:sz w:val="18"/>
                <w:szCs w:val="18"/>
                <w:color w:val="auto"/>
              </w:rPr>
            </w:pPr>
          </w:p>
        </w:tc>
        <w:tc>
          <w:tcPr>
            <w:tcW w:w="8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-172720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$14,000 deposited in an escrow account in connection with the acquisition.</w:t>
      </w:r>
    </w:p>
    <w:p>
      <w:pPr>
        <w:spacing w:after="0" w:line="158"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preliminary purchase price allocation is based on preliminary estimates and assumptions, and is subject to change during the purchase price measurement period as the Company finalizes the valuations of the tangible and 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 FORMA ADJUSTMENTS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unaudited pro forma condensed combined statement of income gives effect to the following pro forma adjustments:</w:t>
      </w:r>
    </w:p>
    <w:p>
      <w:pPr>
        <w:spacing w:after="0" w:line="7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Adjustments to:</w:t>
      </w:r>
    </w:p>
    <w:p>
      <w:pPr>
        <w:spacing w:after="0" w:line="76"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increase stock-based compensation expense as a result of the Company granting restricted stock to former OPI employees on their hire date, May 31, 2011;</w:t>
      </w:r>
    </w:p>
    <w:p>
      <w:pPr>
        <w:spacing w:after="0" w:line="37" w:lineRule="exact"/>
        <w:rPr>
          <w:rFonts w:ascii="Arial" w:cs="Arial" w:eastAsia="Arial" w:hAnsi="Arial"/>
          <w:sz w:val="18"/>
          <w:szCs w:val="18"/>
          <w:color w:val="auto"/>
        </w:rPr>
      </w:pPr>
    </w:p>
    <w:p>
      <w:pPr>
        <w:ind w:left="1460" w:right="540" w:hanging="547"/>
        <w:spacing w:after="0" w:line="268"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amortize identifiable intangible assets recognized from the acquisition of OPI. The pro forma adjustment assumes that the identifiable intangibles will be amortized on a straight-line basis over their estimated lives; and</w:t>
      </w:r>
    </w:p>
    <w:p>
      <w:pPr>
        <w:spacing w:after="0" w:line="37" w:lineRule="exact"/>
        <w:rPr>
          <w:rFonts w:ascii="Arial" w:cs="Arial" w:eastAsia="Arial" w:hAnsi="Arial"/>
          <w:sz w:val="18"/>
          <w:szCs w:val="18"/>
          <w:color w:val="auto"/>
        </w:rPr>
      </w:pPr>
    </w:p>
    <w:p>
      <w:pPr>
        <w:ind w:left="1460" w:hanging="547"/>
        <w:spacing w:after="0" w:line="332"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reflect merger-related transaction costs including advisory and legal fees incurred for the five months ended May 31, 2011, which are directly attributable to the Merger, but which are not expected to have a continuing impact on the combined entity’s results.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summary of the adjustments specified above: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w w:val="86"/>
              </w:rPr>
              <w:t>Pro Forma Expense Adjustments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9"/>
          </w:tcPr>
          <w:p>
            <w:pPr>
              <w:ind w:left="460"/>
              <w:spacing w:after="0"/>
              <w:rPr>
                <w:sz w:val="20"/>
                <w:szCs w:val="20"/>
                <w:color w:val="auto"/>
              </w:rPr>
            </w:pPr>
            <w:r>
              <w:rPr>
                <w:rFonts w:ascii="Arial" w:cs="Arial" w:eastAsia="Arial" w:hAnsi="Arial"/>
                <w:sz w:val="14"/>
                <w:szCs w:val="14"/>
                <w:b w:val="1"/>
                <w:bCs w:val="1"/>
                <w:color w:val="auto"/>
              </w:rPr>
              <w:t>For the Five Months Ended May 31, 2011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Stock-based</w:t>
            </w:r>
          </w:p>
        </w:tc>
        <w:tc>
          <w:tcPr>
            <w:tcW w:w="6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Amortization of</w:t>
            </w:r>
          </w:p>
        </w:tc>
        <w:tc>
          <w:tcPr>
            <w:tcW w:w="100" w:type="dxa"/>
            <w:vAlign w:val="bottom"/>
          </w:tcPr>
          <w:p>
            <w:pPr>
              <w:spacing w:after="0"/>
              <w:rPr>
                <w:sz w:val="20"/>
                <w:szCs w:val="20"/>
                <w:color w:val="auto"/>
              </w:rPr>
            </w:pPr>
          </w:p>
        </w:tc>
        <w:tc>
          <w:tcPr>
            <w:tcW w:w="12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9"/>
              </w:rPr>
              <w:t>Merger-</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2"/>
              </w:rPr>
              <w:t>compensation</w:t>
            </w:r>
          </w:p>
        </w:tc>
        <w:tc>
          <w:tcPr>
            <w:tcW w:w="62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intangible assets</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related costs</w:t>
            </w:r>
          </w:p>
        </w:tc>
        <w:tc>
          <w:tcPr>
            <w:tcW w:w="80" w:type="dxa"/>
            <w:vAlign w:val="bottom"/>
          </w:tcPr>
          <w:p>
            <w:pPr>
              <w:spacing w:after="0"/>
              <w:rPr>
                <w:sz w:val="15"/>
                <w:szCs w:val="15"/>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(3,090)</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(1,612)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32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to record a reduction in estimated interest income earned of $140 for the five months ended May 31, 2011 at an assumed rate of approximately 0.55% on cash and cash equivalents as a result of the cash payments associated with the Company’s acquisition of OPI.</w:t>
      </w:r>
    </w:p>
    <w:p>
      <w:pPr>
        <w:spacing w:after="0" w:line="1" w:lineRule="exact"/>
        <w:rPr>
          <w:rFonts w:ascii="Arial" w:cs="Arial" w:eastAsia="Arial" w:hAnsi="Arial"/>
          <w:sz w:val="16"/>
          <w:szCs w:val="16"/>
          <w:color w:val="auto"/>
        </w:rPr>
      </w:pPr>
    </w:p>
    <w:p>
      <w:pPr>
        <w:jc w:val="both"/>
        <w:ind w:left="460" w:right="1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to record an increase in estimated interest expense of $135 for the five months ended May 31, 2011 as a result of the short-term borrowings by the Company of $30,000 under the Company’s revolver credit facility in connection with the acquisition. The estimate is based on the assumption that the short-term borrowings are being repaid within a year.</w:t>
      </w:r>
    </w:p>
    <w:p>
      <w:pPr>
        <w:spacing w:after="0" w:line="45"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represents changes to income tax expense as a result of the consummation of this transaction. Had the Company acquired OPI on January 1, 2011, the income-tax expense for the five months ended May 31, 2011 would have increased by approximately $1,036. The increase in income tax expense is primarily due to deferred tax expense on utilization of net operating loss in the period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for each selling stockholder:</w:t>
      </w:r>
    </w:p>
    <w:p>
      <w:pPr>
        <w:spacing w:after="0" w:line="77"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selling stockholder’s name;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percentage of shares of common stock owned by the selling stockholder prior to the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to be offered for the selling stockholder’s account;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percentage of shares of common stock to be owned by the selling stockholder after completion of the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Owned Immediately</w:t>
            </w:r>
          </w:p>
        </w:tc>
        <w:tc>
          <w:tcPr>
            <w:tcW w:w="0" w:type="dxa"/>
            <w:vAlign w:val="bottom"/>
          </w:tcPr>
          <w:p>
            <w:pPr>
              <w:spacing w:after="0"/>
              <w:rPr>
                <w:sz w:val="1"/>
                <w:szCs w:val="1"/>
                <w:color w:val="auto"/>
              </w:rPr>
            </w:pPr>
          </w:p>
        </w:tc>
      </w:tr>
      <w:tr>
        <w:trPr>
          <w:trHeight w:val="174"/>
        </w:trPr>
        <w:tc>
          <w:tcPr>
            <w:tcW w:w="7080" w:type="dxa"/>
            <w:vAlign w:val="bottom"/>
          </w:tcPr>
          <w:p>
            <w:pPr>
              <w:spacing w:after="0"/>
              <w:rPr>
                <w:sz w:val="15"/>
                <w:szCs w:val="15"/>
                <w:color w:val="auto"/>
              </w:rPr>
            </w:pPr>
          </w:p>
        </w:tc>
        <w:tc>
          <w:tcPr>
            <w:tcW w:w="1060" w:type="dxa"/>
            <w:vAlign w:val="bottom"/>
            <w:gridSpan w:val="2"/>
          </w:tcPr>
          <w:p>
            <w:pPr>
              <w:jc w:val="center"/>
              <w:ind w:left="246"/>
              <w:spacing w:after="0"/>
              <w:rPr>
                <w:sz w:val="20"/>
                <w:szCs w:val="20"/>
                <w:color w:val="auto"/>
              </w:rPr>
            </w:pPr>
            <w:r>
              <w:rPr>
                <w:rFonts w:ascii="Arial" w:cs="Arial" w:eastAsia="Arial" w:hAnsi="Arial"/>
                <w:sz w:val="14"/>
                <w:szCs w:val="14"/>
                <w:b w:val="1"/>
                <w:bCs w:val="1"/>
                <w:color w:val="auto"/>
                <w:w w:val="92"/>
              </w:rPr>
              <w:t>Offering(1)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1"/>
              </w:rPr>
              <w:t>Shares</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After the Closing</w:t>
            </w:r>
          </w:p>
        </w:tc>
        <w:tc>
          <w:tcPr>
            <w:tcW w:w="0" w:type="dxa"/>
            <w:vAlign w:val="bottom"/>
          </w:tcPr>
          <w:p>
            <w:pPr>
              <w:spacing w:after="0"/>
              <w:rPr>
                <w:sz w:val="1"/>
                <w:szCs w:val="1"/>
                <w:color w:val="auto"/>
              </w:rPr>
            </w:pPr>
          </w:p>
        </w:tc>
      </w:tr>
      <w:tr>
        <w:trPr>
          <w:trHeight w:val="55"/>
        </w:trPr>
        <w:tc>
          <w:tcPr>
            <w:tcW w:w="7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080" w:type="dxa"/>
            <w:vAlign w:val="bottom"/>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Offered</w:t>
            </w:r>
          </w:p>
        </w:tc>
        <w:tc>
          <w:tcPr>
            <w:tcW w:w="7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7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0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Hereby</w:t>
            </w:r>
          </w:p>
        </w:tc>
        <w:tc>
          <w:tcPr>
            <w:tcW w:w="760" w:type="dxa"/>
            <w:vAlign w:val="bottom"/>
          </w:tcPr>
          <w:p>
            <w:pPr>
              <w:jc w:val="right"/>
              <w:ind w:right="106"/>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7,353,942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23.6</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5,403,942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Oak Hill Capital Management Partners, L.P.(2)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188,562</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50,000</w:t>
            </w:r>
          </w:p>
        </w:tc>
        <w:tc>
          <w:tcPr>
            <w:tcW w:w="760" w:type="dxa"/>
            <w:vAlign w:val="bottom"/>
          </w:tcPr>
          <w:p>
            <w:pPr>
              <w:jc w:val="right"/>
              <w:spacing w:after="0"/>
              <w:rPr>
                <w:sz w:val="20"/>
                <w:szCs w:val="20"/>
                <w:color w:val="auto"/>
              </w:rPr>
            </w:pPr>
            <w:r>
              <w:rPr>
                <w:rFonts w:ascii="Arial" w:cs="Arial" w:eastAsia="Arial" w:hAnsi="Arial"/>
                <w:sz w:val="18"/>
                <w:szCs w:val="18"/>
                <w:color w:val="auto"/>
              </w:rPr>
              <w:t>138,562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pursuant to Rule 13(d)-l as of October 31, 2011, at which date there were 31,151,039 shares of common stock outstanding.</w:t>
      </w:r>
    </w:p>
    <w:p>
      <w:pPr>
        <w:spacing w:after="0" w:line="76"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1018,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are made by an investment committee of OHCP MGP, LLC. The members of such committee are J. Taylor Crandall, Jonathan E. Friesel, Michael S. Green, Steven B. Gruber, Stratton R. Heath III, Robert L. Morse Jr. and Dennis J. Nayden. Each of these individuals disclaims beneficial ownership of the shares owned by the Oak Hill Partnerships.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B. Gruber, our Lead Director, is a Managing Partner of Oak Hill Capital Management, LLC, the investment advisor to Oak Hill Capital Partners, L.P., and Edward V. Dardani, one of our directors, is a partner of Oak Hill Capital Management,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UNITED STATES FEDERAL INCOME TAX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CONSEQUENCES FOR NON-U.S. HOLDERS</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is a discussion of the material U.S. federal income tax consequences of the acquisition, ownership and disposition of our common stock by Non-U.S. Holders (as defined below) that acquire our common stock pursuant to this offering and that hold such shares as capital assets (generally, for investment). This discussion is not a complete analysis or listing of all of the possible tax consequences of such transactions and does not address all tax considerations that might be relevant to particular holders in light of their personal circumstances or to persons that are subject to special tax rules. In addition, this description of the material U.S. federal income tax consequences does not address the tax treatment of special classes of Non-U.S. Holders, such as:</w:t>
      </w:r>
    </w:p>
    <w:p>
      <w:pPr>
        <w:spacing w:after="0" w:line="2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the shares as part of a hedging, integrated or conversion transaction, constructive sale or “straddle;”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who acquired common stock through the exercise or cancellation of employee stock options or otherwise as compensation for their services;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subject to the alternative minimum tax;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summary does not address estate and gift tax consequences (except to the extent specifically provided herein) or tax consequences under any state, local or foreign laws.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section, you are a “U.S. Holder” if you are: (1) an individual citizen of the United States or a resident alien of the United States as determined for U.S. federal income tax purposes; (2) a corporation (or other entity treated as a corporation for U.S. federal income tax purposes) created or organized under the laws of the United States or any state thereof or the District of Columbia; (3) an estate, the income of which is subject to U.S. federal income taxation regardless of its source; or (4) a trust (A) if a court within the United States is able to exercise primary jurisdiction over its administration and one or more U.S. persons have authority to control all substantial decisions of the trust or (B) that has a valid election in effect under applicable U.S. Department of Treasury (“Treasury”) regulations to be treated as a U.S. person.</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term “Non-U.S. Holder” means any Holder of our common stock that is neither a U.S. Holder nor a partnership (including for this purpose any entity that is treated as a partnership for U.S. federal income tax purposes).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 partnership or other pass-through entity is a beneficial owner of our common stock, the tax treatment of a partner or other owner will generally depend upon the status of the partner (or other owner) and the activities of the entity. If you are a partner (or other owner) of a pass-through entity that acquires our common stock, you should consult your tax advisor regarding the tax consequences of acquiring, owning and disposing of our common stock.</w:t>
      </w:r>
    </w:p>
    <w:p>
      <w:pPr>
        <w:spacing w:after="0" w:line="9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following discussion is based upon the Internal Revenue Code of 1986, as amended (the “Code”), U.S. judicial decisions, administrative pronouncements and existing and proposed Treasury regulations, all as in effect as of the date hereof. All of the preceding authorities are subject to change, possibly with retroactive effect,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which may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discussion is for general information only and is not intended to be, nor should it be construed to be, legal or tax advice to any holder or prospective holder of our common stock and no opinion or representation with respect to the U.S. federal income tax consequences to any such holder or prospective holder is made. Prospective purchasers are urged to consult their tax advisors as to the particular consequences to them under U.S. federal, state and local, and applicable foreign tax laws of the acquisition, ownership and disposition of our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We do not presently anticipate paying dividends on shares of our common stock in the foreseeable future. For more information, please see “Risk Factors—Risks Related to this Offering and our Common Stock” above. Subject to the discussion of U.S. trade or business income below, distributions of cash and property that constitute dividends for U.S. federal income tax purposes generally will be subject to U.S. federal withholding at a thirty percent (30%) rate unless a reduced rate is prescribed by an applicable income tax treaty.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on the entire distribution, in which case you would be entitled to a refund from the IRS for the withholding tax on the portion of the distribution that exceeded our current and accumulated earnings and profits.</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discussion of FATCA below, in order to obtain a reduced rate of U.S. federal withholding tax under an applicable income tax treaty, you will be required to provide a properly executed IRS Form W-8BEN (or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income tax treaty.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Subject to the discussion below concerning backup withholding and FATCA, you generally will not be subject to U.S. federal income or withholding tax in respect of any gain on a sale, exchange or other disposition of our common stock unless:</w:t>
      </w:r>
    </w:p>
    <w:p>
      <w:pPr>
        <w:spacing w:after="0" w:line="37"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gain is U.S. trade or business income, in which case, such gain will be taxed as described in “U.S. Trade or Business Income,” below;</w:t>
      </w:r>
    </w:p>
    <w:p>
      <w:pPr>
        <w:spacing w:after="0" w:line="126" w:lineRule="exact"/>
        <w:rPr>
          <w:rFonts w:ascii="Arial" w:cs="Arial" w:eastAsia="Arial" w:hAnsi="Arial"/>
          <w:sz w:val="16"/>
          <w:szCs w:val="16"/>
          <w:color w:val="auto"/>
        </w:rPr>
      </w:pPr>
    </w:p>
    <w:p>
      <w:pPr>
        <w:ind w:left="660" w:right="60" w:hanging="206"/>
        <w:spacing w:after="0" w:line="30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tax treaty) on the amount by which certain capital gains allocable to U.S. sources exceed certain capital losses allocable to U.S. sources; or</w:t>
      </w:r>
    </w:p>
    <w:p>
      <w:pPr>
        <w:spacing w:after="0" w:line="12" w:lineRule="exact"/>
        <w:rPr>
          <w:rFonts w:ascii="Arial" w:cs="Arial" w:eastAsia="Arial" w:hAnsi="Arial"/>
          <w:sz w:val="16"/>
          <w:szCs w:val="16"/>
          <w:color w:val="auto"/>
        </w:rPr>
      </w:pPr>
    </w:p>
    <w:p>
      <w:pPr>
        <w:ind w:left="660" w:right="120" w:hanging="206"/>
        <w:spacing w:after="0" w:line="30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(a “USRPHC”)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in the same manner as U.S. trade or business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we are determined to be a USRPHC, gain will not be subject to tax as U.S. trade or business income if your holdings (direct and indirect) at all times during the applicable period constituted 5% or less of our common stock, provided that our common stock was regularly traded on an established securities market during such period. We believe that we are not currently, and we do not anticipate becoming in the future, a “U.S. real property holding corporation” for U.S. federal income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Trade or Business Income</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purposes of this discussion, dividend income and gain on the sale, exchange or other taxable disposition of our common stock will be considered to be “U.S. trade or business income” if (A) such income or gain is (i) effectively connected with your conduct of a trade or business within the United States and (ii) if you are eligible for the benefits of an income tax treaty with the United States, attributable to a permanent establishment (or, if you are an individual, a fixed base) that you maintain in the United States or (B) we are or have been a USRPHC at any time during the shorter of the five-year period ending on the date of the disposition of your interest and your holding period for the common stock (subject to the exception set forth above in the second paragraph of “Sale, Exchange or Other Taxable Disposition of Common Stock”).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are an individual Non-U.S. Holder who is treated as the owner of or has made certain lifetime transfers of an interest in our common stock, you will be required to include the value thereof in your gross estate for U.S. federal estate tax purposes, and you may be subject to U.S. federal estate tax unless an applicable estate tax treaty provides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successor form) or otherwise establish an exemption and we do not have actual knowledge or reason to know that you are a U.S. person or that the conditions of such other exemption are not, in fact, satisfied.</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Treasury regulations require information reporting (but not backup withholding) on the payment unless the broker has documentary evidence in its files that the owner is a Non-U.S. Holder and the broker has no knowledge to the contrary. You are urged to consult your tax advisor on the application of information reporting and backup withholding in light of your particular circumstances.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Code provisions commonly referred to as “FATCA,” certain Non-U.S. Holders, including foreign financial institutions (which include most hedge funds, private equity funds, mutual funds, securitization vehicles and any other investment vehicles regardless of their size) must comply with certain information reporting rules including, in the case of foreign financial institutions, with respect to their U.S. account holders and investors or be subject to a 30% withholding tax with respect to certain “withholdable payments.” For this purpose, withholdable payments are U.S.-source payments otherwise subject to nonresident withholding tax and also include the entire gross proceeds from the sale of any equity or debt instruments of U.S. issuers. The new FATCA withholding tax will apply even if the payment would otherwise not be subject to U.S. nonresident withholding tax (e.g., because it is capital gain treated as foreign source income under the Code). 2011 IRS guidance provides that regulations implementing this legislation will defer this withholding obligation until January 1, 2014 for payments of dividends on U.S. common stock and until January 1, 2015 for gross proceeds from dispositions of U.S. common stock. Treasury is authorized to provide rules for implementing the FATCA withholding regime and coordinating the FATCA withholding regime with the existing nonresident withholding tax rules.</w:t>
      </w:r>
    </w:p>
    <w:p>
      <w:pPr>
        <w:spacing w:after="0" w:line="10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FATCA withholding will not apply to withholdable payments made directly to foreign individuals or governments, international organizations, and foreign central banks of issue, and Treasury is authorized to provide additional exceptions.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Non-U.S. Holders are urged to consult with their own tax advisors regarding the effect, if any, of the FATCA provisions to them based on their particular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 on Investment Income</w:t>
      </w:r>
    </w:p>
    <w:p>
      <w:pPr>
        <w:spacing w:after="0" w:line="8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For taxable years beginning after December 31, 2012, certain persons, including certain individuals, estates and trusts that do not qualify as “nonresident aliens” within the meaning of Section 1411 of the Code, will be required to pay a 3.8% Medicare surtax on “net investment income” including, among other things, dividends and net gain from disposition of property (other than property held in a trade or business). The term “nonresident alien” is not defined in Section 1411 or elsewhere in the Code, and it is unclear whether the term refers only to nonresident alien individuals or whether the term also includes foreign estates and trusts. Accordingly, Non-U.S. Holders are urged to consult with their own tax advisors regarding the effect, if any, of the Health Care and Education Reconciliation Act of 2010 on their ownership and disposition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Citigroup Global Markets Inc. (“Citigroup”) is acting as underwriter of the offering. Subject to the terms and conditions stated in the underwriting agreement dated as of the date of this prospectus supplement, Citigroup has agreed to purchase, and the selling stockholders have agreed to sell to it, 2,000,000 shares of common stock.</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 to purchase the shares included in this offering are subject to approval of legal matters by counsel and to other conditions. The underwriter is obligated to purchase all the shares if it purchases any of the shares.</w:t>
      </w:r>
    </w:p>
    <w:p>
      <w:pPr>
        <w:spacing w:after="0" w:line="7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underwriter proposes to offer the shares of common stock offered hereby 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subject to receipt and acceptance by the underwriter and its right to reject any order in whole or in part. The underwriter may effect such transactions by selling the common stock to or through dealers and such dealers may receive compensation in the form of discounts, concessions or commissions from the underwriter and/or purchasers of shares of common stock for whom they may act as agents or to whom they may sell as principal. The difference between the price at which the underwriter purchases shares and the price at which the underwriter resells such shares, which may include a commission equivalent of up to $0.05 per share, may be deemed underwriting compensation.</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We, certain of our directors, our chief executive officer and the selling stockholders have agreed that for a period of 60 days from the date of this prospectus supplement, we and they will not, without the prior written consent of Citigroup, dispose of any shares or any securities convertible into or exchangeable for our common stock. The lock-up agreements are subject to certain exceptions, including, among others, (i) sales of shares of our common stock disposed of pursuant to written trading plans meeting the requirements of Rule 10b5-1 under the Exchange Act, and (ii) distributions of shares of common stock or any security convertible into common stock to limited partners, members or stockholders of the person signing the agreement or to its affiliates or to any investment fund or other entity controlled or managed by it; </w:t>
      </w:r>
      <w:r>
        <w:rPr>
          <w:rFonts w:ascii="Arial" w:cs="Arial" w:eastAsia="Arial" w:hAnsi="Arial"/>
          <w:sz w:val="16"/>
          <w:szCs w:val="16"/>
          <w:i w:val="1"/>
          <w:iCs w:val="1"/>
          <w:color w:val="auto"/>
        </w:rPr>
        <w:t>provided</w:t>
      </w:r>
      <w:r>
        <w:rPr>
          <w:rFonts w:ascii="Arial" w:cs="Arial" w:eastAsia="Arial" w:hAnsi="Arial"/>
          <w:sz w:val="16"/>
          <w:szCs w:val="16"/>
          <w:color w:val="auto"/>
        </w:rPr>
        <w:t>, that, in each case, each distributee shall sign and deliver a lock-up agreement. Notwithstanding the foregoing, we shall be permitted to prepare and file a registration statement with the SEC before the expiration of the lock-up period, but not prior to January 1, 2012, and any of the persons subject to the lock-up agreements may cause us to file such a registration statement and/or include their shares of common stock in such a registration statement; provided however, no offers or sales of common stock shall be permitted under such registration statement until the expiration of the lock-up period. Citigroup in its sole discretion may release any of the securities subject to these lock-up agreements at any time without notice.</w:t>
      </w:r>
    </w:p>
    <w:p>
      <w:pPr>
        <w:spacing w:after="0" w:line="114" w:lineRule="exact"/>
        <w:rPr>
          <w:sz w:val="20"/>
          <w:szCs w:val="20"/>
          <w:color w:val="auto"/>
        </w:rPr>
      </w:pPr>
    </w:p>
    <w:p>
      <w:pPr>
        <w:ind w:left="460" w:right="4940"/>
        <w:spacing w:after="0" w:line="475" w:lineRule="auto"/>
        <w:rPr>
          <w:sz w:val="20"/>
          <w:szCs w:val="20"/>
          <w:color w:val="auto"/>
        </w:rPr>
      </w:pPr>
      <w:r>
        <w:rPr>
          <w:rFonts w:ascii="Arial" w:cs="Arial" w:eastAsia="Arial" w:hAnsi="Arial"/>
          <w:sz w:val="16"/>
          <w:szCs w:val="16"/>
          <w:color w:val="auto"/>
        </w:rPr>
        <w:t>The shares are listed on the Nasdaq Global Select Market under the symbol “EXLS.” We estimate that our total expenses of this offering will be $200,000.</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the offering, the underwriter may purchase and sell shares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 of a greater number of shares than it is required to purchase in the offering.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Covering transactions involve purchases of shares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 for its own accounts, may have the effect of preventing or retarding a decline in the market price of the shares. They may also cause the price of the shares to be higher than the price that would otherwise exist in the open market in the absence of these transactions. The underwriter may conduct these transactions on the Nasdaq Global Select Market, in the over-the-counter market or otherwise. If the underwriter commences any of these transactions, it may discontinue them at any time.</w:t>
      </w:r>
    </w:p>
    <w:p>
      <w:pPr>
        <w:spacing w:after="0" w:line="9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underwriter is a full service financial institution engaged in various activities, which may include securities trading, commercial and investment banking, financial advisory, investment management, principal investment, hedging, financing and brokerage activities. The underwriter and its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Citigroup are lenders, and in some cases agents or managers for the lenders, under our revolving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supplement may not be made to the public in that relevant member state other than:</w:t>
      </w:r>
    </w:p>
    <w:p>
      <w:pPr>
        <w:spacing w:after="0" w:line="93"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us or the underwriter to publish a prospectus pursuant to Article 3 of the Prospectus Directive.</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sellers of the shares have not authorized and do not authorize the making of any offer of shares through any financial intermediary on their behalf, other than offers made by the underwriter with a view to the final placement of the shares as contemplated in this prospectus supplement. Accordingly, no purchaser of the shares, other than the underwriter, is authorized to make any further offer of the shares on behalf of the sellers or the underwriter.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are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18"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300" w:hanging="206"/>
        <w:spacing w:after="0" w:line="33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 offered in this prospectus supplement have not been registered under the Securities and Exchange Law of Japan. The shares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upon the validity of the common stock offered by this prospectus supplement and the accompanying prospectus for us. Shearman &amp; Sterling LLP, New York, New York, is representing the underwriter in connection with this offering. Paul, Weiss, Rifkind, Wharton &amp; Garrison LLP has represented the Oak Hill Partnerships from time to time and certain members of Paul, Weiss, Rifkind, Wharton &amp; Garrison LLP own an indirect interest in Oak Hill Capital Management Partners, L.P.</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consolidated financial statements of ExlService Holdings, Inc. appearing in ExlService Holdings Inc.’s Annual Report (Form 10-K) for the year ended December 31, 2010, and the effectiveness of ExlService Holdings, Inc.’s internal control over financial reporting as of December 31, 2010 have been audited by Ernst &amp; Young LLP, independent registered public accounting firm, as set forth in their reports thereon, included therein, and incorporated herein by reference.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Such consolidated financial statements and ExlService Holdings Inc. management’s assessment of the effectiveness of internal control over financial reporting as of December 31, 2010 are incorporated herein by reference in reliance upon such reports given on the authority of such firm as experts in accounting and auditing.</w:t>
      </w:r>
    </w:p>
    <w:p>
      <w:pPr>
        <w:spacing w:after="0" w:line="13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consolidated financial statements of Business Process Outsourcing, Inc. as of December 31, 2010 and 2009, and for each of the three years in the period ended December 31, 2010 have been audited by Ernst &amp; Young, an independent registered public accounting firm, as set forth in their report thereon and incorporated herein by reference, and are included in reliance upon such report given on the authority of such firm as experts in accounting and auditing.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http://www.exlservice.com. Our website is not a part of this prospectus supplement. You may also read and copy any document we file at the SEC’s public reference room, 100 F Street, N.E., Washington, D.C. 20549. Please call the SEC at 1-800-SEC-0330 for further information on the operation of the public reference room.</w:t>
      </w:r>
    </w:p>
    <w:p>
      <w:pPr>
        <w:spacing w:after="0" w:line="12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except for any information superseded by information that is included directly in this document or incorporated by reference subsequent to the date of this document. This prospectus supplement incorporates by reference the documents listed below (File No. 001-33089) and any future filings we make with the SEC under Sections 13(a), 13(c), 14 or 15(d) of the Securities Exchange Act of 1934, as amended (in each case, other than those documents or the portions of those documents not deemed to be filed) until all the securities offered under this prospectus supplement are sold:</w:t>
      </w:r>
    </w:p>
    <w:p>
      <w:pPr>
        <w:spacing w:after="0" w:line="26" w:lineRule="exact"/>
        <w:rPr>
          <w:sz w:val="20"/>
          <w:szCs w:val="20"/>
          <w:color w:val="auto"/>
        </w:rPr>
      </w:pPr>
    </w:p>
    <w:p>
      <w:pPr>
        <w:ind w:left="660" w:right="12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2010, including information specifically incorporated by reference into our Form 10-K from our definitive proxy statement for our 2011 Annual Meeting of Stockholders;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2011, June 30, 2011 and September 30, 2011;</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Reports on Form 8-K filed on May 2, 2011, June 2, 2011, June 6, 2011 (as amended on August 1, 2011), June 20, 2011, September 13, 2011 and September 19, 2011; and</w:t>
      </w:r>
    </w:p>
    <w:p>
      <w:pPr>
        <w:spacing w:after="0" w:line="37"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16, 2006, including any amendments or reports filed for the purpose of updating such description.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(212) 277-7109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909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$200,000,000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to be named in a prospectus supplement may offer, from time to time and in one or more offerings, up to 6,000,000 shares of our common stock.</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2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3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January 20, 2010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4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780" w:type="dxa"/>
            <w:vAlign w:val="bottom"/>
            <w:gridSpan w:val="17"/>
            <w:vMerge w:val="restart"/>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7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780" w:type="dxa"/>
            <w:vAlign w:val="bottom"/>
            <w:gridSpan w:val="17"/>
            <w:vMerge w:val="continue"/>
          </w:tcPr>
          <w:p>
            <w:pPr>
              <w:spacing w:after="0"/>
              <w:rPr>
                <w:sz w:val="14"/>
                <w:szCs w:val="14"/>
                <w:color w:val="auto"/>
              </w:rPr>
            </w:pPr>
          </w:p>
        </w:tc>
        <w:tc>
          <w:tcPr>
            <w:tcW w:w="726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The Company</w:t>
              </w:r>
            </w:hyperlink>
          </w:p>
        </w:tc>
        <w:tc>
          <w:tcPr>
            <w:tcW w:w="2180" w:type="dxa"/>
            <w:vAlign w:val="bottom"/>
            <w:gridSpan w:val="11"/>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1700" w:type="dxa"/>
            <w:vAlign w:val="bottom"/>
            <w:gridSpan w:val="6"/>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2880" w:type="dxa"/>
            <w:vAlign w:val="bottom"/>
            <w:gridSpan w:val="15"/>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 of Earnings to Fixed Charges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Selling Stockholders</w:t>
              </w:r>
            </w:hyperlink>
          </w:p>
        </w:tc>
        <w:tc>
          <w:tcPr>
            <w:tcW w:w="1300" w:type="dxa"/>
            <w:vAlign w:val="bottom"/>
            <w:gridSpan w:val="4"/>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Capital Stock</w:t>
              </w:r>
            </w:hyperlink>
          </w:p>
        </w:tc>
        <w:tc>
          <w:tcPr>
            <w:tcW w:w="1760" w:type="dxa"/>
            <w:vAlign w:val="bottom"/>
            <w:gridSpan w:val="7"/>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the Debt Securities</w:t>
              </w:r>
            </w:hyperlink>
          </w:p>
        </w:tc>
        <w:tc>
          <w:tcPr>
            <w:tcW w:w="1380" w:type="dxa"/>
            <w:vAlign w:val="bottom"/>
            <w:gridSpan w:val="5"/>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Depositary Shares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the Warrants</w:t>
              </w:r>
            </w:hyperlink>
          </w:p>
        </w:tc>
        <w:tc>
          <w:tcPr>
            <w:tcW w:w="1180" w:type="dxa"/>
            <w:vAlign w:val="bottom"/>
            <w:gridSpan w:val="3"/>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1840" w:type="dxa"/>
            <w:vAlign w:val="bottom"/>
            <w:gridSpan w:val="8"/>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Description of the Purchase Contracts</w:t>
              </w:r>
            </w:hyperlink>
          </w:p>
        </w:tc>
        <w:tc>
          <w:tcPr>
            <w:tcW w:w="1100" w:type="dxa"/>
            <w:vAlign w:val="bottom"/>
            <w:gridSpan w:val="2"/>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the Units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2080" w:type="dxa"/>
            <w:vAlign w:val="bottom"/>
            <w:gridSpan w:val="10"/>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2320" w:type="dxa"/>
            <w:vAlign w:val="bottom"/>
            <w:gridSpan w:val="12"/>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980" w:type="dxa"/>
            <w:vAlign w:val="bottom"/>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$200,000,000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6,000,000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is a leading provider of outsourcing and transformation services. Our outsourcing services include a full spectrum of business process outsourcing services from offshore delivery centers requiring ongoing process management skills. Transformation services enable continuous improvement of client processes by bringing together our capabilities in reengineering including decision analytics, risk and financial management and operations and process excellence services. Headquartered in New York, we primarily serves the needs of Global 1000 companies in the insurance, utilities, financial services and transportation and logistics sectors.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280 Park Avenue, New York, New York 10017,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 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 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 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2008,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Nine Months Ended</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2005(1)</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$1.7 million and were insufficient to cover fixed charges and preferred dividends by $1.9 million in the year ended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selling stockholders named in the table below may from time to time offer and sell pursuant to this prospectus and any applicable prospectus supplement up to 6,000,000 shares of our common stock. When we refer to “selling stockholders” in this prospectus, we mean those persons listed in the table below, as well as their transferees, pledgees or donees or their successors. The selling stockholders may sell all, a portion or none of their shares at any time. The information regarding shares beneficially owned after the offering assumes the sale of all shares offered by the selling stockholders. Except as otherwise indicated, each selling stockholder has sole voting and dispositive power with respect to such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Shares Beneficially</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5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5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Owned After the</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May be</w:t>
            </w: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60" w:type="dxa"/>
            <w:vAlign w:val="bottom"/>
            <w:gridSpan w:val="2"/>
            <w:vMerge w:val="restart"/>
          </w:tcPr>
          <w:p>
            <w:pPr>
              <w:jc w:val="center"/>
              <w:ind w:left="268"/>
              <w:spacing w:after="0"/>
              <w:rPr>
                <w:sz w:val="20"/>
                <w:szCs w:val="20"/>
                <w:color w:val="auto"/>
              </w:rPr>
            </w:pPr>
            <w:r>
              <w:rPr>
                <w:rFonts w:ascii="Arial" w:cs="Arial" w:eastAsia="Arial" w:hAnsi="Arial"/>
                <w:sz w:val="14"/>
                <w:szCs w:val="14"/>
                <w:b w:val="1"/>
                <w:bCs w:val="1"/>
                <w:color w:val="auto"/>
                <w:w w:val="89"/>
              </w:rPr>
              <w:t>Offering(1)</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60" w:type="dxa"/>
            <w:vAlign w:val="bottom"/>
            <w:gridSpan w:val="2"/>
            <w:vMerge w:val="restart"/>
          </w:tcPr>
          <w:p>
            <w:pPr>
              <w:jc w:val="center"/>
              <w:ind w:left="262"/>
              <w:spacing w:after="0"/>
              <w:rPr>
                <w:sz w:val="20"/>
                <w:szCs w:val="20"/>
                <w:color w:val="auto"/>
              </w:rPr>
            </w:pPr>
            <w:r>
              <w:rPr>
                <w:rFonts w:ascii="Arial" w:cs="Arial" w:eastAsia="Arial" w:hAnsi="Arial"/>
                <w:sz w:val="14"/>
                <w:szCs w:val="14"/>
                <w:b w:val="1"/>
                <w:bCs w:val="1"/>
                <w:color w:val="auto"/>
                <w:w w:val="91"/>
              </w:rPr>
              <w:t>Offering</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60" w:type="dxa"/>
            <w:vAlign w:val="bottom"/>
            <w:tcBorders>
              <w:bottom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Sold</w:t>
            </w:r>
          </w:p>
        </w:tc>
        <w:tc>
          <w:tcPr>
            <w:tcW w:w="1160" w:type="dxa"/>
            <w:vAlign w:val="bottom"/>
            <w:tcBorders>
              <w:bottom w:val="single" w:sz="8" w:color="auto"/>
            </w:tcBorders>
            <w:gridSpan w:val="2"/>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80" w:type="dxa"/>
            <w:vAlign w:val="bottom"/>
            <w:vMerge w:val="restart"/>
          </w:tcPr>
          <w:p>
            <w:pPr>
              <w:spacing w:after="0"/>
              <w:rPr>
                <w:sz w:val="5"/>
                <w:szCs w:val="5"/>
                <w:color w:val="auto"/>
              </w:rPr>
            </w:pPr>
          </w:p>
        </w:tc>
        <w:tc>
          <w:tcPr>
            <w:tcW w:w="2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Hereunder</w:t>
            </w:r>
          </w:p>
        </w:tc>
        <w:tc>
          <w:tcPr>
            <w:tcW w:w="11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Oak Hill Capital Partners, L.P.(2)</w:t>
            </w:r>
          </w:p>
        </w:tc>
        <w:tc>
          <w:tcPr>
            <w:tcW w:w="2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10,278,942</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35.3</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4,875,000</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5,403,942</w:t>
            </w: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18.6</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L.P.(2)</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263,562</w:t>
            </w:r>
          </w:p>
        </w:tc>
        <w:tc>
          <w:tcPr>
            <w:tcW w:w="3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138,562</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Talwar 1994 Trust(3)</w:t>
            </w:r>
          </w:p>
        </w:tc>
        <w:tc>
          <w:tcPr>
            <w:tcW w:w="3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920,229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Rohit Kapoor(4)</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2,104,605</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1,604,605</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56"/>
        </w:trPr>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tcPr>
          <w:p>
            <w:pPr>
              <w:jc w:val="right"/>
              <w:ind w:right="1092"/>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Calculated pursuant to Rule 13(d)-1 as of December 29, 2009, at which date there were 29,093,543 aggregate shares of common stock outstanding.</w:t>
      </w:r>
    </w:p>
    <w:p>
      <w:pPr>
        <w:spacing w:after="0" w:line="113" w:lineRule="exact"/>
        <w:rPr>
          <w:rFonts w:ascii="Arial" w:cs="Arial" w:eastAsia="Arial" w:hAnsi="Arial"/>
          <w:sz w:val="16"/>
          <w:szCs w:val="16"/>
          <w:color w:val="auto"/>
        </w:rPr>
      </w:pPr>
    </w:p>
    <w:p>
      <w:pPr>
        <w:ind w:left="460" w:right="40" w:hanging="452"/>
        <w:spacing w:after="0" w:line="287"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2415,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 The shares registered hereunder by the Oak Hill Partnerships consist of shares of common stock that were acquired in transactions completed in connection with the acquisition of the Company’s business from Conseco in 2002 (the “Conseco Acquisition”) and shares of common stock that were issued in connection with a share split of our common stock completed prior to the completion of our initial public offering in October 2006 (the “Share Split”).</w:t>
      </w:r>
    </w:p>
    <w:p>
      <w:pPr>
        <w:spacing w:after="0" w:line="41" w:lineRule="exact"/>
        <w:rPr>
          <w:rFonts w:ascii="Arial" w:cs="Arial" w:eastAsia="Arial" w:hAnsi="Arial"/>
          <w:sz w:val="16"/>
          <w:szCs w:val="16"/>
          <w:color w:val="auto"/>
        </w:rPr>
      </w:pPr>
    </w:p>
    <w:p>
      <w:pPr>
        <w:jc w:val="both"/>
        <w:ind w:left="460" w:right="2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Vikram Talwar, our Executive Chairman, and his spouse are the trustees of this trust and share dispositive and voting control over the shares in the trust. The shares registered hereunder by this trust consist of shares of common stock acquired by this trust from Mr. Talwar in transactions completed prior to October 5, 2009.</w:t>
      </w:r>
    </w:p>
    <w:p>
      <w:pPr>
        <w:spacing w:after="0" w:line="59"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6"/>
          <w:szCs w:val="16"/>
          <w:color w:val="auto"/>
        </w:rPr>
      </w:pPr>
    </w:p>
    <w:p>
      <w:pPr>
        <w:ind w:left="460" w:right="40"/>
        <w:spacing w:after="0" w:line="292" w:lineRule="auto"/>
        <w:rPr>
          <w:rFonts w:ascii="Arial" w:cs="Arial" w:eastAsia="Arial" w:hAnsi="Arial"/>
          <w:sz w:val="16"/>
          <w:szCs w:val="16"/>
          <w:color w:val="auto"/>
        </w:rPr>
      </w:pPr>
      <w:r>
        <w:rPr>
          <w:rFonts w:ascii="Arial" w:cs="Arial" w:eastAsia="Arial" w:hAnsi="Arial"/>
          <w:sz w:val="16"/>
          <w:szCs w:val="16"/>
          <w:color w:val="auto"/>
        </w:rPr>
        <w:t>Mr. Kapoor’s spouse. Mr. Kapoor and Mr. Kapoor’s sister-in-law are the trustees of this trust and share dispositive and voting control over the shares in the trust. This amount includes 292,850 shares of our common stock of which Mr. Kapoor has the right to acquire beneficial ownership within 60 days of December 29, 2009. The shares registered hereunder by Mr. Kapoor consist of shares of common stock that were acquired in transactions completed in connection with the Conseco Acquisition, shares of common stock that were issued in connection with the Share Split and shares of common stock acquired pursuant to our equity compensation plans to the extent such shares were received prior to October 5, 2009.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Vikram Talwar, one of the co-trustees of The Talwar 1994 Trust, one of the selling stockholders included in this prospectus, has served as our Executive Chairman since May 2008. Mr. Talwar served as our Chief Executive Officer and Vice Chairman of our board of directors from November 2002 to April 2008 and as Chief Executive Officer of EXL Inc. since April 1999.</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Rohit Kapoor has served as our President and Chief Executive Officer since May 2008 and as a director since November 2002. In addition, Mr. Kapoor served as our Chief Financial Officer from August 2006 to March 2007, as our Chief Operating Officer from June 2007 until April 2008 and as President and Chief Financial Officer of EXL Inc. since August 2000.</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Gruber, our Chairman, is a Managing Partner of Oak Hill Capital Management, Inc., the investment advisor to Oak Hill Capital Partners, L.P., and Ted Dardani, one of our directors, is a partner of Oak Hill Capital Management, Inc.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indirectly owned by entities related to the Oak Hill Partnerships. We recognized revenue of approximately $628,090, $780,329 and $477,670 in the years ended December 31, 2008, 2007 and 2006, respectively, for fees and expense reimbursements from Duane Reade Holdings, Inc. At December 31, 2008, 2007 and 2006, we had accounts receivable of $88,790, $338,629 and $55,350, respectively, related to these services.</w:t>
      </w:r>
    </w:p>
    <w:p>
      <w:pPr>
        <w:spacing w:after="0" w:line="143"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We provided advisory services related primarily to compliance with the Sarbanes-Oxley Act of 2002 to Williams Scotsman, Inc., a provider of mobile and modular building solutions in North America. Williams Scotsman, Inc. was controlled by entities related to the Oak Hill Partnerships until October 31, 2007. We recognized $0, $424,423 and $574,877 in the years ended December 31, 2008, 2007 and 2006 respectively, in advisory fee revenue and expense reimbursements from Williams Scotsman, Inc. At December 31, 2008, 2007 and 2006, we had an account receivable of $0, $0 and $59,633, respectively, related to these services.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Second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September 30, 2009, we had 28,931,983 outstanding shares of common stock, excluding 247,030 shares held in treasury and 405,380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29, 2009, there were approximately 30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/3%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/3% of the voting power of our issued and outstanding capital stock entitled to vote in the election of directors, is required to amend the following provisions of our certificate of incorporation:</w:t>
      </w:r>
    </w:p>
    <w:p>
      <w:pPr>
        <w:spacing w:after="0" w:line="4"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/3%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/3% of the voting power of our issued and outstanding capital stock entitled to vote in the election of directors will be required for any amendment to our by-laws by the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8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more than 10 percent of the net proceeds of any offering of securities made under this prospectus will be received by members of the Financial Industry Regulatory Authority, or FINRA, participating in the offering or by affiliates or associated persons of such FINRA members, the offering will be conducted in accordance with NASD Conduct Rule 2710(h). The maximum compensation we will pay to underwriters in connection with any offering of the securities will not exceed 8% of the maximum proceeds of such offering.</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2008, and the effectiveness of ExlService Holdings, Inc.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Securities Exchange Act of 1934, as amended. These filings are available to the public on the SEC’s website at www.sec.gov. 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 including portions of our Proxy Statement for the 2009 Annual Meeting of Stockholders (filed on April 30, 2009)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2009, June 30, 2009 and September 30, 2009;</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Current Reports on Form 8-K filed on January 30, 2009, March 11, 2009 (with regard to Item 5.02 thereof only), April 7, 2009 and January 5, 2010;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documents and reports that we file with the SEC (other than any portion of such filings that are furnished under applicable SEC rules rather than filed) pursuant to Section 13(a), 13(c), 14 or 15(d) of the Securities Exchange Act of 1934, as amended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2,000,000 Shares</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58"/>
          <w:szCs w:val="58"/>
          <w:b w:val="1"/>
          <w:bCs w:val="1"/>
          <w:color w:val="auto"/>
        </w:rPr>
        <w:t>ExlService Holdings, Inc.</w:t>
      </w:r>
    </w:p>
    <w:p>
      <w:pPr>
        <w:spacing w:after="0" w:line="241"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1087755</wp:posOffset>
            </wp:positionV>
            <wp:extent cx="11061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118110</wp:posOffset>
            </wp:positionV>
            <wp:extent cx="1200785" cy="805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78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PRELIMINARY PROSPECTUS SUPPLEMENT</w:t>
      </w:r>
    </w:p>
    <w:p>
      <w:pPr>
        <w:spacing w:after="0" w:line="158"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177800</wp:posOffset>
            </wp:positionV>
            <wp:extent cx="11061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43"/>
          <w:szCs w:val="4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lowerLetter"/>
      <w:start w:val="1"/>
    </w:lvl>
    <w:lvl w:ilvl="1">
      <w:lvlJc w:val="left"/>
      <w:lvlText w:val="•"/>
      <w:numFmt w:val="bullet"/>
      <w:start w:val="1"/>
    </w:lvl>
  </w:abstractNum>
  <w:abstractNum w:abstractNumId="7">
    <w:nsid w:val="836C40E"/>
    <w:multiLevelType w:val="hybridMultilevel"/>
    <w:lvl w:ilvl="0">
      <w:lvlJc w:val="left"/>
      <w:lvlText w:val="%1."/>
      <w:numFmt w:val="lowerLetter"/>
      <w:start w:val="2"/>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Roman"/>
      <w:start w:val="3"/>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2019-12-11T00:18:09Z</dcterms:created>
  <dcterms:modified xsi:type="dcterms:W3CDTF">2019-12-11T00:18:09Z</dcterms:modified>
</cp:coreProperties>
</file>