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-2540</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9" w:lineRule="auto"/>
        <w:tabs>
          <w:tab w:leader="none" w:pos="360" w:val="left"/>
        </w:tabs>
        <w:numPr>
          <w:ilvl w:val="0"/>
          <w:numId w:val="1"/>
        </w:numPr>
        <w:rPr>
          <w:rFonts w:ascii="Times New Roman" w:cs="Times New Roman" w:eastAsia="Times New Roman" w:hAnsi="Times New Roman"/>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6285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8586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40" w:space="280"/>
            <w:col w:w="8800"/>
          </w:cols>
          <w:pgMar w:left="240" w:top="220"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7"/>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FINANCIAL TECHNOLOGY</w:t>
              </w:r>
            </w:hyperlink>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5"/>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ExlService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EXLS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6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00" w:type="dxa"/>
            <w:vAlign w:val="bottom"/>
            <w:gridSpan w:val="7"/>
            <w:vMerge w:val="continue"/>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00" w:type="dxa"/>
            <w:vAlign w:val="bottom"/>
            <w:gridSpan w:val="7"/>
            <w:vMerge w:val="continue"/>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158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100" w:type="dxa"/>
            <w:vAlign w:val="bottom"/>
            <w:gridSpan w:val="7"/>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80" w:type="dxa"/>
            <w:vAlign w:val="bottom"/>
            <w:tcBorders>
              <w:top w:val="single" w:sz="8" w:color="0000EE"/>
            </w:tcBorders>
            <w:gridSpan w:val="4"/>
            <w:vMerge w:val="restart"/>
          </w:tcPr>
          <w:p>
            <w:pPr>
              <w:spacing w:after="0" w:line="209" w:lineRule="exact"/>
              <w:rPr>
                <w:rFonts w:ascii="Times New Roman" w:cs="Times New Roman" w:eastAsia="Times New Roman" w:hAnsi="Times New Roman"/>
                <w:sz w:val="22"/>
                <w:szCs w:val="22"/>
                <w:color w:val="0000EE"/>
                <w:w w:val="97"/>
              </w:rPr>
            </w:pPr>
            <w:hyperlink r:id="rId12">
              <w:r>
                <w:rPr>
                  <w:rFonts w:ascii="Times New Roman" w:cs="Times New Roman" w:eastAsia="Times New Roman" w:hAnsi="Times New Roman"/>
                  <w:sz w:val="22"/>
                  <w:szCs w:val="22"/>
                  <w:color w:val="0000EE"/>
                  <w:w w:val="97"/>
                </w:rPr>
                <w:t>MANAGEMENT, LLC</w:t>
              </w:r>
            </w:hyperlink>
          </w:p>
        </w:tc>
        <w:tc>
          <w:tcPr>
            <w:tcW w:w="4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Borders>
              <w:bottom w:val="single" w:sz="8" w:color="0000EE"/>
            </w:tcBorders>
            <w:gridSpan w:val="4"/>
            <w:vMerge w:val="continue"/>
          </w:tcPr>
          <w:p>
            <w:pPr>
              <w:spacing w:after="0"/>
              <w:rPr>
                <w:sz w:val="10"/>
                <w:szCs w:val="10"/>
                <w:color w:val="auto"/>
              </w:rPr>
            </w:pPr>
          </w:p>
        </w:tc>
        <w:tc>
          <w:tcPr>
            <w:tcW w:w="46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3"/>
            <w:vMerge w:val="restart"/>
          </w:tcPr>
          <w:p>
            <w:pPr>
              <w:ind w:left="30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X</w:t>
            </w: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80" w:type="dxa"/>
            <w:vAlign w:val="bottom"/>
            <w:gridSpan w:val="4"/>
          </w:tcPr>
          <w:p>
            <w:pPr>
              <w:spacing w:after="0"/>
              <w:rPr>
                <w:sz w:val="3"/>
                <w:szCs w:val="3"/>
                <w:color w:val="auto"/>
              </w:rPr>
            </w:pPr>
          </w:p>
        </w:tc>
        <w:tc>
          <w:tcPr>
            <w:tcW w:w="4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gridSpan w:val="3"/>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2"/>
            <w:vMerge w:val="restart"/>
          </w:tcPr>
          <w:p>
            <w:pPr>
              <w:ind w:left="300"/>
              <w:spacing w:after="0" w:line="118" w:lineRule="exact"/>
              <w:rPr>
                <w:sz w:val="20"/>
                <w:szCs w:val="20"/>
                <w:color w:val="auto"/>
              </w:rPr>
            </w:pPr>
            <w:r>
              <w:rPr>
                <w:rFonts w:ascii="Arial" w:cs="Arial" w:eastAsia="Arial" w:hAnsi="Arial"/>
                <w:sz w:val="12"/>
                <w:szCs w:val="12"/>
                <w:color w:val="auto"/>
              </w:rPr>
              <w:t>below)</w:t>
            </w:r>
          </w:p>
        </w:tc>
        <w:tc>
          <w:tcPr>
            <w:tcW w:w="30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440" w:type="dxa"/>
            <w:vAlign w:val="bottom"/>
            <w:gridSpan w:val="2"/>
            <w:vMerge w:val="restart"/>
          </w:tcPr>
          <w:p>
            <w:pPr>
              <w:ind w:left="20"/>
              <w:spacing w:after="0" w:line="118"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gridSpan w:val="5"/>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0000FF"/>
                <w:w w:val="94"/>
              </w:rPr>
              <w:t>See Footnote 1</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0000FF"/>
              </w:rPr>
              <w:t>05/16/2007</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555 CALIFORNIA STREET, SUITE 2900</w:t>
            </w: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500" w:type="dxa"/>
            <w:vAlign w:val="bottom"/>
            <w:tcBorders>
              <w:bottom w:val="single" w:sz="8" w:color="2C2C2C"/>
            </w:tcBorders>
            <w:gridSpan w:val="6"/>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gridSpan w:val="2"/>
          </w:tcPr>
          <w:p>
            <w:pPr>
              <w:spacing w:after="0"/>
              <w:rPr>
                <w:sz w:val="13"/>
                <w:szCs w:val="13"/>
                <w:color w:val="auto"/>
              </w:rPr>
            </w:pPr>
          </w:p>
        </w:tc>
        <w:tc>
          <w:tcPr>
            <w:tcW w:w="3100" w:type="dxa"/>
            <w:vAlign w:val="bottom"/>
            <w:tcBorders>
              <w:bottom w:val="single" w:sz="8" w:color="2C2C2C"/>
            </w:tcBorders>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28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46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40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00" w:type="dxa"/>
            <w:vAlign w:val="bottom"/>
            <w:gridSpan w:val="6"/>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2"/>
                <w:szCs w:val="2"/>
                <w:color w:val="auto"/>
              </w:rPr>
            </w:pPr>
          </w:p>
        </w:tc>
        <w:tc>
          <w:tcPr>
            <w:tcW w:w="34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6"/>
            <w:vMerge w:val="continue"/>
          </w:tcPr>
          <w:p>
            <w:pPr>
              <w:spacing w:after="0"/>
              <w:rPr>
                <w:sz w:val="11"/>
                <w:szCs w:val="11"/>
                <w:color w:val="auto"/>
              </w:rPr>
            </w:pPr>
          </w:p>
        </w:tc>
        <w:tc>
          <w:tcPr>
            <w:tcW w:w="400" w:type="dxa"/>
            <w:vAlign w:val="bottom"/>
          </w:tcPr>
          <w:p>
            <w:pPr>
              <w:spacing w:after="0"/>
              <w:rPr>
                <w:sz w:val="11"/>
                <w:szCs w:val="11"/>
                <w:color w:val="auto"/>
              </w:rPr>
            </w:pPr>
          </w:p>
        </w:tc>
        <w:tc>
          <w:tcPr>
            <w:tcW w:w="34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4"/>
          </w:tcPr>
          <w:p>
            <w:pPr>
              <w:ind w:left="80"/>
              <w:spacing w:after="0" w:line="151" w:lineRule="exact"/>
              <w:rPr>
                <w:sz w:val="20"/>
                <w:szCs w:val="20"/>
                <w:color w:val="auto"/>
              </w:rPr>
            </w:pPr>
            <w:r>
              <w:rPr>
                <w:rFonts w:ascii="Arial" w:cs="Arial" w:eastAsia="Arial" w:hAnsi="Arial"/>
                <w:sz w:val="14"/>
                <w:szCs w:val="14"/>
                <w:color w:val="auto"/>
              </w:rPr>
              <w:t>Line)</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rPr>
              <w:t>SAN</w:t>
            </w:r>
          </w:p>
        </w:tc>
        <w:tc>
          <w:tcPr>
            <w:tcW w:w="60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w w:val="87"/>
              </w:rPr>
              <w:t>CA</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94104</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FRANCISCO</w:t>
            </w:r>
          </w:p>
        </w:tc>
        <w:tc>
          <w:tcPr>
            <w:tcW w:w="2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120" w:type="dxa"/>
            <w:vAlign w:val="bottom"/>
            <w:gridSpan w:val="8"/>
            <w:vMerge w:val="restart"/>
          </w:tcPr>
          <w:p>
            <w:pPr>
              <w:ind w:left="3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1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ind w:left="320"/>
              <w:spacing w:after="0" w:line="118" w:lineRule="exact"/>
              <w:rPr>
                <w:sz w:val="20"/>
                <w:szCs w:val="20"/>
                <w:color w:val="auto"/>
              </w:rPr>
            </w:pPr>
            <w:r>
              <w:rPr>
                <w:rFonts w:ascii="Arial" w:cs="Arial" w:eastAsia="Arial" w:hAnsi="Arial"/>
                <w:sz w:val="12"/>
                <w:szCs w:val="12"/>
                <w:color w:val="auto"/>
              </w:rPr>
              <w:t>Person</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gridSpan w:val="2"/>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90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7340" w:type="dxa"/>
            <w:vAlign w:val="bottom"/>
            <w:tcBorders>
              <w:top w:val="single" w:sz="8" w:color="2C2C2C"/>
            </w:tcBorders>
            <w:gridSpan w:val="19"/>
          </w:tcPr>
          <w:p>
            <w:pPr>
              <w:jc w:val="center"/>
              <w:ind w:right="25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26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w w:val="99"/>
              </w:rPr>
              <w:t>(A) or</w:t>
            </w: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vMerge w:val="restart"/>
          </w:tcPr>
          <w:p>
            <w:pPr>
              <w:ind w:left="280"/>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Financial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0000FF"/>
                <w:w w:val="99"/>
              </w:rPr>
              <w:t>Common Stock, par value $0.001 per share</w:t>
            </w:r>
          </w:p>
        </w:tc>
        <w:tc>
          <w:tcPr>
            <w:tcW w:w="1120" w:type="dxa"/>
            <w:vAlign w:val="bottom"/>
            <w:gridSpan w:val="5"/>
          </w:tcPr>
          <w:p>
            <w:pPr>
              <w:jc w:val="right"/>
              <w:ind w:right="75"/>
              <w:spacing w:after="0"/>
              <w:rPr>
                <w:sz w:val="20"/>
                <w:szCs w:val="20"/>
                <w:color w:val="auto"/>
              </w:rPr>
            </w:pPr>
            <w:r>
              <w:rPr>
                <w:rFonts w:ascii="Times New Roman" w:cs="Times New Roman" w:eastAsia="Times New Roman" w:hAnsi="Times New Roman"/>
                <w:sz w:val="18"/>
                <w:szCs w:val="18"/>
                <w:color w:val="0000FF"/>
              </w:rPr>
              <w:t>05/16/2007</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center"/>
              <w:ind w:right="258"/>
              <w:spacing w:after="0"/>
              <w:rPr>
                <w:sz w:val="20"/>
                <w:szCs w:val="20"/>
                <w:color w:val="auto"/>
              </w:rPr>
            </w:pPr>
            <w:r>
              <w:rPr>
                <w:rFonts w:ascii="Times New Roman" w:cs="Times New Roman" w:eastAsia="Times New Roman" w:hAnsi="Times New Roman"/>
                <w:sz w:val="14"/>
                <w:szCs w:val="14"/>
                <w:color w:val="0000FF"/>
              </w:rPr>
              <w: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916,067</w:t>
            </w:r>
          </w:p>
        </w:tc>
        <w:tc>
          <w:tcPr>
            <w:tcW w:w="5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D</w:t>
            </w:r>
          </w:p>
        </w:tc>
        <w:tc>
          <w:tcPr>
            <w:tcW w:w="5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jc w:val="right"/>
              <w:ind w:right="297"/>
              <w:spacing w:after="0"/>
              <w:rPr>
                <w:sz w:val="20"/>
                <w:szCs w:val="20"/>
                <w:color w:val="auto"/>
              </w:rPr>
            </w:pPr>
            <w:r>
              <w:rPr>
                <w:rFonts w:ascii="Times New Roman" w:cs="Times New Roman" w:eastAsia="Times New Roman" w:hAnsi="Times New Roman"/>
                <w:sz w:val="18"/>
                <w:szCs w:val="18"/>
                <w:color w:val="0000FF"/>
              </w:rPr>
              <w:t>563,664</w:t>
            </w:r>
          </w:p>
        </w:tc>
        <w:tc>
          <w:tcPr>
            <w:tcW w:w="30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w:t>
            </w: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Technology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Ventures</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8"/>
                <w:szCs w:val="18"/>
                <w:color w:val="0000FF"/>
              </w:rPr>
              <w:t>(Q), L.P.</w:t>
            </w:r>
            <w:r>
              <w:rPr>
                <w:rFonts w:ascii="Times New Roman" w:cs="Times New Roman" w:eastAsia="Times New Roman" w:hAnsi="Times New Roman"/>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vMerge w:val="restart"/>
          </w:tcPr>
          <w:p>
            <w:pPr>
              <w:ind w:left="280"/>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Financial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0000FF"/>
                <w:w w:val="99"/>
              </w:rPr>
              <w:t>Common Stock, par value $0.001 per share</w:t>
            </w:r>
          </w:p>
        </w:tc>
        <w:tc>
          <w:tcPr>
            <w:tcW w:w="1120" w:type="dxa"/>
            <w:vAlign w:val="bottom"/>
            <w:gridSpan w:val="5"/>
          </w:tcPr>
          <w:p>
            <w:pPr>
              <w:jc w:val="right"/>
              <w:ind w:right="75"/>
              <w:spacing w:after="0"/>
              <w:rPr>
                <w:sz w:val="20"/>
                <w:szCs w:val="20"/>
                <w:color w:val="auto"/>
              </w:rPr>
            </w:pPr>
            <w:r>
              <w:rPr>
                <w:rFonts w:ascii="Times New Roman" w:cs="Times New Roman" w:eastAsia="Times New Roman" w:hAnsi="Times New Roman"/>
                <w:sz w:val="18"/>
                <w:szCs w:val="18"/>
                <w:color w:val="0000FF"/>
              </w:rPr>
              <w:t>05/16/2007</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center"/>
              <w:ind w:right="258"/>
              <w:spacing w:after="0"/>
              <w:rPr>
                <w:sz w:val="20"/>
                <w:szCs w:val="20"/>
                <w:color w:val="auto"/>
              </w:rPr>
            </w:pPr>
            <w:r>
              <w:rPr>
                <w:rFonts w:ascii="Times New Roman" w:cs="Times New Roman" w:eastAsia="Times New Roman" w:hAnsi="Times New Roman"/>
                <w:sz w:val="14"/>
                <w:szCs w:val="14"/>
                <w:color w:val="0000FF"/>
              </w:rPr>
              <w:t>S</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33,958</w:t>
            </w:r>
          </w:p>
        </w:tc>
        <w:tc>
          <w:tcPr>
            <w:tcW w:w="5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D</w:t>
            </w:r>
          </w:p>
        </w:tc>
        <w:tc>
          <w:tcPr>
            <w:tcW w:w="5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jc w:val="right"/>
              <w:ind w:right="357"/>
              <w:spacing w:after="0"/>
              <w:rPr>
                <w:sz w:val="20"/>
                <w:szCs w:val="20"/>
                <w:color w:val="auto"/>
              </w:rPr>
            </w:pPr>
            <w:r>
              <w:rPr>
                <w:rFonts w:ascii="Times New Roman" w:cs="Times New Roman" w:eastAsia="Times New Roman" w:hAnsi="Times New Roman"/>
                <w:sz w:val="18"/>
                <w:szCs w:val="18"/>
                <w:color w:val="0000FF"/>
              </w:rPr>
              <w:t>20,895</w:t>
            </w:r>
          </w:p>
        </w:tc>
        <w:tc>
          <w:tcPr>
            <w:tcW w:w="30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w:t>
            </w: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Technology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Ventures,</w:t>
            </w:r>
          </w:p>
        </w:tc>
        <w:tc>
          <w:tcPr>
            <w:tcW w:w="0" w:type="dxa"/>
            <w:vAlign w:val="bottom"/>
          </w:tcPr>
          <w:p>
            <w:pPr>
              <w:spacing w:after="0"/>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L.P.</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8"/>
          </w:tcPr>
          <w:p>
            <w:pPr>
              <w:jc w:val="center"/>
              <w:ind w:left="2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6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4"/>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3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Financial Technology Management, LLC ("FTM") is the general partner of Financial Technology Ventures (Q), L.P. ("FTVQ") and Financial Technology Ventures, L.P. ("FTV"). Pursuant to Rule 16a-1(a)(2) (ii)(B) under the Securities Exchange Act of 1934, as amended (the "Act"), FTM is deemed to be a beneficial owner of the securities owned by FTVQ and FTV only to the extent of the greater of its respective direct or indirect interest in the profits or capital account of FTVQ and FTV. Pursuant to Rule 16a-1(a)(4) under the Act, this filing shall not be deemed an admission that FTM is, for purposes of Section 16 of the Act or otherwise, the beneficial owner of any securities owned by FTVQ or FTV in excess of such amount.</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/s/ Richard N. Garman</w:t>
            </w:r>
          </w:p>
        </w:tc>
        <w:tc>
          <w:tcPr>
            <w:tcW w:w="5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05/18/2007</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91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2019-12-16T21:54:12Z</dcterms:created>
  <dcterms:modified xsi:type="dcterms:W3CDTF">2019-12-16T21:54:12Z</dcterms:modified>
</cp:coreProperties>
</file>